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DD53" w14:textId="784541AA" w:rsidR="00F24E16" w:rsidRPr="00396421" w:rsidRDefault="00F72CB7">
      <w:r w:rsidRPr="00396421">
        <w:rPr>
          <w:b/>
          <w:bCs/>
        </w:rPr>
        <w:t xml:space="preserve">Method Name: </w:t>
      </w:r>
      <w:r w:rsidRPr="00396421">
        <w:t>Two Step Floating Catchment Area (</w:t>
      </w:r>
      <w:r w:rsidR="00123871" w:rsidRPr="00396421">
        <w:t>2S</w:t>
      </w:r>
      <w:r w:rsidRPr="00396421">
        <w:t>FCA)</w:t>
      </w:r>
    </w:p>
    <w:p w14:paraId="7D29820D" w14:textId="3C6F1C37" w:rsidR="00F72CB7" w:rsidRPr="00396421" w:rsidRDefault="00F72CB7">
      <w:pPr>
        <w:rPr>
          <w:b/>
          <w:bCs/>
        </w:rPr>
      </w:pPr>
    </w:p>
    <w:p w14:paraId="521F1DC0" w14:textId="0E66F47F" w:rsidR="00DD1FD4" w:rsidRPr="00396421" w:rsidRDefault="00F72CB7">
      <w:pPr>
        <w:rPr>
          <w:b/>
          <w:bCs/>
        </w:rPr>
      </w:pPr>
      <w:r w:rsidRPr="00396421">
        <w:rPr>
          <w:b/>
          <w:bCs/>
        </w:rPr>
        <w:t xml:space="preserve">Method Description: </w:t>
      </w:r>
    </w:p>
    <w:p w14:paraId="6A5D1425" w14:textId="5B7C715C" w:rsidR="00BF3A1C" w:rsidRPr="00396421" w:rsidRDefault="009C3DD9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>Overview</w:t>
      </w:r>
    </w:p>
    <w:p w14:paraId="36C3DC36" w14:textId="65B9D6FB" w:rsidR="00FA65C5" w:rsidRPr="00396421" w:rsidRDefault="001046E0" w:rsidP="008A1676">
      <w:pPr>
        <w:ind w:firstLine="720"/>
      </w:pPr>
      <w:r w:rsidRPr="00396421">
        <w:t xml:space="preserve">The Two Step </w:t>
      </w:r>
      <w:r w:rsidR="00602115" w:rsidRPr="00396421">
        <w:t>Floating Catchment Area</w:t>
      </w:r>
      <w:r w:rsidR="00FE08AD" w:rsidRPr="00396421">
        <w:t xml:space="preserve"> (2S</w:t>
      </w:r>
      <w:r w:rsidRPr="00396421">
        <w:t>FCA</w:t>
      </w:r>
      <w:r w:rsidR="00FE08AD" w:rsidRPr="00396421">
        <w:t>)</w:t>
      </w:r>
      <w:r w:rsidRPr="00396421">
        <w:t xml:space="preserve"> method </w:t>
      </w:r>
      <w:r w:rsidR="009F7E37" w:rsidRPr="00396421">
        <w:t xml:space="preserve">is used to </w:t>
      </w:r>
      <w:r w:rsidR="00CB6D9A" w:rsidRPr="00396421">
        <w:t xml:space="preserve">determine spatial accessibility </w:t>
      </w:r>
      <w:r w:rsidR="009F7E37" w:rsidRPr="00396421">
        <w:t>for the Mental Health Treatment Facilities Access and Substance Use Treatment Facilities Access measures.</w:t>
      </w:r>
      <w:r w:rsidR="00CB6D9A" w:rsidRPr="00396421">
        <w:t xml:space="preserve"> </w:t>
      </w:r>
      <w:r w:rsidR="00FA65C5" w:rsidRPr="00396421">
        <w:t>It calculates ratios of behavioral health facilities-to-residents within a service area centered at a facility’s location (step 1) and subsequently sums the ratios for residents located in areas where different provider services overlap (step 2). The larger the summed proportion</w:t>
      </w:r>
      <w:r w:rsidR="00FA65C5" w:rsidRPr="00396421">
        <w:rPr>
          <w:rFonts w:eastAsiaTheme="minorEastAsia"/>
        </w:rPr>
        <w:t xml:space="preserve"> is, the better </w:t>
      </w:r>
      <w:r w:rsidR="00067861" w:rsidRPr="00396421">
        <w:rPr>
          <w:rFonts w:eastAsiaTheme="minorEastAsia"/>
        </w:rPr>
        <w:t xml:space="preserve">the </w:t>
      </w:r>
      <w:r w:rsidR="00FA65C5" w:rsidRPr="00396421">
        <w:rPr>
          <w:rFonts w:eastAsiaTheme="minorEastAsia"/>
        </w:rPr>
        <w:t>facility accessibility</w:t>
      </w:r>
      <w:r w:rsidR="00067861" w:rsidRPr="00396421">
        <w:rPr>
          <w:rFonts w:eastAsiaTheme="minorEastAsia"/>
        </w:rPr>
        <w:t xml:space="preserve"> in</w:t>
      </w:r>
      <w:r w:rsidR="00FA65C5" w:rsidRPr="00396421">
        <w:rPr>
          <w:rFonts w:eastAsiaTheme="minorEastAsia"/>
        </w:rPr>
        <w:t xml:space="preserve"> a geographic location.</w:t>
      </w:r>
      <w:r w:rsidR="00FA65C5" w:rsidRPr="00396421" w:rsidDel="006D0250">
        <w:t xml:space="preserve"> </w:t>
      </w:r>
    </w:p>
    <w:p w14:paraId="7946E70D" w14:textId="03ADF345" w:rsidR="009C3DD9" w:rsidRPr="00396421" w:rsidRDefault="009C3DD9" w:rsidP="00BF7ECA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>The FCA Method</w:t>
      </w:r>
    </w:p>
    <w:p w14:paraId="703B94D6" w14:textId="7E15CA7E" w:rsidR="008A1676" w:rsidRPr="00396421" w:rsidRDefault="00E3297A" w:rsidP="008A1676">
      <w:pPr>
        <w:ind w:firstLine="720"/>
      </w:pPr>
      <w:r w:rsidRPr="00396421">
        <w:t xml:space="preserve">The 2SFCA </w:t>
      </w:r>
      <w:r w:rsidR="001046E0" w:rsidRPr="00396421">
        <w:t xml:space="preserve">is derived from the </w:t>
      </w:r>
      <w:r w:rsidR="00B10ADE" w:rsidRPr="00396421">
        <w:t xml:space="preserve">floating </w:t>
      </w:r>
      <w:r w:rsidR="005623F4" w:rsidRPr="00396421">
        <w:t>catchment area (</w:t>
      </w:r>
      <w:r w:rsidR="001046E0" w:rsidRPr="00396421">
        <w:t>FCA</w:t>
      </w:r>
      <w:r w:rsidR="005623F4" w:rsidRPr="00396421">
        <w:t>)</w:t>
      </w:r>
      <w:r w:rsidR="001046E0" w:rsidRPr="00396421">
        <w:t xml:space="preserve"> method, which computes physician accessibility in any given geographical area as</w:t>
      </w:r>
      <w:r w:rsidR="00DD1FD4" w:rsidRPr="00396421">
        <w:t xml:space="preserve"> the physician-to-population ratio within its catchment area.</w:t>
      </w:r>
      <w:r w:rsidR="00E54BA7" w:rsidRPr="00396421">
        <w:rPr>
          <w:rStyle w:val="FootnoteReference"/>
        </w:rPr>
        <w:footnoteReference w:id="2"/>
      </w:r>
      <w:r w:rsidR="001E7214" w:rsidRPr="00396421">
        <w:rPr>
          <w:vertAlign w:val="superscript"/>
        </w:rPr>
        <w:t>,</w:t>
      </w:r>
      <w:r w:rsidR="00E54BA7" w:rsidRPr="00396421">
        <w:t xml:space="preserve"> </w:t>
      </w:r>
      <w:r w:rsidR="00E54BA7" w:rsidRPr="00396421">
        <w:rPr>
          <w:rStyle w:val="FootnoteReference"/>
        </w:rPr>
        <w:footnoteReference w:id="3"/>
      </w:r>
      <w:r w:rsidR="00DD1FD4" w:rsidRPr="00396421">
        <w:t xml:space="preserve"> </w:t>
      </w:r>
      <w:r w:rsidR="009E1B20" w:rsidRPr="00396421">
        <w:t xml:space="preserve">In this context, our definition of </w:t>
      </w:r>
      <w:r w:rsidR="005D3577" w:rsidRPr="00396421">
        <w:t>a</w:t>
      </w:r>
      <w:r w:rsidR="00DD1FD4" w:rsidRPr="00396421">
        <w:t xml:space="preserve"> catchment area is  a circle with a radius of the threshold travel distance </w:t>
      </w:r>
      <w:r w:rsidR="00BF3A1C" w:rsidRPr="00396421">
        <w:t>around the centroid of a geographical area (</w:t>
      </w:r>
      <w:r w:rsidR="000802EF" w:rsidRPr="00396421">
        <w:t>e.g.,</w:t>
      </w:r>
      <w:r w:rsidR="00AC3494" w:rsidRPr="00396421">
        <w:t xml:space="preserve"> </w:t>
      </w:r>
      <w:r w:rsidR="00BF3A1C" w:rsidRPr="00396421">
        <w:t>census tract)</w:t>
      </w:r>
      <w:r w:rsidR="00DD1FD4" w:rsidRPr="00396421">
        <w:t xml:space="preserve">. For example, if there is one physician and </w:t>
      </w:r>
      <w:r w:rsidR="00B377FE" w:rsidRPr="00396421">
        <w:t>20</w:t>
      </w:r>
      <w:r w:rsidR="00AC3494" w:rsidRPr="00396421">
        <w:t>,</w:t>
      </w:r>
      <w:r w:rsidR="00F66EC7" w:rsidRPr="00396421">
        <w:t xml:space="preserve">000 </w:t>
      </w:r>
      <w:r w:rsidR="00DD1FD4" w:rsidRPr="00396421">
        <w:t>residents within a catchment area</w:t>
      </w:r>
      <w:r w:rsidR="00BF3A1C" w:rsidRPr="00396421">
        <w:t xml:space="preserve"> for a given census tract</w:t>
      </w:r>
      <w:r w:rsidR="00DD1FD4" w:rsidRPr="00396421">
        <w:t>, the physician-to-population ratio is 1/</w:t>
      </w:r>
      <w:r w:rsidR="00B377FE" w:rsidRPr="00396421">
        <w:t>20</w:t>
      </w:r>
      <w:r w:rsidR="00AC3494" w:rsidRPr="00396421">
        <w:t>,</w:t>
      </w:r>
      <w:r w:rsidR="00B377FE" w:rsidRPr="00396421">
        <w:t>000</w:t>
      </w:r>
      <w:r w:rsidR="00DD1FD4" w:rsidRPr="00396421">
        <w:t xml:space="preserve"> for </w:t>
      </w:r>
      <w:r w:rsidR="00BF3A1C" w:rsidRPr="00396421">
        <w:t>that census tract. An underlying postulation for this method is that physicians that fall within a catchment area will be completely accessible to residents within that catchment area.</w:t>
      </w:r>
      <w:r w:rsidR="008A1676" w:rsidRPr="00396421">
        <w:t xml:space="preserve"> This is a limitation of the FCA method, as distances between physicians and residents may exceed threshold travel times. Another byproduct of this limitation</w:t>
      </w:r>
      <w:r w:rsidR="006C60B2" w:rsidRPr="00396421">
        <w:t xml:space="preserve"> is</w:t>
      </w:r>
      <w:r w:rsidR="008A1676" w:rsidRPr="00396421">
        <w:t xml:space="preserve"> that physicians must serve residents in multiple catchments, creating the possibility that physicians are not fully available to every resident within a catchment area.</w:t>
      </w:r>
    </w:p>
    <w:p w14:paraId="0DED4611" w14:textId="7A0EFAB9" w:rsidR="008A1676" w:rsidRPr="00396421" w:rsidRDefault="008A1676" w:rsidP="008A1676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 xml:space="preserve">The </w:t>
      </w:r>
      <w:r w:rsidR="00DD6DD2" w:rsidRPr="00396421">
        <w:rPr>
          <w:b/>
          <w:bCs/>
          <w:i/>
          <w:iCs/>
        </w:rPr>
        <w:t>2S</w:t>
      </w:r>
      <w:r w:rsidRPr="00396421">
        <w:rPr>
          <w:b/>
          <w:bCs/>
          <w:i/>
          <w:iCs/>
        </w:rPr>
        <w:t>FCA Method</w:t>
      </w:r>
    </w:p>
    <w:p w14:paraId="01EA5AFD" w14:textId="1E33A100" w:rsidR="00F72CB7" w:rsidRPr="00396421" w:rsidRDefault="00C11BB0">
      <w:r w:rsidRPr="00396421">
        <w:tab/>
        <w:t xml:space="preserve">The </w:t>
      </w:r>
      <w:r w:rsidR="000F4737" w:rsidRPr="00396421">
        <w:t>2S</w:t>
      </w:r>
      <w:r w:rsidRPr="00396421">
        <w:t xml:space="preserve">FCA Method addressed these weaknesses by </w:t>
      </w:r>
      <w:r w:rsidR="00016741" w:rsidRPr="00396421">
        <w:t xml:space="preserve">calculating ratios of physicians to residents within a </w:t>
      </w:r>
      <w:r w:rsidR="00C25FD1" w:rsidRPr="00396421">
        <w:t xml:space="preserve">catchment </w:t>
      </w:r>
      <w:r w:rsidR="00016741" w:rsidRPr="00396421">
        <w:t xml:space="preserve">area centered at a physician’s location (step </w:t>
      </w:r>
      <w:r w:rsidR="00760D27" w:rsidRPr="00396421">
        <w:t>one</w:t>
      </w:r>
      <w:r w:rsidR="00016741" w:rsidRPr="00396421">
        <w:t xml:space="preserve">) and subsequently summing the ratios for residents located in areas where different provider services overlap (step </w:t>
      </w:r>
      <w:r w:rsidR="00760D27" w:rsidRPr="00396421">
        <w:t>two</w:t>
      </w:r>
      <w:r w:rsidR="00016741" w:rsidRPr="00396421">
        <w:t>).</w:t>
      </w:r>
      <w:r w:rsidR="00DA0C3C" w:rsidRPr="00396421">
        <w:rPr>
          <w:rStyle w:val="FootnoteReference"/>
        </w:rPr>
        <w:footnoteReference w:id="4"/>
      </w:r>
      <w:r w:rsidR="00AE7D88" w:rsidRPr="00396421">
        <w:t xml:space="preserve"> This method also uses travel times as opposed to distance thresholds.</w:t>
      </w:r>
      <w:r w:rsidR="00016741" w:rsidRPr="00396421">
        <w:t xml:space="preserve"> More pragmatically,</w:t>
      </w:r>
      <w:r w:rsidR="00AE7D88" w:rsidRPr="00396421">
        <w:t xml:space="preserve"> the mathematical approach of the </w:t>
      </w:r>
      <w:r w:rsidR="008E3A71" w:rsidRPr="00396421">
        <w:t>2S</w:t>
      </w:r>
      <w:r w:rsidR="00AE7D88" w:rsidRPr="00396421">
        <w:t>FCA Method is as follows:</w:t>
      </w:r>
    </w:p>
    <w:p w14:paraId="7A396D5E" w14:textId="1DB4C960" w:rsidR="00AE7D88" w:rsidRPr="00396421" w:rsidRDefault="00AE7D88" w:rsidP="00AE7D88">
      <w:pPr>
        <w:pStyle w:val="ListParagraph"/>
        <w:numPr>
          <w:ilvl w:val="0"/>
          <w:numId w:val="2"/>
        </w:numPr>
      </w:pPr>
      <w:r w:rsidRPr="00396421">
        <w:rPr>
          <w:i/>
          <w:iCs/>
        </w:rPr>
        <w:t xml:space="preserve">Step </w:t>
      </w:r>
      <w:r w:rsidR="00760D27" w:rsidRPr="00396421">
        <w:rPr>
          <w:i/>
          <w:iCs/>
        </w:rPr>
        <w:t>One</w:t>
      </w:r>
      <w:r w:rsidRPr="00396421">
        <w:t xml:space="preserve">: For each </w:t>
      </w:r>
      <w:r w:rsidR="00543293" w:rsidRPr="00396421">
        <w:t>location</w:t>
      </w:r>
      <w:r w:rsidR="00A16A17" w:rsidRPr="00396421">
        <w:t xml:space="preserve"> </w:t>
      </w:r>
      <w:r w:rsidRPr="00396421">
        <w:rPr>
          <w:i/>
          <w:iCs/>
        </w:rPr>
        <w:t>j</w:t>
      </w:r>
      <w:r w:rsidRPr="00396421">
        <w:t xml:space="preserve">, </w:t>
      </w:r>
      <w:r w:rsidR="00A16A17" w:rsidRPr="00396421">
        <w:t>search all population locations (</w:t>
      </w:r>
      <w:r w:rsidR="00A16A17" w:rsidRPr="00396421">
        <w:rPr>
          <w:i/>
          <w:iCs/>
        </w:rPr>
        <w:t>k</w:t>
      </w:r>
      <w:r w:rsidR="00A16A17" w:rsidRPr="00396421">
        <w:t>) that are within a threshold travel time (</w:t>
      </w:r>
      <w:r w:rsidR="00A16A17" w:rsidRPr="00396421">
        <w:rPr>
          <w:i/>
          <w:iCs/>
        </w:rPr>
        <w:t>d</w:t>
      </w:r>
      <w:r w:rsidR="00A16A17" w:rsidRPr="00396421">
        <w:rPr>
          <w:i/>
          <w:iCs/>
          <w:vertAlign w:val="subscript"/>
        </w:rPr>
        <w:t>0</w:t>
      </w:r>
      <w:r w:rsidR="00A16A17" w:rsidRPr="00396421">
        <w:t xml:space="preserve">) from location </w:t>
      </w:r>
      <w:r w:rsidR="00A16A17" w:rsidRPr="00396421">
        <w:rPr>
          <w:i/>
          <w:iCs/>
        </w:rPr>
        <w:t>j</w:t>
      </w:r>
      <w:r w:rsidR="00A16A17" w:rsidRPr="00396421">
        <w:t xml:space="preserve">, and compute the </w:t>
      </w:r>
      <w:r w:rsidR="00CB07D2" w:rsidRPr="00396421">
        <w:t>physician</w:t>
      </w:r>
      <w:r w:rsidR="00A16A17" w:rsidRPr="00396421">
        <w:t xml:space="preserve">-to-population ratio, </w:t>
      </w:r>
      <w:proofErr w:type="spellStart"/>
      <w:r w:rsidR="00A16A17" w:rsidRPr="00396421">
        <w:rPr>
          <w:i/>
          <w:iCs/>
        </w:rPr>
        <w:t>R</w:t>
      </w:r>
      <w:r w:rsidR="00A16A17" w:rsidRPr="00396421">
        <w:rPr>
          <w:i/>
          <w:iCs/>
          <w:vertAlign w:val="subscript"/>
        </w:rPr>
        <w:t>j</w:t>
      </w:r>
      <w:proofErr w:type="spellEnd"/>
      <w:r w:rsidR="00A16A17" w:rsidRPr="00396421">
        <w:t xml:space="preserve"> within the catchment area</w:t>
      </w:r>
      <w:r w:rsidR="00543293" w:rsidRPr="00396421">
        <w:t xml:space="preserve"> (centered on location </w:t>
      </w:r>
      <w:r w:rsidR="00543293" w:rsidRPr="00396421">
        <w:rPr>
          <w:i/>
          <w:iCs/>
        </w:rPr>
        <w:t>j</w:t>
      </w:r>
      <w:r w:rsidR="00543293" w:rsidRPr="00396421">
        <w:t>)</w:t>
      </w:r>
      <w:r w:rsidR="00A16A17" w:rsidRPr="00396421">
        <w:t xml:space="preserve">. </w:t>
      </w:r>
      <w:proofErr w:type="spellStart"/>
      <w:r w:rsidR="00A16A17" w:rsidRPr="00396421">
        <w:rPr>
          <w:i/>
          <w:iCs/>
        </w:rPr>
        <w:t>S</w:t>
      </w:r>
      <w:r w:rsidR="00A16A17" w:rsidRPr="00396421">
        <w:rPr>
          <w:i/>
          <w:iCs/>
          <w:vertAlign w:val="subscript"/>
        </w:rPr>
        <w:t>j</w:t>
      </w:r>
      <w:proofErr w:type="spellEnd"/>
      <w:r w:rsidR="00A16A17" w:rsidRPr="00396421">
        <w:rPr>
          <w:i/>
          <w:iCs/>
        </w:rPr>
        <w:t xml:space="preserve"> </w:t>
      </w:r>
      <w:r w:rsidR="00A16A17" w:rsidRPr="00396421">
        <w:t xml:space="preserve">is the number of physicians at location </w:t>
      </w:r>
      <w:r w:rsidR="00A16A17" w:rsidRPr="00396421">
        <w:rPr>
          <w:i/>
          <w:iCs/>
        </w:rPr>
        <w:t>j</w:t>
      </w:r>
      <w:r w:rsidR="00A16A17" w:rsidRPr="00396421">
        <w:t xml:space="preserve">, </w:t>
      </w:r>
      <w:proofErr w:type="spellStart"/>
      <w:r w:rsidR="00A16A17" w:rsidRPr="00396421">
        <w:rPr>
          <w:i/>
          <w:iCs/>
        </w:rPr>
        <w:t>d</w:t>
      </w:r>
      <w:r w:rsidR="00A16A17" w:rsidRPr="00396421">
        <w:rPr>
          <w:i/>
          <w:iCs/>
          <w:vertAlign w:val="subscript"/>
        </w:rPr>
        <w:t>kj</w:t>
      </w:r>
      <w:proofErr w:type="spellEnd"/>
      <w:r w:rsidR="00A16A17" w:rsidRPr="00396421">
        <w:t xml:space="preserve"> is the travel time between </w:t>
      </w:r>
      <w:r w:rsidR="00A16A17" w:rsidRPr="00396421">
        <w:rPr>
          <w:i/>
          <w:iCs/>
        </w:rPr>
        <w:t>k</w:t>
      </w:r>
      <w:r w:rsidR="00A16A17" w:rsidRPr="00396421">
        <w:t xml:space="preserve"> and </w:t>
      </w:r>
      <w:r w:rsidR="00A16A17" w:rsidRPr="00396421">
        <w:rPr>
          <w:i/>
          <w:iCs/>
        </w:rPr>
        <w:t>j</w:t>
      </w:r>
      <w:r w:rsidR="00A16A17" w:rsidRPr="00396421">
        <w:t xml:space="preserve">, and </w:t>
      </w:r>
      <w:r w:rsidR="009B2507" w:rsidRPr="00396421">
        <w:rPr>
          <w:i/>
          <w:iCs/>
        </w:rPr>
        <w:t>P</w:t>
      </w:r>
      <w:r w:rsidR="009B2507" w:rsidRPr="00396421">
        <w:rPr>
          <w:i/>
          <w:iCs/>
          <w:vertAlign w:val="subscript"/>
        </w:rPr>
        <w:t>k</w:t>
      </w:r>
      <w:r w:rsidR="00A16A17" w:rsidRPr="00396421">
        <w:rPr>
          <w:i/>
          <w:iCs/>
        </w:rPr>
        <w:t xml:space="preserve"> </w:t>
      </w:r>
      <w:r w:rsidR="00A16A17" w:rsidRPr="00396421">
        <w:t xml:space="preserve">is the </w:t>
      </w:r>
      <w:r w:rsidR="009B2507" w:rsidRPr="00396421">
        <w:t>population of the geographic location whose centroid falls within the catchment</w:t>
      </w:r>
      <w:r w:rsidR="00A16A17" w:rsidRPr="00396421">
        <w:t>.</w:t>
      </w:r>
      <w:r w:rsidR="002A27A4" w:rsidRPr="0039642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08A54C46" w14:textId="199972DC" w:rsidR="00A16A17" w:rsidRPr="00396421" w:rsidRDefault="00A16A17" w:rsidP="00A16A17">
      <w:pPr>
        <w:ind w:left="720" w:firstLine="720"/>
      </w:pPr>
    </w:p>
    <w:p w14:paraId="3C0717F8" w14:textId="3B9E392C" w:rsidR="002A27A4" w:rsidRPr="00396421" w:rsidRDefault="00CB07D2" w:rsidP="002A27A4">
      <w:pPr>
        <w:pStyle w:val="ListParagraph"/>
        <w:numPr>
          <w:ilvl w:val="0"/>
          <w:numId w:val="2"/>
        </w:numPr>
        <w:rPr>
          <w:rFonts w:eastAsiaTheme="minorEastAsia"/>
          <w:i/>
          <w:iCs/>
        </w:rPr>
      </w:pPr>
      <w:r w:rsidRPr="00396421">
        <w:rPr>
          <w:i/>
          <w:iCs/>
        </w:rPr>
        <w:t xml:space="preserve">Step </w:t>
      </w:r>
      <w:r w:rsidR="00760D27" w:rsidRPr="00396421">
        <w:rPr>
          <w:i/>
          <w:iCs/>
        </w:rPr>
        <w:t>Two</w:t>
      </w:r>
      <w:r w:rsidRPr="00396421">
        <w:t xml:space="preserve">: For each population location </w:t>
      </w:r>
      <w:r w:rsidRPr="00396421">
        <w:rPr>
          <w:i/>
          <w:iCs/>
        </w:rPr>
        <w:t>i</w:t>
      </w:r>
      <w:r w:rsidRPr="00396421">
        <w:t xml:space="preserve">, search all physician locations </w:t>
      </w:r>
      <w:r w:rsidRPr="00396421">
        <w:rPr>
          <w:i/>
          <w:iCs/>
        </w:rPr>
        <w:t>j</w:t>
      </w:r>
      <w:r w:rsidRPr="00396421">
        <w:t xml:space="preserve"> that are within the threshold travel time </w:t>
      </w:r>
      <w:r w:rsidRPr="00396421">
        <w:rPr>
          <w:i/>
          <w:iCs/>
        </w:rPr>
        <w:t>d</w:t>
      </w:r>
      <w:r w:rsidRPr="00396421">
        <w:rPr>
          <w:i/>
          <w:iCs/>
          <w:vertAlign w:val="subscript"/>
        </w:rPr>
        <w:t>0</w:t>
      </w:r>
      <w:r w:rsidRPr="00396421">
        <w:rPr>
          <w:i/>
          <w:iCs/>
        </w:rPr>
        <w:t xml:space="preserve"> </w:t>
      </w:r>
      <w:r w:rsidRPr="00396421">
        <w:t xml:space="preserve">from location </w:t>
      </w:r>
      <w:r w:rsidRPr="00396421">
        <w:rPr>
          <w:i/>
          <w:iCs/>
        </w:rPr>
        <w:t>i</w:t>
      </w:r>
      <w:r w:rsidRPr="00396421">
        <w:t xml:space="preserve">, and sum the physician-to-population ratios, </w:t>
      </w:r>
      <w:proofErr w:type="spellStart"/>
      <w:r w:rsidRPr="00396421">
        <w:rPr>
          <w:i/>
          <w:iCs/>
        </w:rPr>
        <w:t>R</w:t>
      </w:r>
      <w:r w:rsidRPr="00396421">
        <w:rPr>
          <w:i/>
          <w:iCs/>
          <w:vertAlign w:val="subscript"/>
        </w:rPr>
        <w:t>j</w:t>
      </w:r>
      <w:proofErr w:type="spellEnd"/>
      <w:r w:rsidRPr="00396421">
        <w:t xml:space="preserve"> at these locations.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396421">
        <w:rPr>
          <w:rFonts w:eastAsiaTheme="minorEastAsia"/>
        </w:rPr>
        <w:t xml:space="preserve"> is the accessibility at resident location </w:t>
      </w:r>
      <w:r w:rsidRPr="00396421">
        <w:rPr>
          <w:rFonts w:eastAsiaTheme="minorEastAsia"/>
          <w:i/>
          <w:iCs/>
        </w:rPr>
        <w:t xml:space="preserve">i </w:t>
      </w:r>
      <w:r w:rsidRPr="00396421">
        <w:rPr>
          <w:rFonts w:eastAsiaTheme="minorEastAsia"/>
        </w:rPr>
        <w:t>while</w:t>
      </w:r>
      <w:r w:rsidRPr="00396421">
        <w:rPr>
          <w:rFonts w:eastAsiaTheme="minorEastAsia"/>
          <w:i/>
          <w:iCs/>
        </w:rPr>
        <w:t xml:space="preserve"> </w:t>
      </w:r>
      <w:proofErr w:type="spellStart"/>
      <w:r w:rsidRPr="00396421">
        <w:rPr>
          <w:rFonts w:eastAsiaTheme="minorEastAsia"/>
          <w:i/>
          <w:iCs/>
        </w:rPr>
        <w:t>R</w:t>
      </w:r>
      <w:r w:rsidRPr="00396421">
        <w:rPr>
          <w:rFonts w:eastAsiaTheme="minorEastAsia"/>
          <w:i/>
          <w:iCs/>
          <w:vertAlign w:val="subscript"/>
        </w:rPr>
        <w:t>j</w:t>
      </w:r>
      <w:proofErr w:type="spellEnd"/>
      <w:r w:rsidRPr="00396421">
        <w:rPr>
          <w:rFonts w:eastAsiaTheme="minorEastAsia"/>
          <w:i/>
          <w:iCs/>
          <w:vertAlign w:val="subscript"/>
        </w:rPr>
        <w:t xml:space="preserve"> </w:t>
      </w:r>
      <w:r w:rsidRPr="00396421">
        <w:rPr>
          <w:rFonts w:eastAsiaTheme="minorEastAsia"/>
        </w:rPr>
        <w:t>is the physician-to-population ratio at physician location</w:t>
      </w:r>
      <w:r w:rsidRPr="00396421">
        <w:rPr>
          <w:rFonts w:eastAsiaTheme="minorEastAsia"/>
          <w:i/>
          <w:iCs/>
        </w:rPr>
        <w:t xml:space="preserve"> j </w:t>
      </w:r>
      <w:r w:rsidRPr="00396421">
        <w:rPr>
          <w:rFonts w:eastAsiaTheme="minorEastAsia"/>
        </w:rPr>
        <w:t>whose centroid falls within the catchment centered at</w:t>
      </w:r>
      <w:r w:rsidRPr="00396421">
        <w:rPr>
          <w:rFonts w:eastAsiaTheme="minorEastAsia"/>
          <w:i/>
          <w:iCs/>
        </w:rPr>
        <w:t xml:space="preserve"> i (</w:t>
      </w:r>
      <w:proofErr w:type="spellStart"/>
      <w:r w:rsidRPr="00396421">
        <w:rPr>
          <w:rFonts w:eastAsiaTheme="minorEastAsia"/>
          <w:i/>
          <w:iCs/>
        </w:rPr>
        <w:t>d</w:t>
      </w:r>
      <w:r w:rsidRPr="00396421">
        <w:rPr>
          <w:rFonts w:eastAsiaTheme="minorEastAsia"/>
          <w:i/>
          <w:iCs/>
          <w:vertAlign w:val="subscript"/>
        </w:rPr>
        <w:t>ij</w:t>
      </w:r>
      <w:proofErr w:type="spellEnd"/>
      <w:r w:rsidRPr="00396421">
        <w:rPr>
          <w:rFonts w:eastAsiaTheme="minorEastAsia"/>
          <w:i/>
          <w:iCs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≤</m:t>
        </m:r>
      </m:oMath>
      <w:r w:rsidRPr="00396421">
        <w:rPr>
          <w:rFonts w:eastAsiaTheme="minorEastAsia"/>
          <w:i/>
          <w:iCs/>
        </w:rPr>
        <w:t xml:space="preserve"> d</w:t>
      </w:r>
      <w:r w:rsidRPr="00396421">
        <w:rPr>
          <w:rFonts w:eastAsiaTheme="minorEastAsia"/>
          <w:i/>
          <w:iCs/>
          <w:vertAlign w:val="subscript"/>
        </w:rPr>
        <w:t>0</w:t>
      </w:r>
      <w:r w:rsidRPr="00396421">
        <w:rPr>
          <w:rFonts w:eastAsiaTheme="minorEastAsia"/>
          <w:i/>
          <w:iCs/>
        </w:rPr>
        <w:t xml:space="preserve"> ), </w:t>
      </w:r>
      <w:r w:rsidRPr="00396421">
        <w:rPr>
          <w:rFonts w:eastAsiaTheme="minorEastAsia"/>
        </w:rPr>
        <w:t>and</w:t>
      </w:r>
      <w:r w:rsidRPr="00396421">
        <w:rPr>
          <w:rFonts w:eastAsiaTheme="minorEastAsia"/>
          <w:i/>
          <w:iCs/>
        </w:rPr>
        <w:t xml:space="preserve"> </w:t>
      </w:r>
      <w:proofErr w:type="spellStart"/>
      <w:r w:rsidRPr="00396421">
        <w:rPr>
          <w:rFonts w:eastAsiaTheme="minorEastAsia"/>
          <w:i/>
          <w:iCs/>
        </w:rPr>
        <w:t>d</w:t>
      </w:r>
      <w:r w:rsidRPr="00396421">
        <w:rPr>
          <w:rFonts w:eastAsiaTheme="minorEastAsia"/>
          <w:i/>
          <w:iCs/>
          <w:vertAlign w:val="subscript"/>
        </w:rPr>
        <w:t>i</w:t>
      </w:r>
      <w:r w:rsidR="00050013" w:rsidRPr="00396421">
        <w:rPr>
          <w:rFonts w:eastAsiaTheme="minorEastAsia"/>
          <w:i/>
          <w:iCs/>
          <w:vertAlign w:val="subscript"/>
        </w:rPr>
        <w:t>j</w:t>
      </w:r>
      <w:proofErr w:type="spellEnd"/>
      <w:r w:rsidRPr="00396421">
        <w:rPr>
          <w:rFonts w:eastAsiaTheme="minorEastAsia"/>
          <w:i/>
          <w:iCs/>
        </w:rPr>
        <w:t xml:space="preserve"> </w:t>
      </w:r>
      <w:r w:rsidRPr="00396421">
        <w:rPr>
          <w:rFonts w:eastAsiaTheme="minorEastAsia"/>
        </w:rPr>
        <w:t>is the travel time between</w:t>
      </w:r>
      <w:r w:rsidRPr="00396421">
        <w:rPr>
          <w:rFonts w:eastAsiaTheme="minorEastAsia"/>
          <w:i/>
          <w:iCs/>
        </w:rPr>
        <w:t xml:space="preserve"> i </w:t>
      </w:r>
      <w:r w:rsidRPr="00396421">
        <w:rPr>
          <w:rFonts w:eastAsiaTheme="minorEastAsia"/>
        </w:rPr>
        <w:t>and</w:t>
      </w:r>
      <w:r w:rsidRPr="00396421">
        <w:rPr>
          <w:rFonts w:eastAsiaTheme="minorEastAsia"/>
          <w:i/>
          <w:iCs/>
        </w:rPr>
        <w:t xml:space="preserve"> j.</w:t>
      </w:r>
    </w:p>
    <w:p w14:paraId="79AB2ED9" w14:textId="145C2914" w:rsidR="002A27A4" w:rsidRPr="00396421" w:rsidRDefault="002A27A4" w:rsidP="002A27A4">
      <w:pPr>
        <w:pStyle w:val="ListParagraph"/>
        <w:rPr>
          <w:rFonts w:eastAsiaTheme="minorEastAsia"/>
          <w:i/>
          <w:iCs/>
        </w:rPr>
      </w:pPr>
    </w:p>
    <w:p w14:paraId="1C6419D9" w14:textId="5B6FADC0" w:rsidR="002A27A4" w:rsidRPr="00396421" w:rsidRDefault="00EC5FA0" w:rsidP="002A27A4">
      <w:pPr>
        <w:pStyle w:val="ListParagraph"/>
        <w:ind w:left="14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j 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BC16D15" w14:textId="77777777" w:rsidR="002A27A4" w:rsidRPr="00396421" w:rsidRDefault="002A27A4"/>
    <w:p w14:paraId="7D458533" w14:textId="52EC1F7A" w:rsidR="0051452E" w:rsidRPr="00396421" w:rsidRDefault="00363027">
      <w:pPr>
        <w:rPr>
          <w:rFonts w:eastAsiaTheme="minorEastAsia"/>
        </w:rPr>
      </w:pPr>
      <w:r w:rsidRPr="00396421"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C4F854" wp14:editId="57C4D714">
            <wp:simplePos x="0" y="0"/>
            <wp:positionH relativeFrom="column">
              <wp:posOffset>0</wp:posOffset>
            </wp:positionH>
            <wp:positionV relativeFrom="paragraph">
              <wp:posOffset>1523365</wp:posOffset>
            </wp:positionV>
            <wp:extent cx="4944110" cy="5114925"/>
            <wp:effectExtent l="152400" t="152400" r="326390" b="34607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511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013" w:rsidRPr="00396421">
        <w:t xml:space="preserve">The larger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050013" w:rsidRPr="00396421">
        <w:rPr>
          <w:rFonts w:eastAsiaTheme="minorEastAsia"/>
        </w:rPr>
        <w:t xml:space="preserve"> value is, the better physician accessibility</w:t>
      </w:r>
      <w:r w:rsidR="00F0223A" w:rsidRPr="00396421">
        <w:rPr>
          <w:rFonts w:eastAsiaTheme="minorEastAsia"/>
        </w:rPr>
        <w:t xml:space="preserve"> for</w:t>
      </w:r>
      <w:r w:rsidR="00050013" w:rsidRPr="00396421">
        <w:rPr>
          <w:rFonts w:eastAsiaTheme="minorEastAsia"/>
        </w:rPr>
        <w:t xml:space="preserve"> a geographic location. Overall, step one assigns an initial ratio to each service area catchment centered around a physician location, and step two sums the initial ratios in the overlapped service areas (where residents have access to multiple physician locations).</w:t>
      </w:r>
      <w:r w:rsidR="004209EB" w:rsidRPr="00396421">
        <w:rPr>
          <w:rFonts w:eastAsiaTheme="minorEastAsia"/>
        </w:rPr>
        <w:t xml:space="preserve"> See the below for a</w:t>
      </w:r>
      <w:r w:rsidR="006F3480" w:rsidRPr="00396421">
        <w:rPr>
          <w:rFonts w:eastAsiaTheme="minorEastAsia"/>
        </w:rPr>
        <w:t xml:space="preserve"> visualization of this process</w:t>
      </w:r>
      <w:r w:rsidR="00CE30D5" w:rsidRPr="00396421">
        <w:rPr>
          <w:rFonts w:eastAsiaTheme="minorEastAsia"/>
        </w:rPr>
        <w:t xml:space="preserve"> using a </w:t>
      </w:r>
      <w:r w:rsidR="00FC6C9F" w:rsidRPr="00396421">
        <w:rPr>
          <w:rFonts w:eastAsiaTheme="minorEastAsia"/>
        </w:rPr>
        <w:t>30-minute travel time threshold.</w:t>
      </w:r>
      <w:r w:rsidR="001A56DA" w:rsidRPr="00396421">
        <w:rPr>
          <w:rStyle w:val="FootnoteReference"/>
          <w:rFonts w:eastAsiaTheme="minorEastAsia"/>
        </w:rPr>
        <w:footnoteReference w:id="5"/>
      </w:r>
      <w:r w:rsidR="006F3480" w:rsidRPr="00396421">
        <w:rPr>
          <w:rFonts w:eastAsiaTheme="minorEastAsia"/>
        </w:rPr>
        <w:t xml:space="preserve"> </w:t>
      </w:r>
      <w:r w:rsidR="00BE25A6" w:rsidRPr="00396421">
        <w:rPr>
          <w:rFonts w:eastAsiaTheme="minorEastAsia"/>
        </w:rPr>
        <w:t>In this example, the A value</w:t>
      </w:r>
      <w:r w:rsidR="00F6409B" w:rsidRPr="00396421">
        <w:rPr>
          <w:rFonts w:eastAsiaTheme="minorEastAsia"/>
        </w:rPr>
        <w:t xml:space="preserve"> (</w:t>
      </w:r>
      <w:r w:rsidRPr="00396421">
        <w:rPr>
          <w:rFonts w:eastAsiaTheme="minorEastAsia"/>
        </w:rPr>
        <w:t>accessibility at resident location) for each census tract</w:t>
      </w:r>
      <w:r w:rsidR="00BE25A6" w:rsidRPr="00396421">
        <w:rPr>
          <w:rFonts w:eastAsiaTheme="minorEastAsia"/>
        </w:rPr>
        <w:t xml:space="preserve"> would equal</w:t>
      </w:r>
      <w:r w:rsidR="00F537AB" w:rsidRPr="00396421">
        <w:rPr>
          <w:rFonts w:eastAsiaTheme="minorEastAsia"/>
        </w:rPr>
        <w:t xml:space="preserve"> </w:t>
      </w:r>
      <w:r w:rsidR="00100B6C" w:rsidRPr="00396421">
        <w:rPr>
          <w:rFonts w:eastAsiaTheme="minorEastAsia"/>
        </w:rPr>
        <w:t xml:space="preserve">the </w:t>
      </w:r>
      <w:r w:rsidR="00FF4D07" w:rsidRPr="00396421">
        <w:rPr>
          <w:rFonts w:eastAsiaTheme="minorEastAsia"/>
        </w:rPr>
        <w:t>sum of the</w:t>
      </w:r>
      <w:r w:rsidR="006D1900" w:rsidRPr="00396421">
        <w:rPr>
          <w:rFonts w:eastAsiaTheme="minorEastAsia"/>
        </w:rPr>
        <w:t xml:space="preserve"> R values</w:t>
      </w:r>
      <w:r w:rsidRPr="00396421">
        <w:rPr>
          <w:rFonts w:eastAsiaTheme="minorEastAsia"/>
        </w:rPr>
        <w:t xml:space="preserve"> (physician-to-population ratios)</w:t>
      </w:r>
      <w:r w:rsidR="006D1900" w:rsidRPr="00396421">
        <w:rPr>
          <w:rFonts w:eastAsiaTheme="minorEastAsia"/>
        </w:rPr>
        <w:t xml:space="preserve"> within each census tract.</w:t>
      </w:r>
      <w:r w:rsidR="009A5F34" w:rsidRPr="00396421">
        <w:rPr>
          <w:rFonts w:eastAsiaTheme="minorEastAsia"/>
        </w:rPr>
        <w:t xml:space="preserve"> There is no threshold to how much overlap is required between the physician catchment area and the census tract for the corresponding R value to be counted in step 2.</w:t>
      </w:r>
    </w:p>
    <w:p w14:paraId="0DBD4E37" w14:textId="1DF0C9AE" w:rsidR="00050013" w:rsidRPr="00396421" w:rsidRDefault="00050013">
      <w:pPr>
        <w:rPr>
          <w:b/>
          <w:bCs/>
        </w:rPr>
      </w:pPr>
    </w:p>
    <w:p w14:paraId="628E189F" w14:textId="4D9AFFAA" w:rsidR="00050013" w:rsidRPr="00396421" w:rsidRDefault="008A1676">
      <w:pPr>
        <w:rPr>
          <w:b/>
          <w:bCs/>
        </w:rPr>
      </w:pPr>
      <w:r w:rsidRPr="00396421">
        <w:rPr>
          <w:b/>
          <w:bCs/>
        </w:rPr>
        <w:lastRenderedPageBreak/>
        <w:t>Measure Usage</w:t>
      </w:r>
      <w:r w:rsidR="007C3B77" w:rsidRPr="00396421">
        <w:rPr>
          <w:b/>
          <w:bCs/>
        </w:rPr>
        <w:t xml:space="preserve"> for the Mental</w:t>
      </w:r>
      <w:r w:rsidR="009F7AD2" w:rsidRPr="00396421">
        <w:rPr>
          <w:b/>
          <w:bCs/>
        </w:rPr>
        <w:t xml:space="preserve"> Wellness Index</w:t>
      </w:r>
      <w:r w:rsidR="00F72CB7" w:rsidRPr="00396421">
        <w:rPr>
          <w:b/>
          <w:bCs/>
        </w:rPr>
        <w:t>:</w:t>
      </w:r>
    </w:p>
    <w:p w14:paraId="19D07AF3" w14:textId="2FFA28DD" w:rsidR="00F72CB7" w:rsidRPr="00396421" w:rsidRDefault="008A1676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>Alterations</w:t>
      </w:r>
    </w:p>
    <w:p w14:paraId="2AFE744A" w14:textId="21909D82" w:rsidR="008A1676" w:rsidRPr="00396421" w:rsidRDefault="00050013">
      <w:pPr>
        <w:rPr>
          <w:rFonts w:ascii="Times New Roman" w:eastAsia="Times New Roman" w:hAnsi="Times New Roman" w:cs="Times New Roman"/>
        </w:rPr>
      </w:pPr>
      <w:r w:rsidRPr="00396421">
        <w:rPr>
          <w:b/>
          <w:bCs/>
        </w:rPr>
        <w:tab/>
      </w:r>
      <w:r w:rsidR="000B5879" w:rsidRPr="00396421">
        <w:t>In the context of t</w:t>
      </w:r>
      <w:r w:rsidR="002A27A4" w:rsidRPr="00396421">
        <w:t>he</w:t>
      </w:r>
      <w:r w:rsidR="000B5879" w:rsidRPr="00396421">
        <w:t xml:space="preserve"> Mental </w:t>
      </w:r>
      <w:r w:rsidR="009F7AD2" w:rsidRPr="00396421">
        <w:t xml:space="preserve">Wellness </w:t>
      </w:r>
      <w:r w:rsidR="000B5879" w:rsidRPr="00396421">
        <w:t>Index, the</w:t>
      </w:r>
      <w:r w:rsidR="002A27A4" w:rsidRPr="00396421">
        <w:t xml:space="preserve"> </w:t>
      </w:r>
      <w:r w:rsidR="003B07DD" w:rsidRPr="00396421">
        <w:t>2S</w:t>
      </w:r>
      <w:r w:rsidR="002A27A4" w:rsidRPr="00396421">
        <w:t xml:space="preserve">FCA method was used to </w:t>
      </w:r>
      <w:r w:rsidR="000B5879" w:rsidRPr="00396421">
        <w:t>measure</w:t>
      </w:r>
      <w:r w:rsidR="002A27A4" w:rsidRPr="00396421">
        <w:t xml:space="preserve"> the accessibility for treatment centers. </w:t>
      </w:r>
      <w:r w:rsidR="009D3E12" w:rsidRPr="00396421">
        <w:t xml:space="preserve">The primary difference </w:t>
      </w:r>
      <w:r w:rsidR="009C1968" w:rsidRPr="00396421">
        <w:t xml:space="preserve">between our use of the 2SFCA and </w:t>
      </w:r>
      <w:r w:rsidR="00B039BF" w:rsidRPr="00396421">
        <w:t>Radke &amp; Mu’s</w:t>
      </w:r>
      <w:r w:rsidR="002F4186" w:rsidRPr="00396421">
        <w:t xml:space="preserve"> original outline </w:t>
      </w:r>
      <w:r w:rsidR="009D3E12" w:rsidRPr="00396421">
        <w:t xml:space="preserve">is that accessibility </w:t>
      </w:r>
      <w:r w:rsidR="005251D9" w:rsidRPr="00396421">
        <w:t>was</w:t>
      </w:r>
      <w:r w:rsidR="009D3E12" w:rsidRPr="00396421">
        <w:t xml:space="preserve"> computed for </w:t>
      </w:r>
      <w:r w:rsidR="000B5879" w:rsidRPr="00396421">
        <w:t>mental</w:t>
      </w:r>
      <w:r w:rsidR="009D3E12" w:rsidRPr="00396421">
        <w:t xml:space="preserve"> health and substance </w:t>
      </w:r>
      <w:r w:rsidR="00FB57FC" w:rsidRPr="00396421">
        <w:t xml:space="preserve">use </w:t>
      </w:r>
      <w:r w:rsidR="009D3E12" w:rsidRPr="00396421">
        <w:t xml:space="preserve">treatment facilities rather than general physicians. </w:t>
      </w:r>
      <w:r w:rsidR="00900D6E" w:rsidRPr="00396421">
        <w:t xml:space="preserve">Another </w:t>
      </w:r>
      <w:r w:rsidR="002A27A4" w:rsidRPr="00396421">
        <w:t>difference in our usage of the methodology is that distance thresholds were used (</w:t>
      </w:r>
      <w:r w:rsidR="00900D6E" w:rsidRPr="00396421">
        <w:t xml:space="preserve">as </w:t>
      </w:r>
      <w:r w:rsidR="002A27A4" w:rsidRPr="00396421">
        <w:t>in the standard FCA method) instead of travel time thresholds due to data availability.</w:t>
      </w:r>
      <w:r w:rsidR="00EC6D05" w:rsidRPr="00396421">
        <w:rPr>
          <w:rStyle w:val="FootnoteReference"/>
        </w:rPr>
        <w:footnoteReference w:id="6"/>
      </w:r>
      <w:r w:rsidR="008711D7" w:rsidRPr="00396421">
        <w:t xml:space="preserve"> </w:t>
      </w:r>
      <w:r w:rsidR="008711D7" w:rsidRPr="00396421">
        <w:rPr>
          <w:rFonts w:ascii="Calibri" w:hAnsi="Calibri" w:cs="Calibri"/>
        </w:rPr>
        <w:t>The</w:t>
      </w:r>
      <w:r w:rsidR="00E81089" w:rsidRPr="00396421">
        <w:rPr>
          <w:rFonts w:ascii="Calibri" w:hAnsi="Calibri" w:cs="Calibri"/>
        </w:rPr>
        <w:t xml:space="preserve"> distance</w:t>
      </w:r>
      <w:r w:rsidR="008711D7" w:rsidRPr="00396421">
        <w:rPr>
          <w:rFonts w:ascii="Calibri" w:hAnsi="Calibri" w:cs="Calibri"/>
        </w:rPr>
        <w:t xml:space="preserve"> thresholds</w:t>
      </w:r>
      <w:r w:rsidR="00E81089" w:rsidRPr="00396421">
        <w:rPr>
          <w:rFonts w:ascii="Calibri" w:hAnsi="Calibri" w:cs="Calibri"/>
        </w:rPr>
        <w:t xml:space="preserve"> used</w:t>
      </w:r>
      <w:r w:rsidR="008711D7" w:rsidRPr="00396421">
        <w:rPr>
          <w:rFonts w:ascii="Calibri" w:hAnsi="Calibri" w:cs="Calibri"/>
        </w:rPr>
        <w:t xml:space="preserve"> </w:t>
      </w:r>
      <w:r w:rsidR="00590B0A" w:rsidRPr="00396421">
        <w:rPr>
          <w:rFonts w:ascii="Calibri" w:hAnsi="Calibri" w:cs="Calibri"/>
        </w:rPr>
        <w:t xml:space="preserve">are </w:t>
      </w:r>
      <w:r w:rsidR="00590B0A" w:rsidRPr="00396421">
        <w:rPr>
          <w:rFonts w:ascii="Calibri" w:eastAsia="Times New Roman" w:hAnsi="Calibri" w:cs="Calibri"/>
        </w:rPr>
        <w:t>based on the county’s primary care Medicare Advantage distance thresholds</w:t>
      </w:r>
      <w:r w:rsidR="00FC4D5E" w:rsidRPr="00396421">
        <w:rPr>
          <w:rFonts w:ascii="Calibri" w:eastAsia="Times New Roman" w:hAnsi="Calibri" w:cs="Calibri"/>
        </w:rPr>
        <w:t xml:space="preserve">, which vary by </w:t>
      </w:r>
      <w:r w:rsidR="00EE03CC" w:rsidRPr="00396421">
        <w:rPr>
          <w:rFonts w:ascii="Calibri" w:eastAsia="Times New Roman" w:hAnsi="Calibri" w:cs="Calibri"/>
        </w:rPr>
        <w:t>micro</w:t>
      </w:r>
      <w:r w:rsidR="00815944" w:rsidRPr="00396421">
        <w:rPr>
          <w:rFonts w:ascii="Calibri" w:eastAsia="Times New Roman" w:hAnsi="Calibri" w:cs="Calibri"/>
        </w:rPr>
        <w:t>politan, metropolitan, and</w:t>
      </w:r>
      <w:r w:rsidR="002E4179" w:rsidRPr="00396421">
        <w:rPr>
          <w:rFonts w:ascii="Calibri" w:eastAsia="Times New Roman" w:hAnsi="Calibri" w:cs="Calibri"/>
        </w:rPr>
        <w:t xml:space="preserve"> rural areas.</w:t>
      </w:r>
      <w:r w:rsidR="009A5F34" w:rsidRPr="00396421">
        <w:rPr>
          <w:rStyle w:val="FootnoteReference"/>
          <w:rFonts w:ascii="Calibri" w:eastAsia="Times New Roman" w:hAnsi="Calibri" w:cs="Calibri"/>
        </w:rPr>
        <w:footnoteReference w:id="7"/>
      </w:r>
      <w:r w:rsidR="002A27A4" w:rsidRPr="00396421">
        <w:t xml:space="preserve"> Another key difference is that catchment areas were </w:t>
      </w:r>
      <w:r w:rsidR="0093636E" w:rsidRPr="00396421">
        <w:t>used based on</w:t>
      </w:r>
      <w:r w:rsidR="00367E95" w:rsidRPr="00396421">
        <w:t xml:space="preserve"> distance rather than travel time due to data availability</w:t>
      </w:r>
      <w:r w:rsidR="002A27A4" w:rsidRPr="00396421">
        <w:t>.</w:t>
      </w:r>
      <w:r w:rsidR="004038FA" w:rsidRPr="00396421">
        <w:t xml:space="preserve"> Within the referenced Excel Spreadsheet, we used the </w:t>
      </w:r>
      <w:r w:rsidR="00811E05" w:rsidRPr="00396421">
        <w:rPr>
          <w:i/>
          <w:iCs/>
        </w:rPr>
        <w:t>Provider Time &amp; Distance</w:t>
      </w:r>
      <w:r w:rsidR="00811E05" w:rsidRPr="00396421">
        <w:t xml:space="preserve"> tab a</w:t>
      </w:r>
      <w:r w:rsidR="00E81FDF" w:rsidRPr="00396421">
        <w:t xml:space="preserve">nd the subsequent </w:t>
      </w:r>
      <w:r w:rsidR="00A22997" w:rsidRPr="00396421">
        <w:t xml:space="preserve">distance </w:t>
      </w:r>
      <w:r w:rsidR="00E81FDF" w:rsidRPr="00396421">
        <w:t xml:space="preserve">values in the </w:t>
      </w:r>
      <w:r w:rsidR="00A22997" w:rsidRPr="00396421">
        <w:rPr>
          <w:i/>
          <w:iCs/>
        </w:rPr>
        <w:t>Primary Care</w:t>
      </w:r>
      <w:r w:rsidR="00A22997" w:rsidRPr="00396421">
        <w:t xml:space="preserve"> heading.</w:t>
      </w:r>
      <w:r w:rsidR="009A5F34" w:rsidRPr="00396421">
        <w:t xml:space="preserve"> This is why our catchment areas were perfect circles rather than amorphous figures denoted above.</w:t>
      </w:r>
      <w:r w:rsidR="002A27A4" w:rsidRPr="00396421">
        <w:t xml:space="preserve"> </w:t>
      </w:r>
      <w:r w:rsidR="00367E95" w:rsidRPr="00396421">
        <w:t>So</w:t>
      </w:r>
      <w:r w:rsidR="002A27A4" w:rsidRPr="00396421">
        <w:t>, the team computed the ellipsoid (</w:t>
      </w:r>
      <w:r w:rsidR="00323799" w:rsidRPr="00396421">
        <w:t xml:space="preserve">based </w:t>
      </w:r>
      <w:r w:rsidR="002A27A4" w:rsidRPr="00396421">
        <w:t xml:space="preserve">on the </w:t>
      </w:r>
      <w:r w:rsidR="007E4ECB" w:rsidRPr="00396421">
        <w:t>W</w:t>
      </w:r>
      <w:r w:rsidR="002A27A4" w:rsidRPr="00396421">
        <w:t xml:space="preserve">orld </w:t>
      </w:r>
      <w:r w:rsidR="007E4ECB" w:rsidRPr="00396421">
        <w:t>G</w:t>
      </w:r>
      <w:r w:rsidR="002A27A4" w:rsidRPr="00396421">
        <w:t xml:space="preserve">eodetic </w:t>
      </w:r>
      <w:r w:rsidR="007E4ECB" w:rsidRPr="00396421">
        <w:t>S</w:t>
      </w:r>
      <w:r w:rsidR="002A27A4" w:rsidRPr="00396421">
        <w:t>ystem</w:t>
      </w:r>
      <w:r w:rsidR="00CE1727" w:rsidRPr="00396421">
        <w:t xml:space="preserve"> standard</w:t>
      </w:r>
      <w:r w:rsidR="002A27A4" w:rsidRPr="00396421">
        <w:t xml:space="preserve">) difference in distance between the </w:t>
      </w:r>
      <w:r w:rsidR="009D3E12" w:rsidRPr="00396421">
        <w:t xml:space="preserve">facilities and the </w:t>
      </w:r>
      <w:r w:rsidR="005251D9" w:rsidRPr="00396421">
        <w:t>geographic location</w:t>
      </w:r>
      <w:r w:rsidR="009D3E12" w:rsidRPr="00396421">
        <w:t xml:space="preserve"> centroids. If that difference in distance was less than or equal to the distance threshold for a given </w:t>
      </w:r>
      <w:r w:rsidR="005251D9" w:rsidRPr="00396421">
        <w:t>geographic location</w:t>
      </w:r>
      <w:r w:rsidR="009D3E12" w:rsidRPr="00396421">
        <w:t xml:space="preserve">, it </w:t>
      </w:r>
      <w:r w:rsidR="00F9795F" w:rsidRPr="00396421">
        <w:t>was</w:t>
      </w:r>
      <w:r w:rsidR="009D3E12" w:rsidRPr="00396421">
        <w:t xml:space="preserve"> included in the facility-to-population ratio outlined in steps one and two</w:t>
      </w:r>
      <w:r w:rsidR="00F9795F" w:rsidRPr="00396421">
        <w:t xml:space="preserve"> above</w:t>
      </w:r>
      <w:r w:rsidR="009D3E12" w:rsidRPr="00396421">
        <w:t xml:space="preserve">. </w:t>
      </w:r>
      <w:r w:rsidR="00760D27" w:rsidRPr="00396421">
        <w:t>Further, because distances were used instead of catchments and facilities were used instead of physicians</w:t>
      </w:r>
      <w:r w:rsidR="009B2507" w:rsidRPr="00396421">
        <w:t xml:space="preserve">, the numerator in step </w:t>
      </w:r>
      <w:r w:rsidR="00760D27" w:rsidRPr="00396421">
        <w:t>one</w:t>
      </w:r>
      <w:r w:rsidR="00CF2FFE" w:rsidRPr="00396421">
        <w:t xml:space="preserve"> (</w:t>
      </w:r>
      <w:proofErr w:type="spellStart"/>
      <w:r w:rsidR="009B2507" w:rsidRPr="00396421">
        <w:rPr>
          <w:i/>
          <w:iCs/>
        </w:rPr>
        <w:t>S</w:t>
      </w:r>
      <w:r w:rsidR="009B2507" w:rsidRPr="00396421">
        <w:rPr>
          <w:i/>
          <w:iCs/>
          <w:vertAlign w:val="subscript"/>
        </w:rPr>
        <w:t>j</w:t>
      </w:r>
      <w:proofErr w:type="spellEnd"/>
      <w:r w:rsidR="00CF2FFE" w:rsidRPr="00396421">
        <w:t>)</w:t>
      </w:r>
      <w:r w:rsidR="009B2507" w:rsidRPr="00396421">
        <w:rPr>
          <w:i/>
          <w:iCs/>
        </w:rPr>
        <w:t xml:space="preserve"> </w:t>
      </w:r>
      <w:r w:rsidR="009B2507" w:rsidRPr="00396421">
        <w:t xml:space="preserve">is </w:t>
      </w:r>
      <w:r w:rsidR="00760D27" w:rsidRPr="00396421">
        <w:t>1</w:t>
      </w:r>
      <w:r w:rsidR="009B2507" w:rsidRPr="00396421">
        <w:t xml:space="preserve"> for all calculations</w:t>
      </w:r>
      <w:r w:rsidR="00CF2FFE" w:rsidRPr="00396421">
        <w:t xml:space="preserve"> to represent the facility </w:t>
      </w:r>
      <w:r w:rsidR="006B092F" w:rsidRPr="00396421">
        <w:t>for which the calculation is being performed</w:t>
      </w:r>
      <w:r w:rsidR="009B2507" w:rsidRPr="00396421">
        <w:t>.</w:t>
      </w:r>
    </w:p>
    <w:p w14:paraId="4B172C6B" w14:textId="77777777" w:rsidR="00050013" w:rsidRPr="00396421" w:rsidRDefault="00050013">
      <w:pPr>
        <w:rPr>
          <w:b/>
          <w:bCs/>
        </w:rPr>
      </w:pPr>
    </w:p>
    <w:p w14:paraId="24A96B47" w14:textId="2DDCB03E" w:rsidR="008A1676" w:rsidRPr="00396421" w:rsidRDefault="008A1676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>Implementation</w:t>
      </w:r>
    </w:p>
    <w:p w14:paraId="0662054E" w14:textId="64D86159" w:rsidR="00A16A17" w:rsidRPr="00396421" w:rsidRDefault="009D3E12">
      <w:r w:rsidRPr="00396421">
        <w:tab/>
      </w:r>
      <w:r w:rsidR="0070646F" w:rsidRPr="00396421">
        <w:t>The p</w:t>
      </w:r>
      <w:r w:rsidR="00CC7793" w:rsidRPr="00396421">
        <w:t xml:space="preserve">opulation weighted </w:t>
      </w:r>
      <w:r w:rsidR="0070646F" w:rsidRPr="00396421">
        <w:t xml:space="preserve">centroids of </w:t>
      </w:r>
      <w:r w:rsidR="00CC7793" w:rsidRPr="00396421">
        <w:t>c</w:t>
      </w:r>
      <w:r w:rsidR="005251D9" w:rsidRPr="00396421">
        <w:t>ensus tracts were used as geographic locations. For each census tract, accessibilit</w:t>
      </w:r>
      <w:r w:rsidR="00CB38D7" w:rsidRPr="00396421">
        <w:t>y</w:t>
      </w:r>
      <w:r w:rsidR="005251D9" w:rsidRPr="00396421">
        <w:t xml:space="preserve"> score</w:t>
      </w:r>
      <w:r w:rsidR="00CB38D7" w:rsidRPr="00396421">
        <w:t>s</w:t>
      </w:r>
      <w:r w:rsidR="005251D9" w:rsidRPr="00396421">
        <w:t xml:space="preserve"> </w:t>
      </w:r>
      <w:r w:rsidR="00CB38D7" w:rsidRPr="00396421">
        <w:t>were</w:t>
      </w:r>
      <w:r w:rsidR="005251D9" w:rsidRPr="00396421">
        <w:t xml:space="preserve"> created for </w:t>
      </w:r>
      <w:r w:rsidR="002F1B33" w:rsidRPr="00396421">
        <w:t>mental</w:t>
      </w:r>
      <w:r w:rsidR="005251D9" w:rsidRPr="00396421">
        <w:t xml:space="preserve"> health treatment facilities and for substance </w:t>
      </w:r>
      <w:r w:rsidR="00FB57FC" w:rsidRPr="00396421">
        <w:t xml:space="preserve">use </w:t>
      </w:r>
      <w:r w:rsidR="005251D9" w:rsidRPr="00396421">
        <w:t>treatment facilities</w:t>
      </w:r>
      <w:r w:rsidR="000454EB" w:rsidRPr="00396421">
        <w:t xml:space="preserve"> respectively</w:t>
      </w:r>
      <w:r w:rsidR="005251D9" w:rsidRPr="00396421">
        <w:t xml:space="preserve">. </w:t>
      </w:r>
    </w:p>
    <w:p w14:paraId="3A9B224B" w14:textId="77777777" w:rsidR="005251D9" w:rsidRPr="00396421" w:rsidRDefault="005251D9"/>
    <w:p w14:paraId="2EF90EDF" w14:textId="3B44F287" w:rsidR="00A16A17" w:rsidRPr="00396421" w:rsidRDefault="00A16A17">
      <w:pPr>
        <w:rPr>
          <w:b/>
          <w:bCs/>
          <w:i/>
          <w:iCs/>
        </w:rPr>
      </w:pPr>
      <w:r w:rsidRPr="00396421">
        <w:rPr>
          <w:b/>
          <w:bCs/>
          <w:i/>
          <w:iCs/>
        </w:rPr>
        <w:t>Example</w:t>
      </w:r>
    </w:p>
    <w:p w14:paraId="5CC3E434" w14:textId="5C1B7D47" w:rsidR="009B2507" w:rsidRPr="00396421" w:rsidRDefault="005251D9" w:rsidP="00396421">
      <w:pPr>
        <w:ind w:firstLine="720"/>
      </w:pPr>
      <w:r w:rsidRPr="00396421">
        <w:t xml:space="preserve">To put the usage of this method into context, we can consider an example of calculating a </w:t>
      </w:r>
      <w:r w:rsidR="009B2507" w:rsidRPr="00396421">
        <w:t xml:space="preserve">treatment center-to-population ratio </w:t>
      </w:r>
      <w:r w:rsidR="00AB3C80" w:rsidRPr="00396421">
        <w:t xml:space="preserve">and </w:t>
      </w:r>
      <w:r w:rsidR="009B2507" w:rsidRPr="00396421">
        <w:t xml:space="preserve">a </w:t>
      </w:r>
      <w:r w:rsidR="00760D27" w:rsidRPr="00396421">
        <w:t>mental</w:t>
      </w:r>
      <w:r w:rsidRPr="00396421">
        <w:t xml:space="preserve"> health</w:t>
      </w:r>
      <w:r w:rsidR="0015738F" w:rsidRPr="00396421">
        <w:t xml:space="preserve"> treatment facility</w:t>
      </w:r>
      <w:r w:rsidRPr="00396421">
        <w:t xml:space="preserve"> accessibility score for a certain census tract. </w:t>
      </w:r>
    </w:p>
    <w:p w14:paraId="0D589E13" w14:textId="1BB4FB86" w:rsidR="009B2507" w:rsidRPr="00396421" w:rsidRDefault="009B2507"/>
    <w:p w14:paraId="0921F523" w14:textId="3DB88BA1" w:rsidR="009B2507" w:rsidRPr="00396421" w:rsidRDefault="009B2507" w:rsidP="00BF7ECA">
      <w:pPr>
        <w:ind w:firstLine="720"/>
      </w:pPr>
      <w:r w:rsidRPr="00396421">
        <w:t xml:space="preserve">For the Jane Phillips Medical Center in Bartlesville, Oklahoma, the distance threshold, or reasonable distance to travel to access a treatment facility, </w:t>
      </w:r>
      <w:r w:rsidR="00560717" w:rsidRPr="00396421">
        <w:t xml:space="preserve">for </w:t>
      </w:r>
      <w:r w:rsidRPr="00396421">
        <w:t>the census tract is 10 miles</w:t>
      </w:r>
      <w:r w:rsidR="0000797C" w:rsidRPr="00396421">
        <w:t xml:space="preserve"> </w:t>
      </w:r>
      <w:r w:rsidR="00210C9F" w:rsidRPr="00396421">
        <w:t>based on</w:t>
      </w:r>
      <w:r w:rsidR="0000797C" w:rsidRPr="00396421">
        <w:t xml:space="preserve"> the county’s primary care Medicare Advantage distance threshold</w:t>
      </w:r>
      <w:r w:rsidR="00E501DC" w:rsidRPr="00396421">
        <w:t xml:space="preserve">, which </w:t>
      </w:r>
      <w:r w:rsidR="00915CA0" w:rsidRPr="00396421">
        <w:t xml:space="preserve">classifies the corresponding census tract as a </w:t>
      </w:r>
      <w:r w:rsidR="005A6AA3" w:rsidRPr="00396421">
        <w:t>metropolitan area</w:t>
      </w:r>
      <w:r w:rsidRPr="00396421">
        <w:t>. There are 1</w:t>
      </w:r>
      <w:r w:rsidR="00F54518" w:rsidRPr="00396421">
        <w:t>2</w:t>
      </w:r>
      <w:r w:rsidRPr="00396421">
        <w:t xml:space="preserve"> census tract centroids within 10 miles of this facility. The sum of the populations of </w:t>
      </w:r>
      <w:r w:rsidR="00560717" w:rsidRPr="00396421">
        <w:t>those 12</w:t>
      </w:r>
      <w:r w:rsidRPr="00396421">
        <w:t xml:space="preserve"> census tract</w:t>
      </w:r>
      <w:r w:rsidR="00F54518" w:rsidRPr="00396421">
        <w:t>s</w:t>
      </w:r>
      <w:r w:rsidRPr="00396421">
        <w:t xml:space="preserve"> is </w:t>
      </w:r>
      <w:r w:rsidR="00F54518" w:rsidRPr="00396421">
        <w:t xml:space="preserve">45,573. Using step one of the </w:t>
      </w:r>
      <w:r w:rsidR="00560717" w:rsidRPr="00396421">
        <w:t>2S</w:t>
      </w:r>
      <w:r w:rsidR="00F54518" w:rsidRPr="00396421">
        <w:t>FCA method, we can calculate the treatment center-to-population ratio below:</w:t>
      </w:r>
    </w:p>
    <w:p w14:paraId="30645327" w14:textId="5C248466" w:rsidR="0003010A" w:rsidRPr="00396421" w:rsidRDefault="00EC5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7FF82B0C" w14:textId="77777777" w:rsidR="0003010A" w:rsidRPr="00396421" w:rsidRDefault="0003010A">
      <w:pPr>
        <w:rPr>
          <w:rFonts w:eastAsiaTheme="minorEastAsia"/>
        </w:rPr>
      </w:pPr>
    </w:p>
    <w:p w14:paraId="79B10110" w14:textId="6E985E12" w:rsidR="00F54518" w:rsidRPr="00396421" w:rsidRDefault="00EC5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45573</m:t>
              </m:r>
            </m:den>
          </m:f>
        </m:oMath>
      </m:oMathPara>
    </w:p>
    <w:p w14:paraId="665DDC56" w14:textId="77777777" w:rsidR="0003010A" w:rsidRPr="00396421" w:rsidRDefault="0003010A">
      <w:pPr>
        <w:rPr>
          <w:rFonts w:eastAsiaTheme="minorEastAsia"/>
        </w:rPr>
      </w:pPr>
    </w:p>
    <w:p w14:paraId="39BA12A1" w14:textId="092486EC" w:rsidR="00F54518" w:rsidRPr="00396421" w:rsidRDefault="00EC5F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 .0000219428170188</m:t>
          </m:r>
        </m:oMath>
      </m:oMathPara>
    </w:p>
    <w:p w14:paraId="14D19C36" w14:textId="77777777" w:rsidR="009B2507" w:rsidRPr="00396421" w:rsidRDefault="009B2507"/>
    <w:p w14:paraId="1A1E7C6C" w14:textId="0BC287EA" w:rsidR="008A1676" w:rsidRPr="00396421" w:rsidRDefault="001B2C8E">
      <w:r w:rsidRPr="00396421">
        <w:t>F</w:t>
      </w:r>
      <w:r w:rsidR="005251D9" w:rsidRPr="00396421">
        <w:t xml:space="preserve">or census tract </w:t>
      </w:r>
      <w:r w:rsidR="00EF452B" w:rsidRPr="00396421">
        <w:t>40147000400</w:t>
      </w:r>
      <w:r w:rsidR="00657A63" w:rsidRPr="00396421">
        <w:t xml:space="preserve"> </w:t>
      </w:r>
      <w:r w:rsidR="0003010A" w:rsidRPr="00396421">
        <w:t xml:space="preserve">in </w:t>
      </w:r>
      <w:r w:rsidR="00EF452B" w:rsidRPr="00396421">
        <w:t>Bart</w:t>
      </w:r>
      <w:r w:rsidR="00551EB8" w:rsidRPr="00396421">
        <w:t>lesville</w:t>
      </w:r>
      <w:r w:rsidR="0003010A" w:rsidRPr="00396421">
        <w:t xml:space="preserve">, </w:t>
      </w:r>
      <w:r w:rsidR="00551EB8" w:rsidRPr="00396421">
        <w:t>Oklahoma</w:t>
      </w:r>
      <w:r w:rsidR="005251D9" w:rsidRPr="00396421">
        <w:t>, the distance threshold</w:t>
      </w:r>
      <w:r w:rsidR="00AD5D4C" w:rsidRPr="00396421">
        <w:t xml:space="preserve"> is </w:t>
      </w:r>
      <w:r w:rsidR="00484350" w:rsidRPr="00396421">
        <w:t>1</w:t>
      </w:r>
      <w:r w:rsidR="00AD5D4C" w:rsidRPr="00396421">
        <w:t>0 miles</w:t>
      </w:r>
      <w:r w:rsidR="002D297A" w:rsidRPr="00396421">
        <w:t xml:space="preserve"> (again </w:t>
      </w:r>
      <w:r w:rsidR="00F72546" w:rsidRPr="00396421">
        <w:t>defined</w:t>
      </w:r>
      <w:r w:rsidR="002D297A" w:rsidRPr="00396421">
        <w:t xml:space="preserve"> by the county’s primary care Medicare Advantage distance threshold)</w:t>
      </w:r>
      <w:r w:rsidR="00AD5D4C" w:rsidRPr="00396421">
        <w:t>. The</w:t>
      </w:r>
      <w:r w:rsidR="009B2507" w:rsidRPr="00396421">
        <w:t xml:space="preserve">re are </w:t>
      </w:r>
      <w:r w:rsidR="003F0C47" w:rsidRPr="00396421">
        <w:t xml:space="preserve">three </w:t>
      </w:r>
      <w:r w:rsidR="002F1B33" w:rsidRPr="00396421">
        <w:t>mental</w:t>
      </w:r>
      <w:r w:rsidR="00AD5D4C" w:rsidRPr="00396421">
        <w:t xml:space="preserve"> health treatment facilities within </w:t>
      </w:r>
      <w:r w:rsidR="003F0C47" w:rsidRPr="00396421">
        <w:t>1</w:t>
      </w:r>
      <w:r w:rsidR="00AD5D4C" w:rsidRPr="00396421">
        <w:t>0 miles of the census tract</w:t>
      </w:r>
      <w:r w:rsidR="009B2507" w:rsidRPr="00396421">
        <w:t>.</w:t>
      </w:r>
      <w:r w:rsidR="002F1B33" w:rsidRPr="00396421">
        <w:t xml:space="preserve"> Using step two of the </w:t>
      </w:r>
      <w:r w:rsidR="002D297A" w:rsidRPr="00396421">
        <w:t>2S</w:t>
      </w:r>
      <w:r w:rsidR="002F1B33" w:rsidRPr="00396421">
        <w:t>FCA method, we can calculate the treatment center accessibility score by summing the treatment center-to-population ratios</w:t>
      </w:r>
      <w:r w:rsidR="004D67A7" w:rsidRPr="00396421">
        <w:t xml:space="preserve"> of each of the </w:t>
      </w:r>
      <w:r w:rsidR="003D6433" w:rsidRPr="00396421">
        <w:t xml:space="preserve">three </w:t>
      </w:r>
      <w:r w:rsidR="004D67A7" w:rsidRPr="00396421">
        <w:t>mental health treatment facilities</w:t>
      </w:r>
      <w:r w:rsidR="00013F54" w:rsidRPr="00396421">
        <w:t xml:space="preserve"> that are within </w:t>
      </w:r>
      <w:r w:rsidR="00484350" w:rsidRPr="00396421">
        <w:t>1</w:t>
      </w:r>
      <w:r w:rsidR="00013F54" w:rsidRPr="00396421">
        <w:t>0 miles</w:t>
      </w:r>
      <w:r w:rsidR="002F1B33" w:rsidRPr="00396421">
        <w:t>:</w:t>
      </w:r>
    </w:p>
    <w:p w14:paraId="09B8C495" w14:textId="3FF46D87" w:rsidR="005A4A17" w:rsidRPr="00396421" w:rsidRDefault="00EC5F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j 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02D7C66" w14:textId="25CA7048" w:rsidR="00DD54B1" w:rsidRPr="00396421" w:rsidRDefault="00EC5FA0" w:rsidP="00DD54B1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.00002194282</m:t>
          </m:r>
          <m:r>
            <w:rPr>
              <w:rFonts w:ascii="Cambria Math" w:hAnsi="Cambria Math"/>
            </w:rPr>
            <m:t>+ .00002194282+.00002194282</m:t>
          </m:r>
        </m:oMath>
      </m:oMathPara>
    </w:p>
    <w:p w14:paraId="1F1AA305" w14:textId="62423340" w:rsidR="005A4A17" w:rsidRPr="00396421" w:rsidRDefault="00EC5FA0" w:rsidP="00DD54B1">
      <w:pPr>
        <w:rPr>
          <w:rFonts w:ascii="Calibri" w:eastAsiaTheme="minorEastAsia" w:hAnsi="Calibri"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F</m:t>
              </m:r>
            </m:sup>
          </m:sSubSup>
          <m:r>
            <w:rPr>
              <w:rFonts w:ascii="Cambria Math" w:hAnsi="Cambria Math" w:cs="Calibri"/>
            </w:rPr>
            <m:t>= .00006582846</m:t>
          </m:r>
        </m:oMath>
      </m:oMathPara>
    </w:p>
    <w:p w14:paraId="561A3084" w14:textId="77777777" w:rsidR="005251D9" w:rsidRPr="00396421" w:rsidRDefault="005251D9">
      <w:pPr>
        <w:rPr>
          <w:b/>
          <w:bCs/>
        </w:rPr>
      </w:pPr>
    </w:p>
    <w:p w14:paraId="7CD45C7A" w14:textId="27005129" w:rsidR="00F72CB7" w:rsidRPr="00396421" w:rsidRDefault="00F72CB7">
      <w:pPr>
        <w:rPr>
          <w:b/>
          <w:bCs/>
        </w:rPr>
      </w:pPr>
      <w:r w:rsidRPr="00396421">
        <w:rPr>
          <w:b/>
          <w:bCs/>
        </w:rPr>
        <w:t>Strengths:</w:t>
      </w:r>
    </w:p>
    <w:p w14:paraId="0CDC6572" w14:textId="304A284D" w:rsidR="008A6EF4" w:rsidRPr="00396421" w:rsidRDefault="005E5403" w:rsidP="008A6EF4">
      <w:r w:rsidRPr="00396421">
        <w:rPr>
          <w:b/>
          <w:bCs/>
        </w:rPr>
        <w:tab/>
      </w:r>
      <w:r w:rsidR="00DD54B1" w:rsidRPr="00396421">
        <w:t xml:space="preserve"> </w:t>
      </w:r>
      <w:r w:rsidR="000A68F0" w:rsidRPr="00396421">
        <w:t>The primary strength of this method</w:t>
      </w:r>
      <w:r w:rsidR="00554C3B" w:rsidRPr="00396421">
        <w:t xml:space="preserve"> is that it </w:t>
      </w:r>
      <w:r w:rsidR="00AD5339" w:rsidRPr="00396421">
        <w:t xml:space="preserve">is border-agnostic, meaning that </w:t>
      </w:r>
      <w:r w:rsidR="007178FF" w:rsidRPr="00396421">
        <w:t xml:space="preserve">the method would refer </w:t>
      </w:r>
      <w:r w:rsidR="00391A12" w:rsidRPr="00396421">
        <w:t>people to</w:t>
      </w:r>
      <w:r w:rsidR="00575B2F" w:rsidRPr="00396421">
        <w:t xml:space="preserve"> facilities</w:t>
      </w:r>
      <w:r w:rsidR="00A26BB1" w:rsidRPr="00396421">
        <w:t xml:space="preserve"> based on distance</w:t>
      </w:r>
      <w:r w:rsidR="00575B2F" w:rsidRPr="00396421">
        <w:t xml:space="preserve"> </w:t>
      </w:r>
      <w:r w:rsidR="004A5A0F" w:rsidRPr="00396421">
        <w:t xml:space="preserve">regardless of </w:t>
      </w:r>
      <w:r w:rsidR="003F33B2" w:rsidRPr="00396421">
        <w:t>what</w:t>
      </w:r>
      <w:r w:rsidR="00711FBB" w:rsidRPr="00396421">
        <w:t xml:space="preserve"> geographic entity they reside in and</w:t>
      </w:r>
      <w:r w:rsidR="007564F7" w:rsidRPr="00396421">
        <w:t xml:space="preserve"> what geographic border the facility is housed in</w:t>
      </w:r>
      <w:r w:rsidR="00BE0A2F" w:rsidRPr="00396421">
        <w:t>.</w:t>
      </w:r>
    </w:p>
    <w:p w14:paraId="7E2C7517" w14:textId="77777777" w:rsidR="008A6EF4" w:rsidRPr="00396421" w:rsidRDefault="008A6EF4" w:rsidP="008A6EF4">
      <w:pPr>
        <w:rPr>
          <w:b/>
          <w:bCs/>
        </w:rPr>
      </w:pPr>
    </w:p>
    <w:p w14:paraId="0A94F9C8" w14:textId="77777777" w:rsidR="008A6EF4" w:rsidRPr="00396421" w:rsidRDefault="008A6EF4" w:rsidP="008A6EF4">
      <w:r w:rsidRPr="00396421">
        <w:rPr>
          <w:b/>
          <w:bCs/>
        </w:rPr>
        <w:t xml:space="preserve">Limitations: </w:t>
      </w:r>
    </w:p>
    <w:p w14:paraId="625BB3B2" w14:textId="73A35B20" w:rsidR="0011227C" w:rsidRPr="00396421" w:rsidRDefault="008A6EF4" w:rsidP="0011227C">
      <w:pPr>
        <w:ind w:firstLine="720"/>
      </w:pPr>
      <w:r w:rsidRPr="00396421">
        <w:t xml:space="preserve">The main limitation in our use of this method is that distance thresholds instead of travel time thresholds were utilized, due to data availability. </w:t>
      </w:r>
      <w:r w:rsidR="000D0AE6" w:rsidRPr="00396421">
        <w:t>This is a drawback because a facility that is close in physical distance may have a long travel time, while a facility that is physically further away may in fact have a shorter travel time.</w:t>
      </w:r>
      <w:r w:rsidR="0011227C" w:rsidRPr="00396421">
        <w:t xml:space="preserve"> </w:t>
      </w:r>
      <w:r w:rsidR="004070C5" w:rsidRPr="00396421">
        <w:t>Due to a lack of data on travel times</w:t>
      </w:r>
      <w:r w:rsidR="0011227C" w:rsidRPr="00396421">
        <w:t>, we were not able to utilize a more developed version of the 2SFCA, the enhanced two-step floating catchment area (E2SFCA), which is an extension of the 2SFCA that accounts for distance decay by assigning weights to different travel time zones.</w:t>
      </w:r>
    </w:p>
    <w:p w14:paraId="3A14962A" w14:textId="42D193F6" w:rsidR="00F72CB7" w:rsidRPr="00396421" w:rsidRDefault="00F72CB7">
      <w:pPr>
        <w:rPr>
          <w:b/>
          <w:bCs/>
        </w:rPr>
      </w:pPr>
    </w:p>
    <w:p w14:paraId="7D2621E0" w14:textId="19E36E29" w:rsidR="00F72CB7" w:rsidRPr="00396421" w:rsidRDefault="00F72CB7">
      <w:pPr>
        <w:rPr>
          <w:b/>
          <w:bCs/>
        </w:rPr>
      </w:pPr>
      <w:r w:rsidRPr="00396421">
        <w:rPr>
          <w:b/>
          <w:bCs/>
        </w:rPr>
        <w:t>Measure(s) Using Methodology</w:t>
      </w:r>
    </w:p>
    <w:p w14:paraId="2A2C45EF" w14:textId="6F1401AA" w:rsidR="00ED2881" w:rsidRPr="00396421" w:rsidRDefault="005221BB" w:rsidP="001F387B">
      <w:pPr>
        <w:pStyle w:val="ListParagraph"/>
        <w:numPr>
          <w:ilvl w:val="0"/>
          <w:numId w:val="3"/>
        </w:numPr>
      </w:pPr>
      <w:r w:rsidRPr="00396421">
        <w:t xml:space="preserve">Mental </w:t>
      </w:r>
      <w:r w:rsidR="00F955C1" w:rsidRPr="00396421">
        <w:t>H</w:t>
      </w:r>
      <w:r w:rsidRPr="00396421">
        <w:t>ealth</w:t>
      </w:r>
      <w:r w:rsidR="00F955C1" w:rsidRPr="00396421">
        <w:t xml:space="preserve"> Treatment Facility Access </w:t>
      </w:r>
    </w:p>
    <w:p w14:paraId="4505E29A" w14:textId="3FFF93A0" w:rsidR="00F72CB7" w:rsidRPr="00396421" w:rsidRDefault="00F955C1" w:rsidP="001F387B">
      <w:pPr>
        <w:pStyle w:val="ListParagraph"/>
        <w:numPr>
          <w:ilvl w:val="0"/>
          <w:numId w:val="3"/>
        </w:numPr>
      </w:pPr>
      <w:r w:rsidRPr="00396421">
        <w:t>S</w:t>
      </w:r>
      <w:r w:rsidR="005221BB" w:rsidRPr="00396421">
        <w:t xml:space="preserve">ubstance </w:t>
      </w:r>
      <w:r w:rsidR="008619DA" w:rsidRPr="00396421">
        <w:t xml:space="preserve">Use </w:t>
      </w:r>
      <w:r w:rsidR="00ED2881" w:rsidRPr="00396421">
        <w:t>Treatment Facility Access</w:t>
      </w:r>
    </w:p>
    <w:p w14:paraId="1BC5EA5E" w14:textId="77777777" w:rsidR="005A4A17" w:rsidRDefault="005A4A17"/>
    <w:p w14:paraId="748885CF" w14:textId="77777777" w:rsidR="0062389C" w:rsidRDefault="0062389C" w:rsidP="00BA5A60"/>
    <w:p w14:paraId="68629F12" w14:textId="77777777" w:rsidR="005A4A17" w:rsidRDefault="005A4A17" w:rsidP="005A4A17">
      <w:pPr>
        <w:ind w:left="720" w:hanging="720"/>
      </w:pPr>
    </w:p>
    <w:p w14:paraId="4EC62446" w14:textId="62901E19" w:rsidR="005A4A17" w:rsidRPr="005A4A17" w:rsidRDefault="005A4A17" w:rsidP="005A4A17">
      <w:pPr>
        <w:ind w:left="720" w:hanging="720"/>
      </w:pPr>
    </w:p>
    <w:sectPr w:rsidR="005A4A17" w:rsidRPr="005A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698A" w14:textId="77777777" w:rsidR="00EC5FA0" w:rsidRDefault="00EC5FA0" w:rsidP="00FA65C5">
      <w:r>
        <w:separator/>
      </w:r>
    </w:p>
  </w:endnote>
  <w:endnote w:type="continuationSeparator" w:id="0">
    <w:p w14:paraId="004A325D" w14:textId="77777777" w:rsidR="00EC5FA0" w:rsidRDefault="00EC5FA0" w:rsidP="00FA65C5">
      <w:r>
        <w:continuationSeparator/>
      </w:r>
    </w:p>
  </w:endnote>
  <w:endnote w:type="continuationNotice" w:id="1">
    <w:p w14:paraId="385AA6EB" w14:textId="77777777" w:rsidR="00EC5FA0" w:rsidRDefault="00EC5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BD33" w14:textId="77777777" w:rsidR="00EC5FA0" w:rsidRDefault="00EC5FA0" w:rsidP="00FA65C5">
      <w:r>
        <w:separator/>
      </w:r>
    </w:p>
  </w:footnote>
  <w:footnote w:type="continuationSeparator" w:id="0">
    <w:p w14:paraId="6EA94592" w14:textId="77777777" w:rsidR="00EC5FA0" w:rsidRDefault="00EC5FA0" w:rsidP="00FA65C5">
      <w:r>
        <w:continuationSeparator/>
      </w:r>
    </w:p>
  </w:footnote>
  <w:footnote w:type="continuationNotice" w:id="1">
    <w:p w14:paraId="777F0308" w14:textId="77777777" w:rsidR="00EC5FA0" w:rsidRDefault="00EC5FA0"/>
  </w:footnote>
  <w:footnote w:id="2">
    <w:p w14:paraId="7832E44A" w14:textId="47EE3727" w:rsidR="00E54BA7" w:rsidRPr="00396421" w:rsidRDefault="00E54BA7" w:rsidP="00396421">
      <w:pPr>
        <w:ind w:left="720" w:hanging="720"/>
        <w:rPr>
          <w:b/>
          <w:bCs/>
          <w:sz w:val="20"/>
          <w:szCs w:val="20"/>
        </w:rPr>
      </w:pPr>
      <w:r w:rsidRPr="000B5E22">
        <w:rPr>
          <w:rStyle w:val="FootnoteReference"/>
          <w:sz w:val="20"/>
          <w:szCs w:val="20"/>
        </w:rPr>
        <w:footnoteRef/>
      </w:r>
      <w:r w:rsidRPr="000B5E22">
        <w:rPr>
          <w:sz w:val="20"/>
          <w:szCs w:val="20"/>
        </w:rPr>
        <w:t xml:space="preserve"> Peng Z. </w:t>
      </w:r>
      <w:r w:rsidR="00461BC2">
        <w:rPr>
          <w:sz w:val="20"/>
          <w:szCs w:val="20"/>
        </w:rPr>
        <w:t>(</w:t>
      </w:r>
      <w:r w:rsidRPr="000B5E22">
        <w:rPr>
          <w:sz w:val="20"/>
          <w:szCs w:val="20"/>
        </w:rPr>
        <w:t>1997</w:t>
      </w:r>
      <w:r w:rsidR="00C23B02">
        <w:rPr>
          <w:sz w:val="20"/>
          <w:szCs w:val="20"/>
        </w:rPr>
        <w:t xml:space="preserve">). </w:t>
      </w:r>
      <w:r w:rsidRPr="000B5E22">
        <w:rPr>
          <w:sz w:val="20"/>
          <w:szCs w:val="20"/>
        </w:rPr>
        <w:t xml:space="preserve">The </w:t>
      </w:r>
      <w:r w:rsidR="006C49DA">
        <w:rPr>
          <w:sz w:val="20"/>
          <w:szCs w:val="20"/>
        </w:rPr>
        <w:t>J</w:t>
      </w:r>
      <w:r w:rsidRPr="000B5E22">
        <w:rPr>
          <w:sz w:val="20"/>
          <w:szCs w:val="20"/>
        </w:rPr>
        <w:t>obs-</w:t>
      </w:r>
      <w:r w:rsidR="006C49DA">
        <w:rPr>
          <w:sz w:val="20"/>
          <w:szCs w:val="20"/>
        </w:rPr>
        <w:t>H</w:t>
      </w:r>
      <w:r w:rsidRPr="000B5E22">
        <w:rPr>
          <w:sz w:val="20"/>
          <w:szCs w:val="20"/>
        </w:rPr>
        <w:t xml:space="preserve">ousing </w:t>
      </w:r>
      <w:r w:rsidR="00E34543">
        <w:rPr>
          <w:sz w:val="20"/>
          <w:szCs w:val="20"/>
        </w:rPr>
        <w:t>B</w:t>
      </w:r>
      <w:r w:rsidRPr="000B5E22">
        <w:rPr>
          <w:sz w:val="20"/>
          <w:szCs w:val="20"/>
        </w:rPr>
        <w:t xml:space="preserve">alance and </w:t>
      </w:r>
      <w:r w:rsidR="00E34543">
        <w:rPr>
          <w:sz w:val="20"/>
          <w:szCs w:val="20"/>
        </w:rPr>
        <w:t>U</w:t>
      </w:r>
      <w:r w:rsidRPr="000B5E22">
        <w:rPr>
          <w:sz w:val="20"/>
          <w:szCs w:val="20"/>
        </w:rPr>
        <w:t xml:space="preserve">rban </w:t>
      </w:r>
      <w:r w:rsidR="00E34543">
        <w:rPr>
          <w:sz w:val="20"/>
          <w:szCs w:val="20"/>
        </w:rPr>
        <w:t>C</w:t>
      </w:r>
      <w:r w:rsidRPr="000B5E22">
        <w:rPr>
          <w:sz w:val="20"/>
          <w:szCs w:val="20"/>
        </w:rPr>
        <w:t>ommuting</w:t>
      </w:r>
      <w:r w:rsidR="00C23B02">
        <w:rPr>
          <w:sz w:val="20"/>
          <w:szCs w:val="20"/>
        </w:rPr>
        <w:t>.</w:t>
      </w:r>
      <w:r w:rsidRPr="000B5E22">
        <w:rPr>
          <w:sz w:val="20"/>
          <w:szCs w:val="20"/>
        </w:rPr>
        <w:t xml:space="preserve"> </w:t>
      </w:r>
      <w:r w:rsidRPr="00396421">
        <w:rPr>
          <w:i/>
          <w:iCs/>
          <w:sz w:val="20"/>
          <w:szCs w:val="20"/>
        </w:rPr>
        <w:t>Urban Studies</w:t>
      </w:r>
      <w:r w:rsidR="009757F7">
        <w:rPr>
          <w:i/>
          <w:iCs/>
          <w:sz w:val="20"/>
          <w:szCs w:val="20"/>
        </w:rPr>
        <w:t>,</w:t>
      </w:r>
      <w:r w:rsidRPr="000B5E22">
        <w:rPr>
          <w:sz w:val="20"/>
          <w:szCs w:val="20"/>
        </w:rPr>
        <w:t xml:space="preserve"> </w:t>
      </w:r>
      <w:r w:rsidRPr="00396421">
        <w:rPr>
          <w:i/>
          <w:iCs/>
          <w:sz w:val="20"/>
          <w:szCs w:val="20"/>
        </w:rPr>
        <w:t>34</w:t>
      </w:r>
      <w:r w:rsidR="00A85C3A" w:rsidRPr="00396421">
        <w:rPr>
          <w:sz w:val="20"/>
          <w:szCs w:val="20"/>
        </w:rPr>
        <w:t>(8)</w:t>
      </w:r>
      <w:r w:rsidR="009757F7">
        <w:rPr>
          <w:sz w:val="20"/>
          <w:szCs w:val="20"/>
        </w:rPr>
        <w:t>,</w:t>
      </w:r>
      <w:r w:rsidRPr="000B5E22">
        <w:rPr>
          <w:sz w:val="20"/>
          <w:szCs w:val="20"/>
        </w:rPr>
        <w:t xml:space="preserve"> 1215 – 1235</w:t>
      </w:r>
      <w:r w:rsidR="009757F7">
        <w:rPr>
          <w:sz w:val="20"/>
          <w:szCs w:val="20"/>
        </w:rPr>
        <w:t xml:space="preserve">. </w:t>
      </w:r>
      <w:hyperlink r:id="rId1" w:history="1">
        <w:r w:rsidR="00BA1476" w:rsidRPr="002873D7">
          <w:rPr>
            <w:rStyle w:val="Hyperlink"/>
            <w:sz w:val="20"/>
            <w:szCs w:val="20"/>
          </w:rPr>
          <w:t>https://doi.org/10.1080/0042098975600</w:t>
        </w:r>
      </w:hyperlink>
      <w:r w:rsidR="00BA1476">
        <w:rPr>
          <w:sz w:val="20"/>
          <w:szCs w:val="20"/>
        </w:rPr>
        <w:t xml:space="preserve"> </w:t>
      </w:r>
    </w:p>
  </w:footnote>
  <w:footnote w:id="3">
    <w:p w14:paraId="079EB7BA" w14:textId="0B3D6332" w:rsidR="00E54BA7" w:rsidRPr="000B5E22" w:rsidRDefault="00E54BA7" w:rsidP="00396421">
      <w:pPr>
        <w:ind w:left="720" w:hanging="720"/>
        <w:rPr>
          <w:sz w:val="20"/>
          <w:szCs w:val="20"/>
        </w:rPr>
      </w:pPr>
      <w:r w:rsidRPr="000B5E22">
        <w:rPr>
          <w:rStyle w:val="FootnoteReference"/>
          <w:sz w:val="20"/>
          <w:szCs w:val="20"/>
        </w:rPr>
        <w:footnoteRef/>
      </w:r>
      <w:r w:rsidRPr="000B5E22">
        <w:rPr>
          <w:sz w:val="20"/>
          <w:szCs w:val="20"/>
        </w:rPr>
        <w:t xml:space="preserve"> </w:t>
      </w:r>
      <w:r w:rsidR="0086162C" w:rsidRPr="0086162C">
        <w:rPr>
          <w:sz w:val="20"/>
          <w:szCs w:val="20"/>
        </w:rPr>
        <w:t>Wang, F., &amp; Minor, W. W. (2002). Where the jobs are: Employment access and crime patterns in Cleveland. Annals of the Association of American Geographers, 92(3), 435-450.</w:t>
      </w:r>
      <w:r w:rsidR="00A77533">
        <w:rPr>
          <w:sz w:val="20"/>
          <w:szCs w:val="20"/>
        </w:rPr>
        <w:t xml:space="preserve"> </w:t>
      </w:r>
      <w:hyperlink r:id="rId2" w:history="1">
        <w:r w:rsidR="00A77533" w:rsidRPr="002873D7">
          <w:rPr>
            <w:rStyle w:val="Hyperlink"/>
            <w:sz w:val="20"/>
            <w:szCs w:val="20"/>
          </w:rPr>
          <w:t>https://doi.org/10.1111/1467-8306.00298</w:t>
        </w:r>
      </w:hyperlink>
      <w:r w:rsidR="00A77533">
        <w:rPr>
          <w:sz w:val="20"/>
          <w:szCs w:val="20"/>
        </w:rPr>
        <w:t xml:space="preserve"> </w:t>
      </w:r>
    </w:p>
  </w:footnote>
  <w:footnote w:id="4">
    <w:p w14:paraId="104B52B4" w14:textId="0A9C4D12" w:rsidR="00DA0C3C" w:rsidRPr="000B5E22" w:rsidRDefault="00DA0C3C" w:rsidP="00396421">
      <w:pPr>
        <w:ind w:left="720" w:hanging="720"/>
        <w:rPr>
          <w:sz w:val="20"/>
          <w:szCs w:val="20"/>
        </w:rPr>
      </w:pPr>
      <w:r w:rsidRPr="000B5E22">
        <w:rPr>
          <w:rStyle w:val="FootnoteReference"/>
          <w:sz w:val="20"/>
          <w:szCs w:val="20"/>
        </w:rPr>
        <w:footnoteRef/>
      </w:r>
      <w:r w:rsidRPr="000B5E22">
        <w:rPr>
          <w:sz w:val="20"/>
          <w:szCs w:val="20"/>
        </w:rPr>
        <w:t xml:space="preserve"> </w:t>
      </w:r>
      <w:r w:rsidR="0086162C" w:rsidRPr="0086162C">
        <w:rPr>
          <w:sz w:val="20"/>
          <w:szCs w:val="20"/>
        </w:rPr>
        <w:t>Radke, J., &amp; Mu, L. (2000). Spatial decompositions, modeling and mapping service regions to predict access to social programs. Geographic Information Sciences, 6(2), 105-112.</w:t>
      </w:r>
      <w:r w:rsidR="00240C6F">
        <w:rPr>
          <w:sz w:val="20"/>
          <w:szCs w:val="20"/>
        </w:rPr>
        <w:t xml:space="preserve"> </w:t>
      </w:r>
      <w:hyperlink r:id="rId3" w:history="1">
        <w:r w:rsidR="00240C6F" w:rsidRPr="002873D7">
          <w:rPr>
            <w:rStyle w:val="Hyperlink"/>
            <w:sz w:val="20"/>
            <w:szCs w:val="20"/>
          </w:rPr>
          <w:t>https://doi.org/10.1080/10824000009480538</w:t>
        </w:r>
      </w:hyperlink>
      <w:r w:rsidR="00240C6F">
        <w:rPr>
          <w:sz w:val="20"/>
          <w:szCs w:val="20"/>
        </w:rPr>
        <w:t xml:space="preserve"> </w:t>
      </w:r>
    </w:p>
    <w:p w14:paraId="0664C9AF" w14:textId="34B07F09" w:rsidR="00DA0C3C" w:rsidRDefault="00DA0C3C">
      <w:pPr>
        <w:pStyle w:val="FootnoteText"/>
      </w:pPr>
    </w:p>
  </w:footnote>
  <w:footnote w:id="5">
    <w:p w14:paraId="6800960F" w14:textId="620797A2" w:rsidR="001A56DA" w:rsidRPr="000B5E22" w:rsidRDefault="001A56DA" w:rsidP="00396421">
      <w:pPr>
        <w:ind w:left="720" w:hanging="720"/>
        <w:rPr>
          <w:sz w:val="20"/>
          <w:szCs w:val="20"/>
        </w:rPr>
      </w:pPr>
      <w:r w:rsidRPr="000B5E22">
        <w:rPr>
          <w:rStyle w:val="FootnoteReference"/>
          <w:sz w:val="20"/>
          <w:szCs w:val="20"/>
        </w:rPr>
        <w:footnoteRef/>
      </w:r>
      <w:r w:rsidRPr="000B5E22">
        <w:rPr>
          <w:sz w:val="20"/>
          <w:szCs w:val="20"/>
        </w:rPr>
        <w:t xml:space="preserve"> </w:t>
      </w:r>
      <w:r w:rsidR="0086162C" w:rsidRPr="0086162C">
        <w:rPr>
          <w:sz w:val="20"/>
          <w:szCs w:val="20"/>
        </w:rPr>
        <w:t>Luo, W., &amp; Wang, F. (2003). Spatial accessibility to primary care and physician shortage area designation: a case study in Illinois with GIS approaches. In Geographic information systems and health applications (pp. 261-279). IGI Global.</w:t>
      </w:r>
      <w:r w:rsidR="00DC666C">
        <w:rPr>
          <w:sz w:val="20"/>
          <w:szCs w:val="20"/>
        </w:rPr>
        <w:t xml:space="preserve"> </w:t>
      </w:r>
      <w:hyperlink r:id="rId4" w:history="1">
        <w:r w:rsidR="00E839FC" w:rsidRPr="00DB19A3">
          <w:rPr>
            <w:rStyle w:val="Hyperlink"/>
            <w:sz w:val="20"/>
            <w:szCs w:val="20"/>
          </w:rPr>
          <w:t>https://doi.org/10.4018/978-1-59140-042-4.ch015</w:t>
        </w:r>
      </w:hyperlink>
      <w:r w:rsidR="00E839FC">
        <w:rPr>
          <w:sz w:val="20"/>
          <w:szCs w:val="20"/>
        </w:rPr>
        <w:t xml:space="preserve"> </w:t>
      </w:r>
    </w:p>
  </w:footnote>
  <w:footnote w:id="6">
    <w:p w14:paraId="4887CA59" w14:textId="488DFAB3" w:rsidR="00EC6D05" w:rsidRDefault="00EC6D05" w:rsidP="00396421">
      <w:pPr>
        <w:ind w:left="720" w:hanging="720"/>
      </w:pPr>
      <w:r w:rsidRPr="00A27516">
        <w:rPr>
          <w:rStyle w:val="FootnoteReference"/>
          <w:sz w:val="20"/>
          <w:szCs w:val="20"/>
        </w:rPr>
        <w:footnoteRef/>
      </w:r>
      <w:r w:rsidRPr="00A27516">
        <w:rPr>
          <w:sz w:val="20"/>
          <w:szCs w:val="20"/>
        </w:rPr>
        <w:t xml:space="preserve"> </w:t>
      </w:r>
      <w:r w:rsidR="0086162C" w:rsidRPr="0086162C">
        <w:rPr>
          <w:sz w:val="20"/>
          <w:szCs w:val="20"/>
        </w:rPr>
        <w:t xml:space="preserve">Kleinman, J. C., &amp; </w:t>
      </w:r>
      <w:proofErr w:type="spellStart"/>
      <w:r w:rsidR="0086162C" w:rsidRPr="0086162C">
        <w:rPr>
          <w:sz w:val="20"/>
          <w:szCs w:val="20"/>
        </w:rPr>
        <w:t>Makuc</w:t>
      </w:r>
      <w:proofErr w:type="spellEnd"/>
      <w:r w:rsidR="0086162C" w:rsidRPr="0086162C">
        <w:rPr>
          <w:sz w:val="20"/>
          <w:szCs w:val="20"/>
        </w:rPr>
        <w:t>, D. (1983). Travel for ambulatory medical care. Medical Care, 543-557.</w:t>
      </w:r>
      <w:r w:rsidR="00C93491">
        <w:rPr>
          <w:sz w:val="20"/>
          <w:szCs w:val="20"/>
        </w:rPr>
        <w:t xml:space="preserve"> </w:t>
      </w:r>
      <w:hyperlink r:id="rId5" w:history="1">
        <w:r w:rsidR="00C93491" w:rsidRPr="002873D7">
          <w:rPr>
            <w:rStyle w:val="Hyperlink"/>
            <w:sz w:val="20"/>
            <w:szCs w:val="20"/>
          </w:rPr>
          <w:t>https://doi.org/10.1097/00005650-198305000-00007</w:t>
        </w:r>
      </w:hyperlink>
      <w:r w:rsidR="00C93491">
        <w:rPr>
          <w:sz w:val="20"/>
          <w:szCs w:val="20"/>
        </w:rPr>
        <w:t xml:space="preserve"> </w:t>
      </w:r>
    </w:p>
  </w:footnote>
  <w:footnote w:id="7">
    <w:p w14:paraId="11216FE4" w14:textId="2859105A" w:rsidR="009A5F34" w:rsidRDefault="009A5F34" w:rsidP="0039642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Extracted from</w:t>
      </w:r>
      <w:r w:rsidR="00564FA7">
        <w:t xml:space="preserve"> </w:t>
      </w:r>
      <w:r w:rsidR="00AF7AF8">
        <w:t xml:space="preserve">the </w:t>
      </w:r>
      <w:r w:rsidR="00564FA7">
        <w:t>“HSD_2020_Reference_File_updated_2020-06-11 (XLSX)”</w:t>
      </w:r>
      <w:r w:rsidR="005F5A01" w:rsidRPr="005F5A01">
        <w:t xml:space="preserve"> </w:t>
      </w:r>
      <w:hyperlink r:id="rId6" w:history="1">
        <w:r w:rsidR="001E5FE0" w:rsidRPr="00DB19A3">
          <w:rPr>
            <w:rStyle w:val="Hyperlink"/>
          </w:rPr>
          <w:t>https://www.cms.gov/files/do</w:t>
        </w:r>
        <w:r w:rsidR="001E5FE0" w:rsidRPr="00DB19A3">
          <w:rPr>
            <w:rStyle w:val="Hyperlink"/>
          </w:rPr>
          <w:t>c</w:t>
        </w:r>
        <w:r w:rsidR="001E5FE0" w:rsidRPr="00DB19A3">
          <w:rPr>
            <w:rStyle w:val="Hyperlink"/>
          </w:rPr>
          <w:t>ument/hsd2020referencefileupdated2020-06-11.xlsx</w:t>
        </w:r>
      </w:hyperlink>
      <w:r w:rsidR="00B33C7D">
        <w:t xml:space="preserve">. </w:t>
      </w:r>
      <w:r w:rsidR="004B5C84">
        <w:t>Specifically,</w:t>
      </w:r>
      <w:r w:rsidR="00B33C7D">
        <w:t xml:space="preserve"> data </w:t>
      </w:r>
      <w:r w:rsidR="004B5C84">
        <w:t>were</w:t>
      </w:r>
      <w:r w:rsidR="00B33C7D">
        <w:t xml:space="preserve"> used from the “Provider Time &amp; Distance” tab </w:t>
      </w:r>
      <w:r w:rsidR="004B5C84">
        <w:t xml:space="preserve">in the “Primary Care” section. </w:t>
      </w:r>
      <w:r w:rsidR="0008324B">
        <w:t xml:space="preserve">Available </w:t>
      </w:r>
      <w:r w:rsidR="006E74D0">
        <w:t>f</w:t>
      </w:r>
      <w:r w:rsidR="00A2746D">
        <w:t xml:space="preserve">rom </w:t>
      </w:r>
      <w:hyperlink r:id="rId7" w:history="1">
        <w:r w:rsidR="00A2746D" w:rsidRPr="00DB19A3">
          <w:rPr>
            <w:rStyle w:val="Hyperlink"/>
          </w:rPr>
          <w:t>https://www.cms.gov/Medicare/Medicare-Advantage/MedicareAdvantageApps</w:t>
        </w:r>
      </w:hyperlink>
      <w:r w:rsidR="0008324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E72"/>
    <w:multiLevelType w:val="hybridMultilevel"/>
    <w:tmpl w:val="5972B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B97"/>
    <w:multiLevelType w:val="multilevel"/>
    <w:tmpl w:val="277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6211A"/>
    <w:multiLevelType w:val="hybridMultilevel"/>
    <w:tmpl w:val="E75425AE"/>
    <w:lvl w:ilvl="0" w:tplc="73040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277B7"/>
    <w:multiLevelType w:val="hybridMultilevel"/>
    <w:tmpl w:val="F13E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7"/>
    <w:rsid w:val="00003930"/>
    <w:rsid w:val="00006CBF"/>
    <w:rsid w:val="0000797C"/>
    <w:rsid w:val="00013F54"/>
    <w:rsid w:val="000148DC"/>
    <w:rsid w:val="00016741"/>
    <w:rsid w:val="00017975"/>
    <w:rsid w:val="0002651D"/>
    <w:rsid w:val="0003010A"/>
    <w:rsid w:val="000454EB"/>
    <w:rsid w:val="0004640C"/>
    <w:rsid w:val="00050013"/>
    <w:rsid w:val="00053132"/>
    <w:rsid w:val="00067861"/>
    <w:rsid w:val="00071AE5"/>
    <w:rsid w:val="000802EF"/>
    <w:rsid w:val="0008324B"/>
    <w:rsid w:val="000946A1"/>
    <w:rsid w:val="000A50C8"/>
    <w:rsid w:val="000A68F0"/>
    <w:rsid w:val="000A6ED7"/>
    <w:rsid w:val="000B30F3"/>
    <w:rsid w:val="000B5879"/>
    <w:rsid w:val="000B5E22"/>
    <w:rsid w:val="000D0AE6"/>
    <w:rsid w:val="000D120A"/>
    <w:rsid w:val="000E7794"/>
    <w:rsid w:val="000F4737"/>
    <w:rsid w:val="000F7041"/>
    <w:rsid w:val="000F74D1"/>
    <w:rsid w:val="00100B6C"/>
    <w:rsid w:val="0010467B"/>
    <w:rsid w:val="001046E0"/>
    <w:rsid w:val="00107613"/>
    <w:rsid w:val="00107EB5"/>
    <w:rsid w:val="0011227C"/>
    <w:rsid w:val="00114411"/>
    <w:rsid w:val="00123871"/>
    <w:rsid w:val="00133D46"/>
    <w:rsid w:val="00135861"/>
    <w:rsid w:val="001377A6"/>
    <w:rsid w:val="001402E0"/>
    <w:rsid w:val="0014270D"/>
    <w:rsid w:val="00151768"/>
    <w:rsid w:val="00153BA6"/>
    <w:rsid w:val="001569A3"/>
    <w:rsid w:val="0015738F"/>
    <w:rsid w:val="00171EFA"/>
    <w:rsid w:val="001850E6"/>
    <w:rsid w:val="00187AEE"/>
    <w:rsid w:val="00191F49"/>
    <w:rsid w:val="001A56DA"/>
    <w:rsid w:val="001B0BA6"/>
    <w:rsid w:val="001B2C8E"/>
    <w:rsid w:val="001C3626"/>
    <w:rsid w:val="001D14D9"/>
    <w:rsid w:val="001D5F76"/>
    <w:rsid w:val="001E0F9C"/>
    <w:rsid w:val="001E5FE0"/>
    <w:rsid w:val="001E7214"/>
    <w:rsid w:val="001F387B"/>
    <w:rsid w:val="00201176"/>
    <w:rsid w:val="00210C9F"/>
    <w:rsid w:val="00212645"/>
    <w:rsid w:val="00213236"/>
    <w:rsid w:val="00236FEB"/>
    <w:rsid w:val="00240917"/>
    <w:rsid w:val="00240C6F"/>
    <w:rsid w:val="00241A2C"/>
    <w:rsid w:val="00243FC0"/>
    <w:rsid w:val="00245613"/>
    <w:rsid w:val="00255C19"/>
    <w:rsid w:val="0027128B"/>
    <w:rsid w:val="00281159"/>
    <w:rsid w:val="0028546E"/>
    <w:rsid w:val="002870EF"/>
    <w:rsid w:val="002A1D02"/>
    <w:rsid w:val="002A27A4"/>
    <w:rsid w:val="002A7C3B"/>
    <w:rsid w:val="002B002F"/>
    <w:rsid w:val="002C4C25"/>
    <w:rsid w:val="002D0EA2"/>
    <w:rsid w:val="002D1AC4"/>
    <w:rsid w:val="002D297A"/>
    <w:rsid w:val="002D5B15"/>
    <w:rsid w:val="002E4179"/>
    <w:rsid w:val="002E4EC4"/>
    <w:rsid w:val="002F1B33"/>
    <w:rsid w:val="002F4186"/>
    <w:rsid w:val="0032102E"/>
    <w:rsid w:val="00323799"/>
    <w:rsid w:val="00333230"/>
    <w:rsid w:val="003335DB"/>
    <w:rsid w:val="00356A62"/>
    <w:rsid w:val="00362031"/>
    <w:rsid w:val="00363027"/>
    <w:rsid w:val="00363BE7"/>
    <w:rsid w:val="00363C95"/>
    <w:rsid w:val="00365CDC"/>
    <w:rsid w:val="00367E95"/>
    <w:rsid w:val="003718B3"/>
    <w:rsid w:val="00372CC0"/>
    <w:rsid w:val="00375081"/>
    <w:rsid w:val="003849AB"/>
    <w:rsid w:val="00391A12"/>
    <w:rsid w:val="00394668"/>
    <w:rsid w:val="00396421"/>
    <w:rsid w:val="003A72BA"/>
    <w:rsid w:val="003B07DD"/>
    <w:rsid w:val="003B7C16"/>
    <w:rsid w:val="003C52E0"/>
    <w:rsid w:val="003D43AE"/>
    <w:rsid w:val="003D6433"/>
    <w:rsid w:val="003E4553"/>
    <w:rsid w:val="003F0C47"/>
    <w:rsid w:val="003F33B2"/>
    <w:rsid w:val="0040316D"/>
    <w:rsid w:val="004038FA"/>
    <w:rsid w:val="004070C5"/>
    <w:rsid w:val="00410091"/>
    <w:rsid w:val="00416639"/>
    <w:rsid w:val="004209EB"/>
    <w:rsid w:val="00420A7E"/>
    <w:rsid w:val="00421E99"/>
    <w:rsid w:val="004233AD"/>
    <w:rsid w:val="00427832"/>
    <w:rsid w:val="00434E79"/>
    <w:rsid w:val="004373C7"/>
    <w:rsid w:val="004408D7"/>
    <w:rsid w:val="004409FC"/>
    <w:rsid w:val="00451B0D"/>
    <w:rsid w:val="00461BC2"/>
    <w:rsid w:val="004620AA"/>
    <w:rsid w:val="0047696B"/>
    <w:rsid w:val="00482014"/>
    <w:rsid w:val="004830DD"/>
    <w:rsid w:val="00484350"/>
    <w:rsid w:val="004866D9"/>
    <w:rsid w:val="004A0C18"/>
    <w:rsid w:val="004A5A0F"/>
    <w:rsid w:val="004A6C70"/>
    <w:rsid w:val="004A7E7A"/>
    <w:rsid w:val="004B1C3D"/>
    <w:rsid w:val="004B5C84"/>
    <w:rsid w:val="004B6ECD"/>
    <w:rsid w:val="004D1B4C"/>
    <w:rsid w:val="004D3C02"/>
    <w:rsid w:val="004D67A7"/>
    <w:rsid w:val="004E5937"/>
    <w:rsid w:val="004E6DCF"/>
    <w:rsid w:val="0051452E"/>
    <w:rsid w:val="005221BB"/>
    <w:rsid w:val="005251D9"/>
    <w:rsid w:val="00532117"/>
    <w:rsid w:val="00532DA1"/>
    <w:rsid w:val="005344CD"/>
    <w:rsid w:val="00535A62"/>
    <w:rsid w:val="00537C0E"/>
    <w:rsid w:val="00540584"/>
    <w:rsid w:val="00543293"/>
    <w:rsid w:val="00551EB8"/>
    <w:rsid w:val="00554C3B"/>
    <w:rsid w:val="00557E9D"/>
    <w:rsid w:val="005602E1"/>
    <w:rsid w:val="00560717"/>
    <w:rsid w:val="005623F4"/>
    <w:rsid w:val="00564FA7"/>
    <w:rsid w:val="00575B2F"/>
    <w:rsid w:val="00584B1E"/>
    <w:rsid w:val="00590B0A"/>
    <w:rsid w:val="005A24E0"/>
    <w:rsid w:val="005A4A17"/>
    <w:rsid w:val="005A6AA3"/>
    <w:rsid w:val="005C526C"/>
    <w:rsid w:val="005D0229"/>
    <w:rsid w:val="005D3577"/>
    <w:rsid w:val="005E5403"/>
    <w:rsid w:val="005F5A01"/>
    <w:rsid w:val="00602115"/>
    <w:rsid w:val="0062389C"/>
    <w:rsid w:val="0063171F"/>
    <w:rsid w:val="006572DA"/>
    <w:rsid w:val="00657A63"/>
    <w:rsid w:val="0066014D"/>
    <w:rsid w:val="00664068"/>
    <w:rsid w:val="00665E36"/>
    <w:rsid w:val="00672258"/>
    <w:rsid w:val="006736D2"/>
    <w:rsid w:val="00677441"/>
    <w:rsid w:val="006857EC"/>
    <w:rsid w:val="006A32F3"/>
    <w:rsid w:val="006A6E88"/>
    <w:rsid w:val="006B092F"/>
    <w:rsid w:val="006C49DA"/>
    <w:rsid w:val="006C5DC4"/>
    <w:rsid w:val="006C60B2"/>
    <w:rsid w:val="006D070E"/>
    <w:rsid w:val="006D1900"/>
    <w:rsid w:val="006D57A8"/>
    <w:rsid w:val="006E54E3"/>
    <w:rsid w:val="006E561B"/>
    <w:rsid w:val="006E74D0"/>
    <w:rsid w:val="006F3480"/>
    <w:rsid w:val="006F69A6"/>
    <w:rsid w:val="00700DDF"/>
    <w:rsid w:val="00703E7E"/>
    <w:rsid w:val="0070646F"/>
    <w:rsid w:val="00711FBB"/>
    <w:rsid w:val="0071268E"/>
    <w:rsid w:val="007178FF"/>
    <w:rsid w:val="00740892"/>
    <w:rsid w:val="007564F7"/>
    <w:rsid w:val="00760D27"/>
    <w:rsid w:val="00796C99"/>
    <w:rsid w:val="007A0576"/>
    <w:rsid w:val="007A622B"/>
    <w:rsid w:val="007C116D"/>
    <w:rsid w:val="007C2BE9"/>
    <w:rsid w:val="007C3B77"/>
    <w:rsid w:val="007C4C48"/>
    <w:rsid w:val="007C61F3"/>
    <w:rsid w:val="007E09E3"/>
    <w:rsid w:val="007E4ECB"/>
    <w:rsid w:val="007E5367"/>
    <w:rsid w:val="00801A10"/>
    <w:rsid w:val="00802712"/>
    <w:rsid w:val="00804A45"/>
    <w:rsid w:val="00804A97"/>
    <w:rsid w:val="00805546"/>
    <w:rsid w:val="00806D32"/>
    <w:rsid w:val="00811E05"/>
    <w:rsid w:val="00815944"/>
    <w:rsid w:val="008217F4"/>
    <w:rsid w:val="00824C37"/>
    <w:rsid w:val="00847042"/>
    <w:rsid w:val="0085415A"/>
    <w:rsid w:val="0086162C"/>
    <w:rsid w:val="008619DA"/>
    <w:rsid w:val="00865C15"/>
    <w:rsid w:val="00870BFF"/>
    <w:rsid w:val="008711D7"/>
    <w:rsid w:val="0087593F"/>
    <w:rsid w:val="008825DD"/>
    <w:rsid w:val="008866AB"/>
    <w:rsid w:val="00892799"/>
    <w:rsid w:val="008A1676"/>
    <w:rsid w:val="008A6EF4"/>
    <w:rsid w:val="008A74FD"/>
    <w:rsid w:val="008A77B0"/>
    <w:rsid w:val="008B1A9F"/>
    <w:rsid w:val="008D141C"/>
    <w:rsid w:val="008E3A71"/>
    <w:rsid w:val="008E739C"/>
    <w:rsid w:val="008F490E"/>
    <w:rsid w:val="008F4B67"/>
    <w:rsid w:val="00900D6E"/>
    <w:rsid w:val="00907598"/>
    <w:rsid w:val="00915CA0"/>
    <w:rsid w:val="00917DE3"/>
    <w:rsid w:val="00925F61"/>
    <w:rsid w:val="0093636E"/>
    <w:rsid w:val="009452BA"/>
    <w:rsid w:val="0096117E"/>
    <w:rsid w:val="00964D53"/>
    <w:rsid w:val="00965411"/>
    <w:rsid w:val="009757F7"/>
    <w:rsid w:val="0098239B"/>
    <w:rsid w:val="00986DE6"/>
    <w:rsid w:val="00987A84"/>
    <w:rsid w:val="009902FB"/>
    <w:rsid w:val="00991A55"/>
    <w:rsid w:val="009A5F34"/>
    <w:rsid w:val="009B2507"/>
    <w:rsid w:val="009B54CC"/>
    <w:rsid w:val="009C1968"/>
    <w:rsid w:val="009C3DD9"/>
    <w:rsid w:val="009D0B45"/>
    <w:rsid w:val="009D3E12"/>
    <w:rsid w:val="009D481C"/>
    <w:rsid w:val="009E1B20"/>
    <w:rsid w:val="009E5412"/>
    <w:rsid w:val="009F1E0C"/>
    <w:rsid w:val="009F4FB9"/>
    <w:rsid w:val="009F7AD2"/>
    <w:rsid w:val="009F7E37"/>
    <w:rsid w:val="00A01D5C"/>
    <w:rsid w:val="00A073A9"/>
    <w:rsid w:val="00A10760"/>
    <w:rsid w:val="00A13452"/>
    <w:rsid w:val="00A16A17"/>
    <w:rsid w:val="00A2243B"/>
    <w:rsid w:val="00A22997"/>
    <w:rsid w:val="00A26BB1"/>
    <w:rsid w:val="00A2746D"/>
    <w:rsid w:val="00A27516"/>
    <w:rsid w:val="00A66287"/>
    <w:rsid w:val="00A77533"/>
    <w:rsid w:val="00A85C3A"/>
    <w:rsid w:val="00A87BCB"/>
    <w:rsid w:val="00A919DB"/>
    <w:rsid w:val="00A93B97"/>
    <w:rsid w:val="00AA196D"/>
    <w:rsid w:val="00AA3568"/>
    <w:rsid w:val="00AB10DF"/>
    <w:rsid w:val="00AB3A41"/>
    <w:rsid w:val="00AB3C80"/>
    <w:rsid w:val="00AC3494"/>
    <w:rsid w:val="00AC7DCA"/>
    <w:rsid w:val="00AD0ADA"/>
    <w:rsid w:val="00AD5339"/>
    <w:rsid w:val="00AD5D4C"/>
    <w:rsid w:val="00AE434B"/>
    <w:rsid w:val="00AE7D88"/>
    <w:rsid w:val="00AF2C44"/>
    <w:rsid w:val="00AF7AF8"/>
    <w:rsid w:val="00B039BF"/>
    <w:rsid w:val="00B105D3"/>
    <w:rsid w:val="00B10ADE"/>
    <w:rsid w:val="00B17DA2"/>
    <w:rsid w:val="00B20D33"/>
    <w:rsid w:val="00B33C7D"/>
    <w:rsid w:val="00B34FFC"/>
    <w:rsid w:val="00B377FE"/>
    <w:rsid w:val="00B437C5"/>
    <w:rsid w:val="00B43B7C"/>
    <w:rsid w:val="00B51717"/>
    <w:rsid w:val="00B555CE"/>
    <w:rsid w:val="00B8634E"/>
    <w:rsid w:val="00B979D4"/>
    <w:rsid w:val="00BA1476"/>
    <w:rsid w:val="00BA45DE"/>
    <w:rsid w:val="00BA5A60"/>
    <w:rsid w:val="00BA7B15"/>
    <w:rsid w:val="00BB259C"/>
    <w:rsid w:val="00BD3B25"/>
    <w:rsid w:val="00BE0A2F"/>
    <w:rsid w:val="00BE25A6"/>
    <w:rsid w:val="00BF3A1C"/>
    <w:rsid w:val="00BF7ECA"/>
    <w:rsid w:val="00C00C5C"/>
    <w:rsid w:val="00C04071"/>
    <w:rsid w:val="00C07115"/>
    <w:rsid w:val="00C11522"/>
    <w:rsid w:val="00C11BB0"/>
    <w:rsid w:val="00C141FA"/>
    <w:rsid w:val="00C14671"/>
    <w:rsid w:val="00C214FF"/>
    <w:rsid w:val="00C23B02"/>
    <w:rsid w:val="00C23BF6"/>
    <w:rsid w:val="00C25FD1"/>
    <w:rsid w:val="00C266EE"/>
    <w:rsid w:val="00C2766D"/>
    <w:rsid w:val="00C33B12"/>
    <w:rsid w:val="00C40D73"/>
    <w:rsid w:val="00C41E27"/>
    <w:rsid w:val="00C421A0"/>
    <w:rsid w:val="00C5118C"/>
    <w:rsid w:val="00C56138"/>
    <w:rsid w:val="00C564B4"/>
    <w:rsid w:val="00C623E4"/>
    <w:rsid w:val="00C775FA"/>
    <w:rsid w:val="00C84878"/>
    <w:rsid w:val="00C93491"/>
    <w:rsid w:val="00C95448"/>
    <w:rsid w:val="00CA65CB"/>
    <w:rsid w:val="00CB07D2"/>
    <w:rsid w:val="00CB1A05"/>
    <w:rsid w:val="00CB38D7"/>
    <w:rsid w:val="00CB6D9A"/>
    <w:rsid w:val="00CC3048"/>
    <w:rsid w:val="00CC7793"/>
    <w:rsid w:val="00CD24F1"/>
    <w:rsid w:val="00CE15C3"/>
    <w:rsid w:val="00CE1727"/>
    <w:rsid w:val="00CE30D5"/>
    <w:rsid w:val="00CF0ADA"/>
    <w:rsid w:val="00CF2FFE"/>
    <w:rsid w:val="00CF3D15"/>
    <w:rsid w:val="00CF4F07"/>
    <w:rsid w:val="00D04F9D"/>
    <w:rsid w:val="00D179C3"/>
    <w:rsid w:val="00D2592D"/>
    <w:rsid w:val="00D54F0E"/>
    <w:rsid w:val="00D55A94"/>
    <w:rsid w:val="00D55D7F"/>
    <w:rsid w:val="00D653D3"/>
    <w:rsid w:val="00D6630F"/>
    <w:rsid w:val="00D915E3"/>
    <w:rsid w:val="00D95355"/>
    <w:rsid w:val="00D9628A"/>
    <w:rsid w:val="00DA0668"/>
    <w:rsid w:val="00DA0C3C"/>
    <w:rsid w:val="00DA11FE"/>
    <w:rsid w:val="00DA720A"/>
    <w:rsid w:val="00DB1211"/>
    <w:rsid w:val="00DB4AB7"/>
    <w:rsid w:val="00DC43B5"/>
    <w:rsid w:val="00DC666C"/>
    <w:rsid w:val="00DD1FD4"/>
    <w:rsid w:val="00DD54B1"/>
    <w:rsid w:val="00DD6DD2"/>
    <w:rsid w:val="00DE6A37"/>
    <w:rsid w:val="00DE704F"/>
    <w:rsid w:val="00DF0453"/>
    <w:rsid w:val="00E252AD"/>
    <w:rsid w:val="00E2606E"/>
    <w:rsid w:val="00E27FA2"/>
    <w:rsid w:val="00E3297A"/>
    <w:rsid w:val="00E33991"/>
    <w:rsid w:val="00E34543"/>
    <w:rsid w:val="00E42C34"/>
    <w:rsid w:val="00E501DC"/>
    <w:rsid w:val="00E54AB6"/>
    <w:rsid w:val="00E54BA7"/>
    <w:rsid w:val="00E574C5"/>
    <w:rsid w:val="00E57B48"/>
    <w:rsid w:val="00E65E18"/>
    <w:rsid w:val="00E81089"/>
    <w:rsid w:val="00E81FDF"/>
    <w:rsid w:val="00E839FC"/>
    <w:rsid w:val="00E858D8"/>
    <w:rsid w:val="00E91533"/>
    <w:rsid w:val="00E91C23"/>
    <w:rsid w:val="00E92923"/>
    <w:rsid w:val="00E92DF3"/>
    <w:rsid w:val="00E95E1F"/>
    <w:rsid w:val="00EA7118"/>
    <w:rsid w:val="00EB0895"/>
    <w:rsid w:val="00EB2EDE"/>
    <w:rsid w:val="00EB423A"/>
    <w:rsid w:val="00EC5FA0"/>
    <w:rsid w:val="00EC6D05"/>
    <w:rsid w:val="00ED2881"/>
    <w:rsid w:val="00ED5153"/>
    <w:rsid w:val="00EE03CC"/>
    <w:rsid w:val="00EE21E2"/>
    <w:rsid w:val="00EE501B"/>
    <w:rsid w:val="00EE7750"/>
    <w:rsid w:val="00EF0BE7"/>
    <w:rsid w:val="00EF452B"/>
    <w:rsid w:val="00F0096A"/>
    <w:rsid w:val="00F0223A"/>
    <w:rsid w:val="00F15E98"/>
    <w:rsid w:val="00F24E16"/>
    <w:rsid w:val="00F50706"/>
    <w:rsid w:val="00F537AB"/>
    <w:rsid w:val="00F54518"/>
    <w:rsid w:val="00F63BBC"/>
    <w:rsid w:val="00F6409B"/>
    <w:rsid w:val="00F66EC7"/>
    <w:rsid w:val="00F72546"/>
    <w:rsid w:val="00F72CB7"/>
    <w:rsid w:val="00F84EC9"/>
    <w:rsid w:val="00F85A7F"/>
    <w:rsid w:val="00F86742"/>
    <w:rsid w:val="00F948FF"/>
    <w:rsid w:val="00F955C1"/>
    <w:rsid w:val="00F9755F"/>
    <w:rsid w:val="00F9795F"/>
    <w:rsid w:val="00FA58FB"/>
    <w:rsid w:val="00FA65C5"/>
    <w:rsid w:val="00FB1258"/>
    <w:rsid w:val="00FB57FC"/>
    <w:rsid w:val="00FC4D5E"/>
    <w:rsid w:val="00FC6C9F"/>
    <w:rsid w:val="00FD0924"/>
    <w:rsid w:val="00FD39C4"/>
    <w:rsid w:val="00FD4E7C"/>
    <w:rsid w:val="00FD7C64"/>
    <w:rsid w:val="00FE08AD"/>
    <w:rsid w:val="00FF4D07"/>
    <w:rsid w:val="70FC1F67"/>
    <w:rsid w:val="7D97E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C697"/>
  <w15:chartTrackingRefBased/>
  <w15:docId w15:val="{D9BBC786-0555-4E9D-BC99-1A0D2C1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A1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3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23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5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5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5C5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D1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B4C"/>
  </w:style>
  <w:style w:type="paragraph" w:styleId="Footer">
    <w:name w:val="footer"/>
    <w:basedOn w:val="Normal"/>
    <w:link w:val="FooterChar"/>
    <w:uiPriority w:val="99"/>
    <w:semiHidden/>
    <w:unhideWhenUsed/>
    <w:rsid w:val="004D1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B4C"/>
  </w:style>
  <w:style w:type="paragraph" w:styleId="Revision">
    <w:name w:val="Revision"/>
    <w:hidden/>
    <w:uiPriority w:val="99"/>
    <w:semiHidden/>
    <w:rsid w:val="00356A62"/>
  </w:style>
  <w:style w:type="character" w:styleId="UnresolvedMention">
    <w:name w:val="Unresolved Mention"/>
    <w:basedOn w:val="DefaultParagraphFont"/>
    <w:uiPriority w:val="99"/>
    <w:unhideWhenUsed/>
    <w:rsid w:val="00C623E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623E4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A14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C99"/>
    <w:rPr>
      <w:color w:val="954F72" w:themeColor="followedHyperlink"/>
      <w:u w:val="single"/>
    </w:rPr>
  </w:style>
  <w:style w:type="paragraph" w:customStyle="1" w:styleId="fielditem">
    <w:name w:val="field__item"/>
    <w:basedOn w:val="Normal"/>
    <w:rsid w:val="00D17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80/10824000009480538" TargetMode="External"/><Relationship Id="rId7" Type="http://schemas.openxmlformats.org/officeDocument/2006/relationships/hyperlink" Target="https://www.cms.gov/Medicare/Medicare-Advantage/MedicareAdvantageApps" TargetMode="External"/><Relationship Id="rId2" Type="http://schemas.openxmlformats.org/officeDocument/2006/relationships/hyperlink" Target="https://doi.org/10.1111/1467-8306.00298" TargetMode="External"/><Relationship Id="rId1" Type="http://schemas.openxmlformats.org/officeDocument/2006/relationships/hyperlink" Target="https://doi.org/10.1080/0042098975600" TargetMode="External"/><Relationship Id="rId6" Type="http://schemas.openxmlformats.org/officeDocument/2006/relationships/hyperlink" Target="https://www.cms.gov/files/document/hsd2020referencefileupdated2020-06-11.xlsx" TargetMode="External"/><Relationship Id="rId5" Type="http://schemas.openxmlformats.org/officeDocument/2006/relationships/hyperlink" Target="https://doi.org/10.1097/00005650-198305000-00007" TargetMode="External"/><Relationship Id="rId4" Type="http://schemas.openxmlformats.org/officeDocument/2006/relationships/hyperlink" Target="https://doi.org/10.4018/978-1-59140-042-4.ch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17FD5-490A-44BF-80C3-F1ACB78DF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75469-2E7A-8246-AC04-D8137275B8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3E8E3A-DA06-445E-B4A5-F4994D2D37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B45E4E-1D62-45AB-B0E2-3C941D1E5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Strahlman</dc:creator>
  <cp:keywords/>
  <dc:description/>
  <cp:lastModifiedBy>Hannah G Leker</cp:lastModifiedBy>
  <cp:revision>4</cp:revision>
  <dcterms:created xsi:type="dcterms:W3CDTF">2021-11-15T22:29:00Z</dcterms:created>
  <dcterms:modified xsi:type="dcterms:W3CDTF">2021-11-15T22:30:00Z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