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D2BD8" w14:textId="24221FEA" w:rsidR="00B670DA" w:rsidRDefault="00B670DA" w:rsidP="00B670DA">
      <w:r>
        <w:t>Public Discussion, Media and Democratic Rights</w:t>
      </w:r>
    </w:p>
    <w:p w14:paraId="0567B572" w14:textId="77777777" w:rsidR="00B670DA" w:rsidRDefault="00B670DA" w:rsidP="00B670DA">
      <w:r>
        <w:t>Hardt, Kellner and Brill examine time periods and issues, but all raise the question of what it takes for individuals to have freedom of speech and be heard. Hardt discusses Marx’s experience with censorship as a reporter for the Rheinische Zeitung and Neue Rheinische Zeitung and the theorist’s view that a free press was required for democracy to work. Kellner analyzes Habermas’s concept of the sphere and examines its importance in the modern age as social media facilitates the rise and growth of such movements as Occupy, Black Lives Matter and #MeToo. Brill explores the rise of websites that appear to be local newspapers but are in reality, designed to influence the reader, and are funded by political entities. After reading all three, I believe the main message was that having the right to speak is insufficient; it is important whose voices dominate the information space and how the messages reach the individuals.</w:t>
      </w:r>
    </w:p>
    <w:p w14:paraId="76A87DD3" w14:textId="77777777" w:rsidR="00B670DA" w:rsidRDefault="00B670DA" w:rsidP="00B670DA"/>
    <w:p w14:paraId="68C98C91" w14:textId="4C2F0DA1" w:rsidR="00B670DA" w:rsidRDefault="00B670DA" w:rsidP="00B670DA">
      <w:r>
        <w:t xml:space="preserve"> Implications for Democratic Rights</w:t>
      </w:r>
    </w:p>
    <w:p w14:paraId="17227C48" w14:textId="77777777" w:rsidR="00B670DA" w:rsidRDefault="00B670DA" w:rsidP="00B670DA">
      <w:r>
        <w:t>An issue raised by Hardt is that Marx also believed that censorship could come from additional areas and not simply the government. Hardt notes that the individual funding or owning the newspaper can also be sources of censorship. For example, a journalist would be allowed to write on a particular topic, but the freedom would be meaningless if the person paying the bill dictated what the author could and could not write. Marx also wrote that the working class failed to benefit from the freedoms such as the freedom of the press and freedom of assembly, which demonstrated that the mere presence of laws did not always guarantee universal rights were respected.</w:t>
      </w:r>
    </w:p>
    <w:p w14:paraId="21069553" w14:textId="77777777" w:rsidR="00B670DA" w:rsidRDefault="00B670DA" w:rsidP="00B670DA"/>
    <w:p w14:paraId="149B495A" w14:textId="77777777" w:rsidR="00B670DA" w:rsidRDefault="00B670DA" w:rsidP="00B670DA">
      <w:r>
        <w:t>Kellner’s discussion connects to this point as he examines the concept developed by Habermas that the public sphere allows individuals to share arguments, negotiate positions and contribute to discussions. The equal opportunity to participate and influence the conversation, as well as to take part in decision-making processes, was viewed as a marker of a healthy democracy. However, this only happened when people could access the information and have a fair opportunity to influence the conversation.</w:t>
      </w:r>
    </w:p>
    <w:p w14:paraId="2459BE04" w14:textId="77777777" w:rsidR="00B670DA" w:rsidRDefault="00B670DA" w:rsidP="00B670DA"/>
    <w:p w14:paraId="21DB5B66" w14:textId="77777777" w:rsidR="00B670DA" w:rsidRDefault="00B670DA" w:rsidP="00B670DA">
      <w:r>
        <w:t>Brill’s research also relates to this discussion because the journalist highlights the challenges in this area. According to Brill, newspaper advertising revenue declined from $57.4 billion in 2003 to $20.6 billion in 2020. Approximately 2,200 newspapers and 40,000 Newsroom jobs were lost as well. By the end of 2023 there were 1,200 pink-slime news sites, which is comparable to the number of local daily newspaper websites. An illustrative example is provided by the Main Street Sentinel, where approximately $80,000 was spent on Facebook advertising to spread a campaign message to approximately 7.42 million feeds in Michigan in the format of a local newspaper.</w:t>
      </w:r>
    </w:p>
    <w:p w14:paraId="774E1784" w14:textId="77777777" w:rsidR="00B670DA" w:rsidRDefault="00B670DA" w:rsidP="00B670DA"/>
    <w:p w14:paraId="09E91D64" w14:textId="77777777" w:rsidR="00B670DA" w:rsidRDefault="00B670DA" w:rsidP="00B670DA">
      <w:r>
        <w:t>In such a context, it is evident that while individuals may have the right to speak, they can be influenced by factors unrelated to their arguments. In Marx’s view, it would be similar to the situation when people who own the press censor topics detrimental to their interests. While Marx discussed the power of the press, today political entities can employ media and advertising to influence millions of individuals. Brill also notes that Funded Metric Media operates over a thousand similar sites, illustrating that the issue is systemic and affects the entire industry, and not simply one entity.</w:t>
      </w:r>
    </w:p>
    <w:p w14:paraId="316E6122" w14:textId="77777777" w:rsidR="00B670DA" w:rsidRDefault="00B670DA" w:rsidP="00B670DA"/>
    <w:p w14:paraId="63C2DF8C" w14:textId="72911005" w:rsidR="00B670DA" w:rsidRDefault="00B670DA" w:rsidP="00B670DA">
      <w:r>
        <w:t>How the Readings Connect to My Experience</w:t>
      </w:r>
    </w:p>
    <w:p w14:paraId="4606F359" w14:textId="77777777" w:rsidR="00B670DA" w:rsidRDefault="00B670DA" w:rsidP="00B670DA">
      <w:r>
        <w:t>Habermas’s view of a sphere, where individuals discuss ideas in a way that prioritizes arguments over social status, is appealing, but I have witnessed situations where this did not happen. I have seen evidence of such a sphere in my First-Year seminar, where our class discusses the public sphere. In my experience, when discussions take off, participants focus on the arguments, not the social status of the individuals. This is comparable to the situation described by Kellner.</w:t>
      </w:r>
    </w:p>
    <w:p w14:paraId="13B26FFB" w14:textId="77777777" w:rsidR="00B670DA" w:rsidRDefault="00B670DA" w:rsidP="00B670DA"/>
    <w:p w14:paraId="3F7EB112" w14:textId="77777777" w:rsidR="00B670DA" w:rsidRDefault="00B670DA" w:rsidP="00B670DA">
      <w:r>
        <w:t>However, I have noticed that not always do all individuals have equal opportunities to participate. In one discussion, a few vocal students tended to talk more, while a less outspoken student only participated when asked to do so by the professor. When she shared her thoughts, she contributed to changing the course of the discussion, and raising an issue that the rest of the class did not consider. It made me realize that while the individuals had the right to speak, they did not always feel equal in their ability to participate. This is comparable to Hardt’s argument that the mere presence of the rights did not always guarantee that individuals could exercise them fully.</w:t>
      </w:r>
    </w:p>
    <w:p w14:paraId="7A5BE4EA" w14:textId="77777777" w:rsidR="00B670DA" w:rsidRDefault="00B670DA" w:rsidP="00B670DA"/>
    <w:p w14:paraId="3269DBFF" w14:textId="77777777" w:rsidR="00B670DA" w:rsidRDefault="00B670DA" w:rsidP="00B670DA">
      <w:r>
        <w:t>Brill’s argument also connects to my experience with the media. Most of the news I consume comes from social media, rather than newspapers or news websites that I actively visit. When I scroll through my news feed, I tend to read the headlines and content, rather than look for small labels indicating who paid for the content.</w:t>
      </w:r>
    </w:p>
    <w:p w14:paraId="22298A33" w14:textId="77777777" w:rsidR="00B670DA" w:rsidRDefault="00B670DA" w:rsidP="00B670DA"/>
    <w:p w14:paraId="5AD38F4B" w14:textId="2CD2227D" w:rsidR="00B670DA" w:rsidRDefault="00B670DA" w:rsidP="00B670DA">
      <w:r>
        <w:t>I recently encountered a post, which appeared to be a newspaper, but in fact was a page covering a state issue. Overall, the production quality was high, and the language was neutral, which made it difficult to immediately dismiss the source as fake news. However, upon attempting to find out who operated the page or who paid for the content, I could not find this information, which made me second-guess my initial assumptions. As a first-year college student who is still learning how to consume news, it would be easy to accept this page’s content as factual, without additional research. This is why Brill’s argument is relevant, as misleading sources can appear similar to legitimate news websites, and influence individuals to accept their content as factual.</w:t>
      </w:r>
    </w:p>
    <w:p w14:paraId="012D1242" w14:textId="77777777" w:rsidR="00B670DA" w:rsidRDefault="00B670DA" w:rsidP="00B670DA">
      <w:r>
        <w:t>I also believe that Kellner’s examples raise an issue with the application of his argument to movements, which have different political views. The public sphere should allow for the discussion of a wide range of ideas, which includes opposing viewpoints. I would like to know more about how his argument would apply to movements, which challenge his political views, as a fair public sphere should not be biased toward one side of a debate. Similarly, Brill’s discussion raises questions regarding the role of news sites. While the head of Courier Newsroom argues that the company does not seek to be fair and balanced, but rather responds to an older right-wing propaganda machine, I believe that it is important to highlight why it is sometimes challenging to differentiate the sources.</w:t>
      </w:r>
    </w:p>
    <w:p w14:paraId="39221191" w14:textId="77777777" w:rsidR="00B670DA" w:rsidRDefault="00B670DA" w:rsidP="00B670DA"/>
    <w:p w14:paraId="340FF930" w14:textId="77E87B61" w:rsidR="00B670DA" w:rsidRDefault="00B670DA" w:rsidP="00B670DA">
      <w:r>
        <w:t>While I understand the argument that one side should not be criticized for engaging in actions, which the other does not, this does not entirely address the issue. If the political message is one that the organization openly supports, would it not be better to be transparent with the readers regarding the funding and intent? After all, such transparency would at least give readers an opportunity to assess the content for themselves.</w:t>
      </w:r>
    </w:p>
    <w:p w14:paraId="63D77808" w14:textId="77777777" w:rsidR="00B670DA" w:rsidRDefault="00B670DA" w:rsidP="00B670DA">
      <w:r>
        <w:t>There are several aspects of these readings, which I believe warrant further research. First, Brill’s statistics do not provide enough data to understand the extent of the issue. While approximately 1,200 pink-slime sites and a similar number of local newspaper websites exist, it is unclear how many people read them. Some may have a large following, while others may only have a few readers. We would need information on readership to understand the scale of this problem.</w:t>
      </w:r>
    </w:p>
    <w:p w14:paraId="5C24C3B0" w14:textId="77777777" w:rsidR="00B670DA" w:rsidRDefault="00B670DA" w:rsidP="00B670DA"/>
    <w:p w14:paraId="09742FA7" w14:textId="77777777" w:rsidR="00B670DA" w:rsidRDefault="00B670DA" w:rsidP="00B670DA">
      <w:r>
        <w:t>The same can be said for the advertisements. While reaching 7.42 million feeds may seem impressive, it does not necessarily mean that millions of individuals read the content and accepted it as factual. Brill also discusses Courier Newsroom’s claim that its operations resulted in 3,300 votes in Iowa, but this is presented in the organization’s case study, and Brill notes that these were presumably votes for Democrats. More research would be required to see how much influence such sites actually have on the voting behavior of individuals.</w:t>
      </w:r>
    </w:p>
    <w:p w14:paraId="4954BEAF" w14:textId="77777777" w:rsidR="00B670DA" w:rsidRDefault="00B670DA" w:rsidP="00B670DA"/>
    <w:p w14:paraId="53240F13" w14:textId="77777777" w:rsidR="00B670DA" w:rsidRDefault="00B670DA" w:rsidP="00B670DA">
      <w:r>
        <w:t>I would also like to know more about how Brill defines pink-slime news. Given that he co-founded NewsGuard, which rates news sources and has also launched a book on the topic, it would be interesting to explore how he determines which websites fall under this category. What are the distinctions between a political website and a partisan news source? Having clear definitions would strengthen his argument.</w:t>
      </w:r>
    </w:p>
    <w:p w14:paraId="29631B07" w14:textId="77777777" w:rsidR="00B670DA" w:rsidRDefault="00B670DA" w:rsidP="00B670DA"/>
    <w:p w14:paraId="5A10AE30" w14:textId="77777777" w:rsidR="00B670DA" w:rsidRDefault="00B670DA" w:rsidP="00B670DA">
      <w:r>
        <w:t>Hardt’s discussion also raises questions regarding how relevant Marx’s views are to modern debates on media. Marx wrote his articles in the 1840s, when newspapers were the dominant medium and issues of press freedom were at the forefront of debates. Today political entities can use algorithms, to target individuals and influence their perception of the news. I would like to know more about whether such practices represent a different issue, or whether they are similar to what Marx wrote about.</w:t>
      </w:r>
    </w:p>
    <w:p w14:paraId="4CF74EB0" w14:textId="77777777" w:rsidR="00B670DA" w:rsidRDefault="00B670DA" w:rsidP="00B670DA"/>
    <w:p w14:paraId="124F69AB" w14:textId="46929B51" w:rsidR="00BB283B" w:rsidRDefault="00B670DA" w:rsidP="00B670DA">
      <w:r>
        <w:t>All three readings contribute to an understanding of the issues, but I believe they do not address how to solve them sufficiently. One obvious solution would be to ensure that news websites disclose who funds their operations, but this raises the question of whether individuals would actually read the fine print. Further research into methods of identifying misleading sources would be beneficial.</w:t>
      </w:r>
    </w:p>
    <w:sectPr w:rsidR="00BB28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0000000000000000000"/>
    <w:charset w:val="8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0DA"/>
    <w:rsid w:val="00441F54"/>
    <w:rsid w:val="004F4C55"/>
    <w:rsid w:val="00B670DA"/>
    <w:rsid w:val="00BB283B"/>
    <w:rsid w:val="00CE4FC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EA62CBA"/>
  <w15:chartTrackingRefBased/>
  <w15:docId w15:val="{BF958CDE-0F81-410A-89B3-16EA853FA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70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70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70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70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70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70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0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0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0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0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70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70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70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70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70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0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0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0DA"/>
    <w:rPr>
      <w:rFonts w:eastAsiaTheme="majorEastAsia" w:cstheme="majorBidi"/>
      <w:color w:val="272727" w:themeColor="text1" w:themeTint="D8"/>
    </w:rPr>
  </w:style>
  <w:style w:type="paragraph" w:styleId="Title">
    <w:name w:val="Title"/>
    <w:basedOn w:val="Normal"/>
    <w:next w:val="Normal"/>
    <w:link w:val="TitleChar"/>
    <w:uiPriority w:val="10"/>
    <w:qFormat/>
    <w:rsid w:val="00B670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0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0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0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0DA"/>
    <w:pPr>
      <w:spacing w:before="160"/>
      <w:jc w:val="center"/>
    </w:pPr>
    <w:rPr>
      <w:i/>
      <w:iCs/>
      <w:color w:val="404040" w:themeColor="text1" w:themeTint="BF"/>
    </w:rPr>
  </w:style>
  <w:style w:type="character" w:customStyle="1" w:styleId="QuoteChar">
    <w:name w:val="Quote Char"/>
    <w:basedOn w:val="DefaultParagraphFont"/>
    <w:link w:val="Quote"/>
    <w:uiPriority w:val="29"/>
    <w:rsid w:val="00B670DA"/>
    <w:rPr>
      <w:i/>
      <w:iCs/>
      <w:color w:val="404040" w:themeColor="text1" w:themeTint="BF"/>
    </w:rPr>
  </w:style>
  <w:style w:type="paragraph" w:styleId="ListParagraph">
    <w:name w:val="List Paragraph"/>
    <w:basedOn w:val="Normal"/>
    <w:uiPriority w:val="34"/>
    <w:qFormat/>
    <w:rsid w:val="00B670DA"/>
    <w:pPr>
      <w:ind w:left="720"/>
      <w:contextualSpacing/>
    </w:pPr>
  </w:style>
  <w:style w:type="character" w:styleId="IntenseEmphasis">
    <w:name w:val="Intense Emphasis"/>
    <w:basedOn w:val="DefaultParagraphFont"/>
    <w:uiPriority w:val="21"/>
    <w:qFormat/>
    <w:rsid w:val="00B670DA"/>
    <w:rPr>
      <w:i/>
      <w:iCs/>
      <w:color w:val="0F4761" w:themeColor="accent1" w:themeShade="BF"/>
    </w:rPr>
  </w:style>
  <w:style w:type="paragraph" w:styleId="IntenseQuote">
    <w:name w:val="Intense Quote"/>
    <w:basedOn w:val="Normal"/>
    <w:next w:val="Normal"/>
    <w:link w:val="IntenseQuoteChar"/>
    <w:uiPriority w:val="30"/>
    <w:qFormat/>
    <w:rsid w:val="00B670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70DA"/>
    <w:rPr>
      <w:i/>
      <w:iCs/>
      <w:color w:val="0F4761" w:themeColor="accent1" w:themeShade="BF"/>
    </w:rPr>
  </w:style>
  <w:style w:type="character" w:styleId="IntenseReference">
    <w:name w:val="Intense Reference"/>
    <w:basedOn w:val="DefaultParagraphFont"/>
    <w:uiPriority w:val="32"/>
    <w:qFormat/>
    <w:rsid w:val="00B670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259F08AC7C4CC48819B1B1AD5462654" ma:contentTypeVersion="4" ma:contentTypeDescription="Create a new document." ma:contentTypeScope="" ma:versionID="fce7dbca2674ddc9bec4d6de7e620bad">
  <xsd:schema xmlns:xsd="http://www.w3.org/2001/XMLSchema" xmlns:xs="http://www.w3.org/2001/XMLSchema" xmlns:p="http://schemas.microsoft.com/office/2006/metadata/properties" xmlns:ns3="8f619cf0-e5d2-402a-967f-5ddde1dfda37" targetNamespace="http://schemas.microsoft.com/office/2006/metadata/properties" ma:root="true" ma:fieldsID="6268d9dd8b1d5841e5a927188e04f7e1" ns3:_="">
    <xsd:import namespace="8f619cf0-e5d2-402a-967f-5ddde1dfda3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619cf0-e5d2-402a-967f-5ddde1dfda3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FEBE970-6735-4C6E-98D8-111A0ADB5B27}">
  <ds:schemaRefs>
    <ds:schemaRef ds:uri="http://schemas.microsoft.com/sharepoint/v3/contenttype/forms"/>
  </ds:schemaRefs>
</ds:datastoreItem>
</file>

<file path=customXml/itemProps2.xml><?xml version="1.0" encoding="utf-8"?>
<ds:datastoreItem xmlns:ds="http://schemas.openxmlformats.org/officeDocument/2006/customXml" ds:itemID="{2A7B97FF-57EB-44BE-BDC4-4BBB2D9A62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619cf0-e5d2-402a-967f-5ddde1dfda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035CC5C-C4BF-42E9-9E59-714CD9CF282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Mitreski, Marcello</dc:creator>
  <cp:keywords/>
  <dc:description/>
  <cp:lastModifiedBy>Mitreski, Marcello</cp:lastModifiedBy>
  <cp:revision>1</cp:revision>
  <dcterms:created xsi:type="dcterms:W3CDTF">2026-10-09T04:49:00Z</dcterms:created>
  <dcterms:modified xsi:type="dcterms:W3CDTF">2026-10-09T05:12:00Z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0x0101008259F08AC7C4CC48819B1B1AD5462654</vt:lpwstr>
  </property>
</Properties>
</file>