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5F89" w14:textId="77777777" w:rsidR="00F06029" w:rsidRDefault="00F06029" w:rsidP="00BA411B">
      <w:pPr>
        <w:jc w:val="both"/>
        <w:rPr>
          <w:rFonts w:ascii="Arial" w:hAnsi="Arial" w:cs="Arial"/>
          <w:b/>
          <w:sz w:val="24"/>
        </w:rPr>
      </w:pPr>
    </w:p>
    <w:p w14:paraId="0B5ED27B" w14:textId="4E97D37C" w:rsidR="00BD1FD3" w:rsidRPr="00F06029" w:rsidRDefault="00F06029" w:rsidP="00BA411B">
      <w:pPr>
        <w:jc w:val="center"/>
        <w:rPr>
          <w:rFonts w:ascii="Arial" w:hAnsi="Arial" w:cs="Arial"/>
          <w:b/>
          <w:sz w:val="24"/>
        </w:rPr>
      </w:pPr>
      <w:r>
        <w:rPr>
          <w:noProof/>
          <w:lang w:eastAsia="et-EE"/>
        </w:rPr>
        <w:drawing>
          <wp:anchor distT="0" distB="0" distL="114300" distR="114300" simplePos="0" relativeHeight="251658240" behindDoc="1" locked="1" layoutInCell="1" allowOverlap="1" wp14:anchorId="4574B032" wp14:editId="289858A4">
            <wp:simplePos x="0" y="0"/>
            <wp:positionH relativeFrom="margin">
              <wp:align>right</wp:align>
            </wp:positionH>
            <wp:positionV relativeFrom="page">
              <wp:posOffset>328295</wp:posOffset>
            </wp:positionV>
            <wp:extent cx="1889760" cy="654050"/>
            <wp:effectExtent l="0" t="0" r="0" b="0"/>
            <wp:wrapNone/>
            <wp:docPr id="5" name="Picture 5" descr="logo_corner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_corner_smal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89760" cy="654050"/>
                    </a:xfrm>
                    <a:prstGeom prst="rect">
                      <a:avLst/>
                    </a:prstGeom>
                    <a:noFill/>
                  </pic:spPr>
                </pic:pic>
              </a:graphicData>
            </a:graphic>
            <wp14:sizeRelH relativeFrom="page">
              <wp14:pctWidth>0</wp14:pctWidth>
            </wp14:sizeRelH>
            <wp14:sizeRelV relativeFrom="page">
              <wp14:pctHeight>0</wp14:pctHeight>
            </wp14:sizeRelV>
          </wp:anchor>
        </w:drawing>
      </w:r>
      <w:r w:rsidR="00320537">
        <w:rPr>
          <w:rFonts w:ascii="Arial" w:hAnsi="Arial" w:cs="Arial"/>
          <w:b/>
          <w:bCs/>
          <w:sz w:val="24"/>
          <w:szCs w:val="24"/>
        </w:rPr>
        <w:t>Procurement procedure</w:t>
      </w:r>
    </w:p>
    <w:p w14:paraId="4FBD65A4" w14:textId="16BA78AC" w:rsidR="00F06029" w:rsidRDefault="00F06029" w:rsidP="00BA411B">
      <w:pPr>
        <w:spacing w:after="0" w:line="240" w:lineRule="auto"/>
        <w:jc w:val="both"/>
        <w:rPr>
          <w:rFonts w:ascii="Arial" w:hAnsi="Arial" w:cs="Arial"/>
          <w:sz w:val="20"/>
          <w:szCs w:val="20"/>
        </w:rPr>
      </w:pPr>
    </w:p>
    <w:p w14:paraId="2FF11DD2" w14:textId="1A47CF6E" w:rsidR="00F06029" w:rsidRPr="001F3049" w:rsidRDefault="00F923F1" w:rsidP="00BA411B">
      <w:pPr>
        <w:pStyle w:val="ListParagraph"/>
        <w:numPr>
          <w:ilvl w:val="0"/>
          <w:numId w:val="1"/>
        </w:numPr>
        <w:spacing w:after="0" w:line="240" w:lineRule="auto"/>
        <w:ind w:left="284" w:hanging="426"/>
        <w:jc w:val="both"/>
        <w:rPr>
          <w:rFonts w:ascii="Arial" w:hAnsi="Arial" w:cs="Arial"/>
          <w:b/>
          <w:szCs w:val="20"/>
        </w:rPr>
      </w:pPr>
      <w:r>
        <w:rPr>
          <w:rFonts w:ascii="Arial" w:hAnsi="Arial" w:cs="Arial"/>
          <w:b/>
          <w:szCs w:val="20"/>
        </w:rPr>
        <w:t>Subject of public procurement and general information</w:t>
      </w:r>
    </w:p>
    <w:p w14:paraId="4562C76B" w14:textId="730E1CAB" w:rsidR="00B025DD" w:rsidRDefault="00B025DD" w:rsidP="00316E60">
      <w:pPr>
        <w:pStyle w:val="ListParagraph"/>
        <w:numPr>
          <w:ilvl w:val="1"/>
          <w:numId w:val="1"/>
        </w:numPr>
        <w:spacing w:after="0" w:line="240" w:lineRule="auto"/>
        <w:ind w:left="284" w:hanging="426"/>
        <w:jc w:val="both"/>
        <w:rPr>
          <w:rFonts w:ascii="Arial" w:hAnsi="Arial" w:cs="Arial"/>
          <w:sz w:val="20"/>
          <w:szCs w:val="20"/>
        </w:rPr>
      </w:pPr>
      <w:r>
        <w:rPr>
          <w:rFonts w:ascii="Arial" w:hAnsi="Arial" w:cs="Arial"/>
          <w:sz w:val="20"/>
          <w:szCs w:val="20"/>
        </w:rPr>
        <w:t xml:space="preserve">The basic documents for public procurement (hereinafter also the </w:t>
      </w:r>
      <w:r w:rsidR="001D541F">
        <w:rPr>
          <w:rFonts w:ascii="Arial" w:hAnsi="Arial" w:cs="Arial"/>
          <w:sz w:val="20"/>
          <w:szCs w:val="20"/>
        </w:rPr>
        <w:t>RHAD</w:t>
      </w:r>
      <w:r>
        <w:rPr>
          <w:rFonts w:ascii="Arial" w:hAnsi="Arial" w:cs="Arial"/>
          <w:sz w:val="20"/>
          <w:szCs w:val="20"/>
        </w:rPr>
        <w:t xml:space="preserve">) consist of the documents listed in Section </w:t>
      </w:r>
      <w:r w:rsidR="009A2197">
        <w:rPr>
          <w:rFonts w:ascii="Arial" w:hAnsi="Arial" w:cs="Arial"/>
          <w:sz w:val="20"/>
          <w:szCs w:val="20"/>
        </w:rPr>
        <w:t xml:space="preserve">125 </w:t>
      </w:r>
      <w:r>
        <w:rPr>
          <w:rFonts w:ascii="Arial" w:hAnsi="Arial" w:cs="Arial"/>
          <w:sz w:val="20"/>
          <w:szCs w:val="20"/>
        </w:rPr>
        <w:t xml:space="preserve">of the Public Procurement Act (hereinafter also the </w:t>
      </w:r>
      <w:r w:rsidR="001D541F">
        <w:rPr>
          <w:rFonts w:ascii="Arial" w:hAnsi="Arial" w:cs="Arial"/>
          <w:sz w:val="20"/>
          <w:szCs w:val="20"/>
        </w:rPr>
        <w:t>RHS</w:t>
      </w:r>
      <w:r>
        <w:rPr>
          <w:rFonts w:ascii="Arial" w:hAnsi="Arial" w:cs="Arial"/>
          <w:sz w:val="20"/>
          <w:szCs w:val="20"/>
        </w:rPr>
        <w:t>). All documents complement each other. Any obligation, condition or requirement set out in any document is mandatory for the tenderer.</w:t>
      </w:r>
    </w:p>
    <w:p w14:paraId="3B9DF4FA" w14:textId="77777777" w:rsidR="006337E4" w:rsidRDefault="006337E4" w:rsidP="006337E4">
      <w:pPr>
        <w:pStyle w:val="ListParagraph"/>
        <w:spacing w:after="0" w:line="240" w:lineRule="auto"/>
        <w:ind w:left="284"/>
        <w:jc w:val="both"/>
        <w:rPr>
          <w:rFonts w:ascii="Arial" w:hAnsi="Arial" w:cs="Arial"/>
          <w:sz w:val="20"/>
          <w:szCs w:val="20"/>
        </w:rPr>
      </w:pPr>
    </w:p>
    <w:p w14:paraId="21B8EDD2" w14:textId="77777777" w:rsidR="001D541F" w:rsidRPr="001D541F" w:rsidRDefault="001D541F" w:rsidP="00BA411B">
      <w:pPr>
        <w:pStyle w:val="ListParagraph"/>
        <w:numPr>
          <w:ilvl w:val="1"/>
          <w:numId w:val="1"/>
        </w:numPr>
        <w:spacing w:after="0" w:line="240" w:lineRule="auto"/>
        <w:ind w:left="284" w:hanging="426"/>
        <w:jc w:val="both"/>
        <w:rPr>
          <w:sz w:val="20"/>
          <w:szCs w:val="20"/>
        </w:rPr>
      </w:pPr>
      <w:r w:rsidRPr="001D541F">
        <w:rPr>
          <w:rFonts w:ascii="Arial" w:hAnsi="Arial" w:cs="Arial"/>
          <w:sz w:val="20"/>
          <w:szCs w:val="20"/>
        </w:rPr>
        <w:t>The RHAD has been prepared in Estonian and English. In the event of any inconsistencies between the Estonian and English versions of the basic public procurement documents, the provisions of the Estonian version of the basic public procurement documents shall prevail. The Estonian version of the basic public procurement documents shall prevail.</w:t>
      </w:r>
    </w:p>
    <w:p w14:paraId="4E88680E" w14:textId="77777777" w:rsidR="001D541F" w:rsidRPr="001D541F" w:rsidRDefault="001D541F" w:rsidP="001D541F">
      <w:pPr>
        <w:pStyle w:val="ListParagraph"/>
        <w:rPr>
          <w:rFonts w:ascii="Arial" w:hAnsi="Arial" w:cs="Arial"/>
          <w:sz w:val="20"/>
          <w:szCs w:val="20"/>
        </w:rPr>
      </w:pPr>
    </w:p>
    <w:p w14:paraId="7198BE50" w14:textId="37ADCDB2" w:rsidR="001003EB" w:rsidRPr="00FC6520" w:rsidRDefault="009355A5" w:rsidP="00BA411B">
      <w:pPr>
        <w:pStyle w:val="ListParagraph"/>
        <w:numPr>
          <w:ilvl w:val="1"/>
          <w:numId w:val="1"/>
        </w:numPr>
        <w:spacing w:after="0" w:line="240" w:lineRule="auto"/>
        <w:ind w:left="284" w:hanging="426"/>
        <w:jc w:val="both"/>
        <w:rPr>
          <w:sz w:val="20"/>
          <w:szCs w:val="20"/>
        </w:rPr>
      </w:pPr>
      <w:r w:rsidRPr="006337E4">
        <w:rPr>
          <w:rFonts w:ascii="Arial" w:hAnsi="Arial" w:cs="Arial"/>
          <w:sz w:val="20"/>
          <w:szCs w:val="20"/>
        </w:rPr>
        <w:t>The subject matter of the framework agreement is described in the RHAD document "Technical Description".</w:t>
      </w:r>
    </w:p>
    <w:p w14:paraId="28655B21" w14:textId="2AED5418" w:rsidR="00FC6520" w:rsidRPr="009F5756" w:rsidRDefault="00FC6520" w:rsidP="00BA411B">
      <w:pPr>
        <w:pStyle w:val="ListParagraph"/>
        <w:numPr>
          <w:ilvl w:val="1"/>
          <w:numId w:val="1"/>
        </w:numPr>
        <w:spacing w:after="0" w:line="240" w:lineRule="auto"/>
        <w:ind w:left="284" w:hanging="426"/>
        <w:jc w:val="both"/>
        <w:rPr>
          <w:sz w:val="20"/>
          <w:szCs w:val="20"/>
        </w:rPr>
      </w:pPr>
      <w:r>
        <w:rPr>
          <w:rFonts w:ascii="Arial" w:hAnsi="Arial" w:cs="Arial"/>
          <w:sz w:val="20"/>
          <w:szCs w:val="20"/>
        </w:rPr>
        <w:t xml:space="preserve">Public procurement is organized in accordance with the procurement procedure set out in Chapter 5 of the RHS and the conditions set out </w:t>
      </w:r>
      <w:r w:rsidR="00FA7540">
        <w:rPr>
          <w:rFonts w:ascii="Arial" w:hAnsi="Arial" w:cs="Arial"/>
          <w:sz w:val="20"/>
          <w:szCs w:val="20"/>
        </w:rPr>
        <w:t>in the RHAD .</w:t>
      </w:r>
    </w:p>
    <w:p w14:paraId="22127AA9" w14:textId="524A15C8" w:rsidR="00EE2770" w:rsidRDefault="009F5756" w:rsidP="00EE2770">
      <w:pPr>
        <w:pStyle w:val="ListParagraph"/>
        <w:numPr>
          <w:ilvl w:val="1"/>
          <w:numId w:val="1"/>
        </w:numPr>
        <w:spacing w:after="0" w:line="240" w:lineRule="auto"/>
        <w:ind w:left="284" w:hanging="426"/>
        <w:jc w:val="both"/>
        <w:rPr>
          <w:rFonts w:ascii="Arial" w:hAnsi="Arial" w:cs="Arial"/>
          <w:sz w:val="20"/>
          <w:szCs w:val="20"/>
        </w:rPr>
      </w:pPr>
      <w:r>
        <w:rPr>
          <w:rFonts w:ascii="Arial" w:hAnsi="Arial" w:cs="Arial"/>
          <w:sz w:val="20"/>
          <w:szCs w:val="20"/>
        </w:rPr>
        <w:t xml:space="preserve">The bidder and the bid submitted by the bidder must meet all the conditions set out in the RHAD . All </w:t>
      </w:r>
      <w:r w:rsidR="00EE2770" w:rsidRPr="00D14A81">
        <w:rPr>
          <w:rFonts w:ascii="Arial" w:hAnsi="Arial" w:cs="Arial"/>
          <w:sz w:val="20"/>
          <w:szCs w:val="20"/>
        </w:rPr>
        <w:t>documents required by the RHAD must be submitted with the bid.</w:t>
      </w:r>
      <w:r w:rsidR="00EB5E10" w:rsidRPr="00EB5E10">
        <w:t xml:space="preserve"> </w:t>
      </w:r>
      <w:r w:rsidR="00EB5E10" w:rsidRPr="00EB5E10">
        <w:rPr>
          <w:rFonts w:ascii="Arial" w:hAnsi="Arial" w:cs="Arial"/>
          <w:sz w:val="20"/>
          <w:szCs w:val="20"/>
        </w:rPr>
        <w:t xml:space="preserve">electronically through the e-public procurement environment at </w:t>
      </w:r>
      <w:hyperlink r:id="rId11" w:history="1">
        <w:r w:rsidR="001D541F" w:rsidRPr="00E11D5C">
          <w:rPr>
            <w:rStyle w:val="Hyperlink"/>
            <w:rFonts w:ascii="Arial" w:hAnsi="Arial" w:cs="Arial"/>
            <w:sz w:val="20"/>
            <w:szCs w:val="20"/>
          </w:rPr>
          <w:t>https://riigihanked.riik.ee</w:t>
        </w:r>
      </w:hyperlink>
      <w:r w:rsidR="006E1672">
        <w:rPr>
          <w:rFonts w:ascii="Arial" w:hAnsi="Arial" w:cs="Arial"/>
          <w:sz w:val="20"/>
          <w:szCs w:val="20"/>
        </w:rPr>
        <w:t>.</w:t>
      </w:r>
    </w:p>
    <w:p w14:paraId="2C5271DD" w14:textId="16CF29E3" w:rsidR="006E1672" w:rsidRPr="006E1672" w:rsidRDefault="006E1672" w:rsidP="00BA010E">
      <w:pPr>
        <w:pStyle w:val="ListParagraph"/>
        <w:numPr>
          <w:ilvl w:val="1"/>
          <w:numId w:val="1"/>
        </w:numPr>
        <w:spacing w:after="0" w:line="240" w:lineRule="auto"/>
        <w:ind w:left="284" w:hanging="426"/>
        <w:jc w:val="both"/>
        <w:rPr>
          <w:rFonts w:ascii="Arial" w:hAnsi="Arial" w:cs="Arial"/>
          <w:sz w:val="20"/>
          <w:szCs w:val="20"/>
        </w:rPr>
      </w:pPr>
      <w:r w:rsidRPr="006E1672">
        <w:rPr>
          <w:rFonts w:ascii="Arial" w:hAnsi="Arial" w:cs="Arial"/>
          <w:sz w:val="20"/>
          <w:szCs w:val="20"/>
        </w:rPr>
        <w:t xml:space="preserve">Other requirements and guidelines that must be </w:t>
      </w:r>
      <w:proofErr w:type="gramStart"/>
      <w:r w:rsidRPr="006E1672">
        <w:rPr>
          <w:rFonts w:ascii="Arial" w:hAnsi="Arial" w:cs="Arial"/>
          <w:sz w:val="20"/>
          <w:szCs w:val="20"/>
        </w:rPr>
        <w:t>taken into account</w:t>
      </w:r>
      <w:proofErr w:type="gramEnd"/>
      <w:r w:rsidRPr="006E1672">
        <w:rPr>
          <w:rFonts w:ascii="Arial" w:hAnsi="Arial" w:cs="Arial"/>
          <w:sz w:val="20"/>
          <w:szCs w:val="20"/>
        </w:rPr>
        <w:t>:</w:t>
      </w:r>
    </w:p>
    <w:p w14:paraId="71E6E966" w14:textId="77777777" w:rsidR="006E1672" w:rsidRPr="006E1672" w:rsidRDefault="006E1672" w:rsidP="00BA010E">
      <w:pPr>
        <w:pStyle w:val="ListParagraph"/>
        <w:spacing w:after="0" w:line="240" w:lineRule="auto"/>
        <w:ind w:left="284"/>
        <w:jc w:val="both"/>
        <w:rPr>
          <w:rFonts w:ascii="Arial" w:hAnsi="Arial" w:cs="Arial"/>
          <w:sz w:val="20"/>
          <w:szCs w:val="20"/>
        </w:rPr>
      </w:pPr>
      <w:r w:rsidRPr="006E1672">
        <w:rPr>
          <w:rFonts w:ascii="Arial" w:hAnsi="Arial" w:cs="Arial"/>
          <w:sz w:val="20"/>
          <w:szCs w:val="20"/>
        </w:rPr>
        <w:t xml:space="preserve">1.6.1. Occupational health and safety requirements for </w:t>
      </w:r>
      <w:proofErr w:type="spellStart"/>
      <w:r w:rsidRPr="006E1672">
        <w:rPr>
          <w:rFonts w:ascii="Arial" w:hAnsi="Arial" w:cs="Arial"/>
          <w:sz w:val="20"/>
          <w:szCs w:val="20"/>
        </w:rPr>
        <w:t>Eesti</w:t>
      </w:r>
      <w:proofErr w:type="spellEnd"/>
      <w:r w:rsidRPr="006E1672">
        <w:rPr>
          <w:rFonts w:ascii="Arial" w:hAnsi="Arial" w:cs="Arial"/>
          <w:sz w:val="20"/>
          <w:szCs w:val="20"/>
        </w:rPr>
        <w:t xml:space="preserve"> Energia's contractual partners,</w:t>
      </w:r>
    </w:p>
    <w:p w14:paraId="3CB14AE8" w14:textId="1A6187F9" w:rsidR="0F1335FC" w:rsidRDefault="006E1672" w:rsidP="00BA010E">
      <w:pPr>
        <w:spacing w:after="0" w:line="240" w:lineRule="auto"/>
        <w:ind w:firstLine="284"/>
        <w:jc w:val="both"/>
        <w:rPr>
          <w:rFonts w:ascii="Arial" w:hAnsi="Arial" w:cs="Arial"/>
          <w:sz w:val="20"/>
          <w:szCs w:val="20"/>
        </w:rPr>
      </w:pPr>
      <w:r w:rsidRPr="006E1672">
        <w:rPr>
          <w:rFonts w:ascii="Arial" w:hAnsi="Arial" w:cs="Arial"/>
          <w:sz w:val="20"/>
          <w:szCs w:val="20"/>
        </w:rPr>
        <w:t xml:space="preserve">1.6.2. </w:t>
      </w:r>
      <w:proofErr w:type="spellStart"/>
      <w:r w:rsidRPr="006E1672">
        <w:rPr>
          <w:rFonts w:ascii="Arial" w:hAnsi="Arial" w:cs="Arial"/>
          <w:sz w:val="20"/>
          <w:szCs w:val="20"/>
        </w:rPr>
        <w:t>Eesti</w:t>
      </w:r>
      <w:proofErr w:type="spellEnd"/>
      <w:r w:rsidRPr="006E1672">
        <w:rPr>
          <w:rFonts w:ascii="Arial" w:hAnsi="Arial" w:cs="Arial"/>
          <w:sz w:val="20"/>
          <w:szCs w:val="20"/>
        </w:rPr>
        <w:t xml:space="preserve"> Energia Group's Code of Ethics for Partners.</w:t>
      </w:r>
    </w:p>
    <w:p w14:paraId="789136D5" w14:textId="77777777" w:rsidR="00BA010E" w:rsidRPr="00BA010E" w:rsidRDefault="00BA010E" w:rsidP="00BA010E">
      <w:pPr>
        <w:spacing w:after="0" w:line="240" w:lineRule="auto"/>
        <w:ind w:firstLine="284"/>
        <w:jc w:val="both"/>
        <w:rPr>
          <w:rFonts w:ascii="Arial" w:hAnsi="Arial" w:cs="Arial"/>
          <w:sz w:val="20"/>
          <w:szCs w:val="20"/>
          <w:lang w:val="et-EE"/>
        </w:rPr>
      </w:pPr>
    </w:p>
    <w:p w14:paraId="3D10167A" w14:textId="0830211D" w:rsidR="002008CE" w:rsidRDefault="002008CE" w:rsidP="00BA411B">
      <w:pPr>
        <w:pStyle w:val="ListParagraph"/>
        <w:numPr>
          <w:ilvl w:val="0"/>
          <w:numId w:val="1"/>
        </w:numPr>
        <w:spacing w:after="0" w:line="240" w:lineRule="auto"/>
        <w:ind w:left="284" w:hanging="426"/>
        <w:jc w:val="both"/>
        <w:rPr>
          <w:rFonts w:ascii="Arial" w:hAnsi="Arial" w:cs="Arial"/>
          <w:b/>
          <w:szCs w:val="20"/>
        </w:rPr>
      </w:pPr>
      <w:r>
        <w:rPr>
          <w:rFonts w:ascii="Arial" w:hAnsi="Arial" w:cs="Arial"/>
          <w:b/>
          <w:szCs w:val="20"/>
        </w:rPr>
        <w:t>Requirements for bidders, elimination and qualification of bidders</w:t>
      </w:r>
    </w:p>
    <w:p w14:paraId="24147AB6" w14:textId="77777777" w:rsidR="00A31CB0" w:rsidRDefault="00DA0728" w:rsidP="00343CB2">
      <w:pPr>
        <w:pStyle w:val="ListParagraph"/>
        <w:numPr>
          <w:ilvl w:val="1"/>
          <w:numId w:val="1"/>
        </w:numPr>
        <w:spacing w:after="0" w:line="240" w:lineRule="auto"/>
        <w:ind w:left="284" w:hanging="426"/>
        <w:jc w:val="both"/>
        <w:rPr>
          <w:rFonts w:ascii="Arial" w:hAnsi="Arial" w:cs="Arial"/>
          <w:sz w:val="20"/>
          <w:szCs w:val="20"/>
        </w:rPr>
      </w:pPr>
      <w:r>
        <w:rPr>
          <w:rFonts w:ascii="Arial" w:hAnsi="Arial" w:cs="Arial"/>
          <w:sz w:val="20"/>
        </w:rPr>
        <w:t xml:space="preserve">The grounds for exclusion from public procurement, the requirements for </w:t>
      </w:r>
      <w:proofErr w:type="gramStart"/>
      <w:r>
        <w:rPr>
          <w:rFonts w:ascii="Arial" w:hAnsi="Arial" w:cs="Arial"/>
          <w:sz w:val="20"/>
        </w:rPr>
        <w:t>the economic</w:t>
      </w:r>
      <w:proofErr w:type="gramEnd"/>
      <w:r>
        <w:rPr>
          <w:rFonts w:ascii="Arial" w:hAnsi="Arial" w:cs="Arial"/>
          <w:sz w:val="20"/>
        </w:rPr>
        <w:t xml:space="preserve"> and financial status and technical and professional competence of the bidder are set out in the RHAD document "Grounds for Exclusion and </w:t>
      </w:r>
      <w:r w:rsidR="001F1A51" w:rsidRPr="00343CB2">
        <w:rPr>
          <w:rFonts w:ascii="Arial" w:hAnsi="Arial" w:cs="Arial"/>
          <w:sz w:val="20"/>
          <w:szCs w:val="20"/>
        </w:rPr>
        <w:t>Qualification Conditions".</w:t>
      </w:r>
    </w:p>
    <w:p w14:paraId="72ED6F97" w14:textId="01FDD0A5" w:rsidR="00A91B19" w:rsidRPr="00A91B19" w:rsidRDefault="00A91B19" w:rsidP="00A91B19">
      <w:pPr>
        <w:pStyle w:val="ListParagraph"/>
        <w:numPr>
          <w:ilvl w:val="1"/>
          <w:numId w:val="1"/>
        </w:numPr>
        <w:spacing w:line="240" w:lineRule="auto"/>
        <w:ind w:left="284" w:hanging="426"/>
        <w:jc w:val="both"/>
        <w:rPr>
          <w:rFonts w:ascii="Arial" w:hAnsi="Arial" w:cs="Arial"/>
          <w:sz w:val="20"/>
          <w:szCs w:val="20"/>
          <w:lang w:val="et-EE"/>
        </w:rPr>
      </w:pPr>
      <w:r w:rsidRPr="00A91B19">
        <w:rPr>
          <w:rFonts w:ascii="Arial" w:hAnsi="Arial" w:cs="Arial"/>
          <w:sz w:val="20"/>
          <w:szCs w:val="20"/>
        </w:rPr>
        <w:t xml:space="preserve">The contracting </w:t>
      </w:r>
      <w:r w:rsidR="0005123F">
        <w:rPr>
          <w:rFonts w:ascii="Arial" w:hAnsi="Arial" w:cs="Arial"/>
          <w:sz w:val="20"/>
          <w:szCs w:val="20"/>
        </w:rPr>
        <w:t>entity</w:t>
      </w:r>
      <w:r w:rsidRPr="00A91B19">
        <w:rPr>
          <w:rFonts w:ascii="Arial" w:hAnsi="Arial" w:cs="Arial"/>
          <w:sz w:val="20"/>
          <w:szCs w:val="20"/>
        </w:rPr>
        <w:t xml:space="preserve"> has the right to verify that the bidder does not have grounds for exclusion throughout the public procurement and not to conclude a procurement contract with a bidder who has grounds for exclusion as provided for in the RHAD. </w:t>
      </w:r>
    </w:p>
    <w:p w14:paraId="718EDF57" w14:textId="26B65A72" w:rsidR="00A91B19" w:rsidRPr="00F72B9E" w:rsidRDefault="00F72B9E" w:rsidP="00F72B9E">
      <w:pPr>
        <w:pStyle w:val="ListParagraph"/>
        <w:numPr>
          <w:ilvl w:val="1"/>
          <w:numId w:val="1"/>
        </w:numPr>
        <w:spacing w:line="240" w:lineRule="auto"/>
        <w:ind w:left="284" w:hanging="426"/>
        <w:jc w:val="both"/>
        <w:rPr>
          <w:rFonts w:ascii="Arial" w:hAnsi="Arial" w:cs="Arial"/>
          <w:sz w:val="20"/>
          <w:szCs w:val="20"/>
          <w:lang w:val="et-EE"/>
        </w:rPr>
      </w:pPr>
      <w:r w:rsidRPr="00F72B9E">
        <w:rPr>
          <w:rFonts w:ascii="Arial" w:hAnsi="Arial" w:cs="Arial"/>
          <w:sz w:val="20"/>
          <w:szCs w:val="20"/>
        </w:rPr>
        <w:t>If the bidder does not submit the documents necessary for verifying the grounds for exclusion, or explanations regarding the content of the submitted documents, or data or documents enabling clarification, by the deadline set by the contracting authority, and these data or documents are not available to the contracting authority without significant costs based on the public data in the database, the contracting authority shall exclude the bidder from the public procurement.</w:t>
      </w:r>
    </w:p>
    <w:p w14:paraId="09B929CB" w14:textId="1B459D9B" w:rsidR="00C02363" w:rsidRPr="00C02363" w:rsidRDefault="00C02363" w:rsidP="00C02363">
      <w:pPr>
        <w:pStyle w:val="ListParagraph"/>
        <w:numPr>
          <w:ilvl w:val="1"/>
          <w:numId w:val="1"/>
        </w:numPr>
        <w:spacing w:line="240" w:lineRule="auto"/>
        <w:ind w:left="284" w:hanging="426"/>
        <w:jc w:val="both"/>
        <w:rPr>
          <w:rFonts w:ascii="Arial" w:hAnsi="Arial" w:cs="Arial"/>
          <w:sz w:val="20"/>
          <w:szCs w:val="20"/>
          <w:lang w:val="et-EE"/>
        </w:rPr>
      </w:pPr>
      <w:r w:rsidRPr="00C02363">
        <w:rPr>
          <w:rFonts w:ascii="Arial" w:hAnsi="Arial" w:cs="Arial"/>
          <w:sz w:val="20"/>
          <w:szCs w:val="20"/>
        </w:rPr>
        <w:t>Only bidders whose residence or registered office is in Estonia, another European Union Member State, another European Economic Area contracting state, or a country that has acceded to the World Trade Organization's Government Procurement Agreement may participate in public procurement.</w:t>
      </w:r>
    </w:p>
    <w:p w14:paraId="168747C1" w14:textId="5E4A03DB" w:rsidR="001F1A51" w:rsidRPr="00DD62E1" w:rsidRDefault="001F1A51" w:rsidP="00A31CB0">
      <w:pPr>
        <w:pStyle w:val="ListParagraph"/>
        <w:spacing w:after="0" w:line="240" w:lineRule="auto"/>
        <w:ind w:left="284"/>
        <w:jc w:val="both"/>
        <w:rPr>
          <w:rFonts w:ascii="Arial" w:hAnsi="Arial" w:cs="Arial"/>
          <w:sz w:val="18"/>
          <w:szCs w:val="20"/>
        </w:rPr>
      </w:pPr>
    </w:p>
    <w:p w14:paraId="1D44761B" w14:textId="39730771" w:rsidR="00F06029" w:rsidRPr="00F06029" w:rsidRDefault="00F06029" w:rsidP="00BA411B">
      <w:pPr>
        <w:pStyle w:val="ListParagraph"/>
        <w:numPr>
          <w:ilvl w:val="0"/>
          <w:numId w:val="1"/>
        </w:numPr>
        <w:spacing w:after="0" w:line="240" w:lineRule="auto"/>
        <w:ind w:left="284" w:hanging="426"/>
        <w:jc w:val="both"/>
        <w:rPr>
          <w:rFonts w:ascii="Arial" w:hAnsi="Arial" w:cs="Arial"/>
          <w:b/>
          <w:szCs w:val="20"/>
        </w:rPr>
      </w:pPr>
      <w:r w:rsidRPr="00F06029">
        <w:rPr>
          <w:rFonts w:ascii="Arial" w:hAnsi="Arial" w:cs="Arial"/>
          <w:b/>
          <w:szCs w:val="20"/>
        </w:rPr>
        <w:t>Tender requirements, verification of tender compliance</w:t>
      </w:r>
    </w:p>
    <w:p w14:paraId="513C4CB4" w14:textId="7911666F" w:rsidR="009152E8" w:rsidRPr="00834DCB" w:rsidRDefault="00834DCB" w:rsidP="00834DCB">
      <w:pPr>
        <w:pStyle w:val="ListParagraph"/>
        <w:numPr>
          <w:ilvl w:val="1"/>
          <w:numId w:val="1"/>
        </w:numPr>
        <w:spacing w:after="0" w:line="240" w:lineRule="auto"/>
        <w:ind w:left="284" w:hanging="426"/>
        <w:jc w:val="both"/>
        <w:rPr>
          <w:rFonts w:ascii="Arial" w:hAnsi="Arial" w:cs="Arial"/>
          <w:sz w:val="20"/>
          <w:szCs w:val="20"/>
        </w:rPr>
      </w:pPr>
      <w:r>
        <w:rPr>
          <w:rFonts w:ascii="Arial" w:hAnsi="Arial" w:cs="Arial"/>
          <w:sz w:val="20"/>
          <w:szCs w:val="20"/>
        </w:rPr>
        <w:t>The requirements for the tender are set out in the RHAD document “Conditions of Eligibility” and “Technical Specification”.</w:t>
      </w:r>
    </w:p>
    <w:p w14:paraId="468892E2" w14:textId="2BDD1717" w:rsidR="5FF4FA41" w:rsidRPr="00DE63E3" w:rsidRDefault="001D541F" w:rsidP="00BA411B">
      <w:pPr>
        <w:pStyle w:val="ListParagraph"/>
        <w:numPr>
          <w:ilvl w:val="1"/>
          <w:numId w:val="1"/>
        </w:numPr>
        <w:spacing w:after="0" w:line="240" w:lineRule="auto"/>
        <w:ind w:left="284" w:hanging="426"/>
        <w:jc w:val="both"/>
        <w:rPr>
          <w:rFonts w:ascii="Arial" w:hAnsi="Arial" w:cs="Arial"/>
          <w:color w:val="000000" w:themeColor="text1"/>
          <w:sz w:val="20"/>
          <w:szCs w:val="20"/>
        </w:rPr>
      </w:pPr>
      <w:r w:rsidRPr="00DE63E3">
        <w:rPr>
          <w:rFonts w:ascii="Arial" w:eastAsia="Arial" w:hAnsi="Arial" w:cs="Arial"/>
          <w:color w:val="000000" w:themeColor="text1"/>
          <w:sz w:val="20"/>
          <w:szCs w:val="20"/>
        </w:rPr>
        <w:t>In the RHAD forms submitted with the tender</w:t>
      </w:r>
      <w:r w:rsidR="0F1335FC" w:rsidRPr="00DE63E3">
        <w:rPr>
          <w:rFonts w:ascii="Arial" w:hAnsi="Arial" w:cs="Arial"/>
          <w:sz w:val="20"/>
          <w:szCs w:val="20"/>
        </w:rPr>
        <w:t xml:space="preserve">, the tenderer is prohibited from removing/changing the confirmations/conditions specified by the contracting </w:t>
      </w:r>
      <w:bookmarkStart w:id="0" w:name="_Hlk205809308"/>
      <w:r w:rsidR="007726D5" w:rsidRPr="00DE63E3">
        <w:rPr>
          <w:rFonts w:ascii="Arial" w:hAnsi="Arial" w:cs="Arial"/>
          <w:sz w:val="20"/>
          <w:szCs w:val="20"/>
        </w:rPr>
        <w:t>entity</w:t>
      </w:r>
      <w:bookmarkEnd w:id="0"/>
      <w:r w:rsidR="0F1335FC" w:rsidRPr="00DE63E3">
        <w:rPr>
          <w:rFonts w:ascii="Arial" w:hAnsi="Arial" w:cs="Arial"/>
          <w:sz w:val="20"/>
          <w:szCs w:val="20"/>
        </w:rPr>
        <w:t xml:space="preserve"> on the forms. The tenderer may change the forms only to the extent specified for this purpose (cells, brackets, lines, etc. indicated on the form).</w:t>
      </w:r>
    </w:p>
    <w:p w14:paraId="345BC9B6" w14:textId="078048D0" w:rsidR="0051792B" w:rsidRPr="00DE63E3" w:rsidRDefault="0051792B" w:rsidP="00497AFD">
      <w:pPr>
        <w:pStyle w:val="ListParagraph"/>
        <w:numPr>
          <w:ilvl w:val="1"/>
          <w:numId w:val="1"/>
        </w:numPr>
        <w:spacing w:after="0" w:line="240" w:lineRule="auto"/>
        <w:ind w:left="284" w:hanging="426"/>
        <w:jc w:val="both"/>
        <w:rPr>
          <w:rFonts w:ascii="Arial" w:hAnsi="Arial" w:cs="Arial"/>
          <w:color w:val="000000" w:themeColor="text1"/>
          <w:sz w:val="20"/>
          <w:szCs w:val="20"/>
        </w:rPr>
      </w:pPr>
      <w:r w:rsidRPr="00DE63E3">
        <w:rPr>
          <w:rFonts w:ascii="Arial" w:hAnsi="Arial" w:cs="Arial"/>
          <w:color w:val="000000" w:themeColor="text1"/>
          <w:sz w:val="20"/>
          <w:szCs w:val="20"/>
        </w:rPr>
        <w:t>The provisions of Section 112 of the Public Procurement Act shall apply to the extension of the tender validity period.</w:t>
      </w:r>
    </w:p>
    <w:p w14:paraId="40562063" w14:textId="678AF20E" w:rsidR="0051792B" w:rsidRPr="00DE63E3" w:rsidRDefault="0051792B" w:rsidP="00497AFD">
      <w:pPr>
        <w:pStyle w:val="ListParagraph"/>
        <w:numPr>
          <w:ilvl w:val="1"/>
          <w:numId w:val="1"/>
        </w:numPr>
        <w:spacing w:after="0" w:line="240" w:lineRule="auto"/>
        <w:ind w:left="284"/>
        <w:jc w:val="both"/>
        <w:rPr>
          <w:rFonts w:ascii="Arial" w:hAnsi="Arial" w:cs="Arial"/>
          <w:color w:val="000000" w:themeColor="text1"/>
          <w:sz w:val="20"/>
          <w:szCs w:val="20"/>
        </w:rPr>
      </w:pPr>
      <w:r w:rsidRPr="00DE63E3">
        <w:rPr>
          <w:rFonts w:ascii="Arial" w:hAnsi="Arial" w:cs="Arial"/>
          <w:color w:val="000000" w:themeColor="text1"/>
          <w:sz w:val="20"/>
          <w:szCs w:val="20"/>
        </w:rPr>
        <w:t xml:space="preserve"> The contracting authority shall declare the tender to be responsive if it complies with the requirements set out in the RHAD. The contracting authority may declare the tender to be responsive if it does not contain any substantive deviations from the conditions specified in the RHAD. </w:t>
      </w:r>
    </w:p>
    <w:p w14:paraId="43254491" w14:textId="0C8A7F58" w:rsidR="0051792B" w:rsidRPr="00DE63E3" w:rsidRDefault="0051792B" w:rsidP="00497AFD">
      <w:pPr>
        <w:pStyle w:val="ListParagraph"/>
        <w:numPr>
          <w:ilvl w:val="1"/>
          <w:numId w:val="1"/>
        </w:numPr>
        <w:spacing w:after="0" w:line="240" w:lineRule="auto"/>
        <w:ind w:left="284"/>
        <w:jc w:val="both"/>
        <w:rPr>
          <w:rFonts w:ascii="Arial" w:hAnsi="Arial" w:cs="Arial"/>
          <w:color w:val="000000" w:themeColor="text1"/>
          <w:sz w:val="20"/>
          <w:szCs w:val="20"/>
        </w:rPr>
      </w:pPr>
      <w:r w:rsidRPr="00DE63E3">
        <w:rPr>
          <w:rFonts w:ascii="Arial" w:hAnsi="Arial" w:cs="Arial"/>
          <w:color w:val="000000" w:themeColor="text1"/>
          <w:sz w:val="20"/>
          <w:szCs w:val="20"/>
        </w:rPr>
        <w:t xml:space="preserve">The contracting authority shall reject the tender if the tender does not comply with the requirements set out in the RHAD or if the tenderer does not submit the explanations requested by the contracting authority by the deadline or if, based on the explanations provided by the tenderer, it is not possible to unambiguously assess the conformity of the tender with the conditions set out in the RHAD. </w:t>
      </w:r>
    </w:p>
    <w:p w14:paraId="20E1136E" w14:textId="4DEB4762" w:rsidR="0051792B" w:rsidRDefault="0051792B" w:rsidP="00497AFD">
      <w:pPr>
        <w:pStyle w:val="ListParagraph"/>
        <w:numPr>
          <w:ilvl w:val="1"/>
          <w:numId w:val="1"/>
        </w:numPr>
        <w:spacing w:after="0" w:line="240" w:lineRule="auto"/>
        <w:ind w:left="284" w:hanging="426"/>
        <w:jc w:val="both"/>
        <w:rPr>
          <w:rFonts w:ascii="Arial" w:hAnsi="Arial" w:cs="Arial"/>
          <w:color w:val="000000" w:themeColor="text1"/>
          <w:sz w:val="20"/>
          <w:szCs w:val="20"/>
        </w:rPr>
      </w:pPr>
      <w:proofErr w:type="gramStart"/>
      <w:r w:rsidRPr="00DE63E3">
        <w:rPr>
          <w:rFonts w:ascii="Arial" w:hAnsi="Arial" w:cs="Arial"/>
          <w:color w:val="000000" w:themeColor="text1"/>
          <w:sz w:val="20"/>
          <w:szCs w:val="20"/>
        </w:rPr>
        <w:lastRenderedPageBreak/>
        <w:t>In the event that</w:t>
      </w:r>
      <w:proofErr w:type="gramEnd"/>
      <w:r w:rsidRPr="00DE63E3">
        <w:rPr>
          <w:rFonts w:ascii="Arial" w:hAnsi="Arial" w:cs="Arial"/>
          <w:color w:val="000000" w:themeColor="text1"/>
          <w:sz w:val="20"/>
          <w:szCs w:val="20"/>
        </w:rPr>
        <w:t xml:space="preserve"> there is a calculation error in the cost of the tender, the contracting authority shall proceed </w:t>
      </w:r>
      <w:proofErr w:type="gramStart"/>
      <w:r w:rsidRPr="00DE63E3">
        <w:rPr>
          <w:rFonts w:ascii="Arial" w:hAnsi="Arial" w:cs="Arial"/>
          <w:color w:val="000000" w:themeColor="text1"/>
          <w:sz w:val="20"/>
          <w:szCs w:val="20"/>
        </w:rPr>
        <w:t>from</w:t>
      </w:r>
      <w:proofErr w:type="gramEnd"/>
      <w:r w:rsidRPr="00DE63E3">
        <w:rPr>
          <w:rFonts w:ascii="Arial" w:hAnsi="Arial" w:cs="Arial"/>
          <w:color w:val="000000" w:themeColor="text1"/>
          <w:sz w:val="20"/>
          <w:szCs w:val="20"/>
        </w:rPr>
        <w:t xml:space="preserve"> Section 117(3) of the Public Procurement Act.</w:t>
      </w:r>
    </w:p>
    <w:p w14:paraId="5A32DC35" w14:textId="77777777" w:rsidR="00C02363" w:rsidRPr="00DE63E3" w:rsidRDefault="00C02363" w:rsidP="00C02363">
      <w:pPr>
        <w:pStyle w:val="ListParagraph"/>
        <w:spacing w:after="0" w:line="240" w:lineRule="auto"/>
        <w:ind w:left="284"/>
        <w:jc w:val="both"/>
        <w:rPr>
          <w:rFonts w:ascii="Arial" w:hAnsi="Arial" w:cs="Arial"/>
          <w:color w:val="000000" w:themeColor="text1"/>
          <w:sz w:val="20"/>
          <w:szCs w:val="20"/>
        </w:rPr>
      </w:pPr>
    </w:p>
    <w:p w14:paraId="357261E7" w14:textId="77777777" w:rsidR="008C0D65" w:rsidRPr="00C67631" w:rsidRDefault="008C0D65" w:rsidP="00BA411B">
      <w:pPr>
        <w:spacing w:after="0" w:line="240" w:lineRule="auto"/>
        <w:ind w:left="284" w:hanging="426"/>
        <w:jc w:val="both"/>
        <w:rPr>
          <w:rFonts w:ascii="Arial" w:hAnsi="Arial" w:cs="Arial"/>
          <w:sz w:val="20"/>
          <w:szCs w:val="20"/>
        </w:rPr>
      </w:pPr>
    </w:p>
    <w:p w14:paraId="75F1E2A9" w14:textId="77777777" w:rsidR="00692D69" w:rsidRDefault="00D36649" w:rsidP="00692D69">
      <w:pPr>
        <w:pStyle w:val="ListParagraph"/>
        <w:numPr>
          <w:ilvl w:val="0"/>
          <w:numId w:val="1"/>
        </w:numPr>
        <w:spacing w:after="0" w:line="240" w:lineRule="auto"/>
        <w:ind w:left="284" w:hanging="426"/>
        <w:jc w:val="both"/>
        <w:rPr>
          <w:rFonts w:ascii="Arial" w:hAnsi="Arial" w:cs="Arial"/>
          <w:b/>
          <w:szCs w:val="20"/>
        </w:rPr>
      </w:pPr>
      <w:r w:rsidRPr="00C67631">
        <w:rPr>
          <w:rFonts w:ascii="Arial" w:hAnsi="Arial" w:cs="Arial"/>
          <w:b/>
          <w:szCs w:val="20"/>
        </w:rPr>
        <w:t>Rejection of offers</w:t>
      </w:r>
    </w:p>
    <w:p w14:paraId="1232337C" w14:textId="66C5C362" w:rsidR="00F30D49" w:rsidRPr="007726D5" w:rsidRDefault="00F30D49" w:rsidP="007726D5">
      <w:pPr>
        <w:pStyle w:val="ListParagraph"/>
        <w:numPr>
          <w:ilvl w:val="1"/>
          <w:numId w:val="1"/>
        </w:numPr>
        <w:spacing w:after="0" w:line="240" w:lineRule="auto"/>
        <w:ind w:left="284" w:hanging="426"/>
        <w:jc w:val="both"/>
        <w:rPr>
          <w:rFonts w:ascii="Arial" w:hAnsi="Arial" w:cs="Arial"/>
          <w:sz w:val="20"/>
          <w:szCs w:val="20"/>
        </w:rPr>
      </w:pPr>
      <w:r>
        <w:rPr>
          <w:rFonts w:ascii="Arial" w:hAnsi="Arial" w:cs="Arial"/>
          <w:sz w:val="20"/>
          <w:szCs w:val="20"/>
        </w:rPr>
        <w:t xml:space="preserve">The contracting </w:t>
      </w:r>
      <w:r w:rsidR="007726D5" w:rsidRPr="007726D5">
        <w:rPr>
          <w:rFonts w:ascii="Arial" w:hAnsi="Arial" w:cs="Arial"/>
          <w:sz w:val="20"/>
          <w:szCs w:val="20"/>
        </w:rPr>
        <w:t>entity</w:t>
      </w:r>
      <w:r w:rsidRPr="007726D5">
        <w:rPr>
          <w:rFonts w:ascii="Arial" w:hAnsi="Arial" w:cs="Arial"/>
          <w:sz w:val="20"/>
          <w:szCs w:val="20"/>
        </w:rPr>
        <w:t xml:space="preserve"> has the right to reject all tenders at any time before the conclusion of the contract:</w:t>
      </w:r>
    </w:p>
    <w:p w14:paraId="2AEDE1E2" w14:textId="068A286E" w:rsidR="00F30D49" w:rsidRPr="00150866" w:rsidRDefault="00F30D49" w:rsidP="00A1784B">
      <w:pPr>
        <w:pStyle w:val="ListParagraph"/>
        <w:numPr>
          <w:ilvl w:val="2"/>
          <w:numId w:val="1"/>
        </w:numPr>
        <w:spacing w:after="0" w:line="240" w:lineRule="auto"/>
        <w:ind w:left="709" w:hanging="567"/>
        <w:jc w:val="both"/>
        <w:rPr>
          <w:rFonts w:ascii="Arial" w:hAnsi="Arial" w:cs="Arial"/>
          <w:sz w:val="20"/>
          <w:szCs w:val="20"/>
        </w:rPr>
      </w:pPr>
      <w:r w:rsidRPr="00F30D49">
        <w:rPr>
          <w:rFonts w:ascii="Arial" w:hAnsi="Arial" w:cs="Arial"/>
          <w:sz w:val="20"/>
          <w:szCs w:val="20"/>
        </w:rPr>
        <w:t xml:space="preserve">if the costs of all tenders are higher than the estimated cost of the procurement contract and the contract is not acceptable to the contracting </w:t>
      </w:r>
      <w:r w:rsidR="00BB0B1D" w:rsidRPr="00BB0B1D">
        <w:rPr>
          <w:rFonts w:ascii="Arial" w:hAnsi="Arial" w:cs="Arial"/>
          <w:sz w:val="20"/>
          <w:szCs w:val="20"/>
        </w:rPr>
        <w:t>entity</w:t>
      </w:r>
      <w:r w:rsidRPr="00F30D49">
        <w:rPr>
          <w:rFonts w:ascii="Arial" w:hAnsi="Arial" w:cs="Arial"/>
          <w:sz w:val="20"/>
          <w:szCs w:val="20"/>
        </w:rPr>
        <w:t xml:space="preserve"> at such a </w:t>
      </w:r>
      <w:proofErr w:type="gramStart"/>
      <w:r w:rsidRPr="00F30D49">
        <w:rPr>
          <w:rFonts w:ascii="Arial" w:hAnsi="Arial" w:cs="Arial"/>
          <w:sz w:val="20"/>
          <w:szCs w:val="20"/>
        </w:rPr>
        <w:t>cost;</w:t>
      </w:r>
      <w:proofErr w:type="gramEnd"/>
    </w:p>
    <w:p w14:paraId="02FF59AC" w14:textId="14FEBDCF" w:rsidR="00F30D49" w:rsidRDefault="00F30D49" w:rsidP="00A1784B">
      <w:pPr>
        <w:pStyle w:val="ListParagraph"/>
        <w:numPr>
          <w:ilvl w:val="2"/>
          <w:numId w:val="1"/>
        </w:numPr>
        <w:spacing w:after="0" w:line="240" w:lineRule="auto"/>
        <w:ind w:left="709" w:hanging="567"/>
        <w:jc w:val="both"/>
        <w:rPr>
          <w:rFonts w:ascii="Arial" w:hAnsi="Arial" w:cs="Arial"/>
          <w:sz w:val="20"/>
          <w:szCs w:val="20"/>
        </w:rPr>
      </w:pPr>
      <w:r w:rsidRPr="00150866">
        <w:rPr>
          <w:rFonts w:ascii="Arial" w:hAnsi="Arial" w:cs="Arial"/>
          <w:sz w:val="20"/>
          <w:szCs w:val="20"/>
        </w:rPr>
        <w:t>if less than 3 bids are received from different bidders in the procurement and thus effective exploitation of competition within the framework of the procurement is not ensured within the meaning of Section 3, Clause 3 of the RHS;</w:t>
      </w:r>
    </w:p>
    <w:p w14:paraId="0BC467D3" w14:textId="37277E2B" w:rsidR="00665257" w:rsidRPr="00150866" w:rsidRDefault="00DF32C5" w:rsidP="00A1784B">
      <w:pPr>
        <w:pStyle w:val="ListParagraph"/>
        <w:numPr>
          <w:ilvl w:val="2"/>
          <w:numId w:val="1"/>
        </w:numPr>
        <w:spacing w:after="0" w:line="240" w:lineRule="auto"/>
        <w:ind w:left="709" w:hanging="567"/>
        <w:jc w:val="both"/>
        <w:rPr>
          <w:rFonts w:ascii="Arial" w:hAnsi="Arial" w:cs="Arial"/>
          <w:sz w:val="20"/>
          <w:szCs w:val="20"/>
        </w:rPr>
      </w:pPr>
      <w:r>
        <w:rPr>
          <w:rFonts w:ascii="Arial" w:hAnsi="Arial" w:cs="Arial"/>
          <w:sz w:val="20"/>
          <w:szCs w:val="20"/>
        </w:rPr>
        <w:t xml:space="preserve">if an event has occurred that can be considered force majeure. Force majeure is a circumstance that the contracting </w:t>
      </w:r>
      <w:r w:rsidR="00BB0B1D" w:rsidRPr="00BB0B1D">
        <w:rPr>
          <w:rFonts w:ascii="Arial" w:hAnsi="Arial" w:cs="Arial"/>
          <w:sz w:val="20"/>
          <w:szCs w:val="20"/>
        </w:rPr>
        <w:t>entity</w:t>
      </w:r>
      <w:r>
        <w:rPr>
          <w:rFonts w:ascii="Arial" w:hAnsi="Arial" w:cs="Arial"/>
          <w:sz w:val="20"/>
          <w:szCs w:val="20"/>
        </w:rPr>
        <w:t xml:space="preserve"> cannot influence and in which the contracting </w:t>
      </w:r>
      <w:r w:rsidR="00BB0B1D" w:rsidRPr="00BB0B1D">
        <w:rPr>
          <w:rFonts w:ascii="Arial" w:hAnsi="Arial" w:cs="Arial"/>
          <w:sz w:val="20"/>
          <w:szCs w:val="20"/>
        </w:rPr>
        <w:t>entity</w:t>
      </w:r>
      <w:r>
        <w:rPr>
          <w:rFonts w:ascii="Arial" w:hAnsi="Arial" w:cs="Arial"/>
          <w:sz w:val="20"/>
          <w:szCs w:val="20"/>
        </w:rPr>
        <w:t xml:space="preserve"> cannot reasonably be expected to </w:t>
      </w:r>
      <w:proofErr w:type="gramStart"/>
      <w:r>
        <w:rPr>
          <w:rFonts w:ascii="Arial" w:hAnsi="Arial" w:cs="Arial"/>
          <w:sz w:val="20"/>
          <w:szCs w:val="20"/>
        </w:rPr>
        <w:t>take into account</w:t>
      </w:r>
      <w:proofErr w:type="gramEnd"/>
      <w:r>
        <w:rPr>
          <w:rFonts w:ascii="Arial" w:hAnsi="Arial" w:cs="Arial"/>
          <w:sz w:val="20"/>
          <w:szCs w:val="20"/>
        </w:rPr>
        <w:t xml:space="preserve"> or avoid this circumstance during the public procurement process or to overcome the hindering circumstance or its consequences.</w:t>
      </w:r>
    </w:p>
    <w:p w14:paraId="20B1E282" w14:textId="06ED0BDE" w:rsidR="008D3553" w:rsidRPr="002E47E8" w:rsidRDefault="003A58D3" w:rsidP="00E94319">
      <w:pPr>
        <w:pStyle w:val="ListParagraph"/>
        <w:numPr>
          <w:ilvl w:val="1"/>
          <w:numId w:val="1"/>
        </w:numPr>
        <w:spacing w:after="0" w:line="240" w:lineRule="auto"/>
        <w:ind w:left="284" w:hanging="426"/>
        <w:jc w:val="both"/>
        <w:rPr>
          <w:rFonts w:ascii="Arial" w:hAnsi="Arial" w:cs="Arial"/>
          <w:sz w:val="20"/>
          <w:szCs w:val="20"/>
        </w:rPr>
      </w:pPr>
      <w:r w:rsidRPr="00150866">
        <w:rPr>
          <w:rFonts w:ascii="Arial" w:hAnsi="Arial" w:cs="Arial"/>
          <w:sz w:val="20"/>
          <w:szCs w:val="20"/>
        </w:rPr>
        <w:t xml:space="preserve">The contracting </w:t>
      </w:r>
      <w:r w:rsidR="00386B75">
        <w:rPr>
          <w:rFonts w:ascii="Arial" w:hAnsi="Arial" w:cs="Arial"/>
          <w:sz w:val="20"/>
          <w:szCs w:val="20"/>
        </w:rPr>
        <w:t>entity</w:t>
      </w:r>
      <w:r w:rsidRPr="00150866">
        <w:rPr>
          <w:rFonts w:ascii="Arial" w:hAnsi="Arial" w:cs="Arial"/>
          <w:sz w:val="20"/>
          <w:szCs w:val="20"/>
        </w:rPr>
        <w:t xml:space="preserve"> has the right to reject the tender at any time before the conclusion of the contract if the contracting </w:t>
      </w:r>
      <w:r w:rsidR="00BB0B1D" w:rsidRPr="00BB0B1D">
        <w:rPr>
          <w:rFonts w:ascii="Arial" w:hAnsi="Arial" w:cs="Arial"/>
          <w:sz w:val="20"/>
          <w:szCs w:val="20"/>
        </w:rPr>
        <w:t>entity</w:t>
      </w:r>
      <w:r w:rsidRPr="00150866">
        <w:rPr>
          <w:rFonts w:ascii="Arial" w:hAnsi="Arial" w:cs="Arial"/>
          <w:sz w:val="20"/>
          <w:szCs w:val="20"/>
        </w:rPr>
        <w:t xml:space="preserve"> finds that the cost of the tender, any price component or unit price is unreasonably low considering the subject matter of the procurement contract. The contracting </w:t>
      </w:r>
      <w:r w:rsidR="00BB0B1D" w:rsidRPr="00BB0B1D">
        <w:rPr>
          <w:rFonts w:ascii="Arial" w:hAnsi="Arial" w:cs="Arial"/>
          <w:sz w:val="20"/>
          <w:szCs w:val="20"/>
        </w:rPr>
        <w:t>entity</w:t>
      </w:r>
      <w:r w:rsidRPr="00150866">
        <w:rPr>
          <w:rFonts w:ascii="Arial" w:hAnsi="Arial" w:cs="Arial"/>
          <w:sz w:val="20"/>
          <w:szCs w:val="20"/>
        </w:rPr>
        <w:t xml:space="preserve"> shall apply the provisions of Section 115(1) and (7)-10 of the Public Procurement Act. A general statement by the tenderer that the cost of the tender is based on the tenderer's extensive experience and real costs and that the tenderer is able to perform the contract at the cost offered shall not be considered sufficient.</w:t>
      </w:r>
    </w:p>
    <w:p w14:paraId="492EC80B" w14:textId="77777777" w:rsidR="008E291D" w:rsidRDefault="008E291D" w:rsidP="00692D69">
      <w:pPr>
        <w:spacing w:after="0" w:line="240" w:lineRule="auto"/>
        <w:ind w:left="426" w:hanging="568"/>
        <w:jc w:val="both"/>
        <w:rPr>
          <w:rFonts w:ascii="Arial" w:hAnsi="Arial" w:cs="Arial"/>
          <w:sz w:val="20"/>
          <w:szCs w:val="20"/>
        </w:rPr>
      </w:pPr>
    </w:p>
    <w:p w14:paraId="65891B97" w14:textId="77777777" w:rsidR="008A070B" w:rsidRDefault="008A070B" w:rsidP="00692D69">
      <w:pPr>
        <w:spacing w:after="0" w:line="240" w:lineRule="auto"/>
        <w:ind w:left="426" w:hanging="568"/>
        <w:jc w:val="both"/>
        <w:rPr>
          <w:rFonts w:ascii="Arial" w:hAnsi="Arial" w:cs="Arial"/>
          <w:sz w:val="20"/>
          <w:szCs w:val="20"/>
        </w:rPr>
      </w:pPr>
    </w:p>
    <w:p w14:paraId="53C72BCC" w14:textId="77777777" w:rsidR="008A070B" w:rsidRPr="00C67631" w:rsidRDefault="008A070B" w:rsidP="00692D69">
      <w:pPr>
        <w:spacing w:after="0" w:line="240" w:lineRule="auto"/>
        <w:ind w:left="426" w:hanging="568"/>
        <w:jc w:val="both"/>
        <w:rPr>
          <w:rFonts w:ascii="Arial" w:hAnsi="Arial" w:cs="Arial"/>
          <w:sz w:val="20"/>
          <w:szCs w:val="20"/>
        </w:rPr>
      </w:pPr>
    </w:p>
    <w:p w14:paraId="47268EA0" w14:textId="77777777" w:rsidR="002165AC" w:rsidRPr="00C67631" w:rsidRDefault="002165AC" w:rsidP="002165AC">
      <w:pPr>
        <w:pStyle w:val="ListParagraph"/>
        <w:numPr>
          <w:ilvl w:val="0"/>
          <w:numId w:val="1"/>
        </w:numPr>
        <w:spacing w:after="0" w:line="240" w:lineRule="auto"/>
        <w:ind w:left="284" w:hanging="426"/>
        <w:jc w:val="both"/>
        <w:rPr>
          <w:rFonts w:ascii="Arial" w:hAnsi="Arial" w:cs="Arial"/>
          <w:b/>
        </w:rPr>
      </w:pPr>
      <w:bookmarkStart w:id="1" w:name="_Toc232844080"/>
      <w:r w:rsidRPr="00C67631">
        <w:rPr>
          <w:rFonts w:ascii="Arial" w:hAnsi="Arial" w:cs="Arial"/>
          <w:b/>
        </w:rPr>
        <w:t xml:space="preserve">Evaluation </w:t>
      </w:r>
      <w:bookmarkEnd w:id="1"/>
      <w:r w:rsidRPr="00C67631">
        <w:rPr>
          <w:rFonts w:ascii="Arial" w:hAnsi="Arial" w:cs="Arial"/>
          <w:b/>
        </w:rPr>
        <w:t>and award of tenders</w:t>
      </w:r>
    </w:p>
    <w:p w14:paraId="6E4BC411" w14:textId="4A4EC5C0" w:rsidR="00710E41" w:rsidRDefault="002165AC" w:rsidP="00616D79">
      <w:pPr>
        <w:pStyle w:val="ListParagraph"/>
        <w:numPr>
          <w:ilvl w:val="1"/>
          <w:numId w:val="1"/>
        </w:numPr>
        <w:spacing w:after="0" w:line="240" w:lineRule="auto"/>
        <w:ind w:left="284" w:hanging="426"/>
        <w:jc w:val="both"/>
        <w:rPr>
          <w:rFonts w:ascii="Arial" w:hAnsi="Arial" w:cs="Arial"/>
          <w:sz w:val="20"/>
          <w:szCs w:val="20"/>
        </w:rPr>
      </w:pPr>
      <w:r w:rsidRPr="00924691">
        <w:rPr>
          <w:rFonts w:ascii="Arial" w:hAnsi="Arial" w:cs="Arial"/>
          <w:sz w:val="20"/>
          <w:szCs w:val="20"/>
        </w:rPr>
        <w:t>The evaluation criteria, evaluable indicators and evaluation methodology are described in the RHAD document “Evaluation criteria and evaluable indicators”.</w:t>
      </w:r>
    </w:p>
    <w:p w14:paraId="32931656" w14:textId="41977FDC" w:rsidR="002165AC" w:rsidRPr="0057530F" w:rsidRDefault="002165AC" w:rsidP="002165AC">
      <w:pPr>
        <w:pStyle w:val="ListParagraph"/>
        <w:numPr>
          <w:ilvl w:val="1"/>
          <w:numId w:val="1"/>
        </w:numPr>
        <w:spacing w:after="0" w:line="240" w:lineRule="auto"/>
        <w:ind w:left="284" w:hanging="426"/>
        <w:jc w:val="both"/>
        <w:rPr>
          <w:rFonts w:ascii="Arial" w:hAnsi="Arial" w:cs="Arial"/>
          <w:sz w:val="20"/>
          <w:szCs w:val="20"/>
        </w:rPr>
      </w:pPr>
      <w:r w:rsidRPr="0057530F">
        <w:rPr>
          <w:rFonts w:ascii="Arial" w:hAnsi="Arial" w:cs="Arial"/>
          <w:sz w:val="20"/>
          <w:szCs w:val="20"/>
        </w:rPr>
        <w:t>The bid that receives the most value points during the evaluation will be declared successful.</w:t>
      </w:r>
    </w:p>
    <w:p w14:paraId="4FCCC26C" w14:textId="7559F7F8" w:rsidR="002165AC" w:rsidRPr="0057530F" w:rsidRDefault="003C44DA" w:rsidP="002165AC">
      <w:pPr>
        <w:pStyle w:val="ListParagraph"/>
        <w:numPr>
          <w:ilvl w:val="1"/>
          <w:numId w:val="1"/>
        </w:numPr>
        <w:spacing w:after="0" w:line="240" w:lineRule="auto"/>
        <w:ind w:left="284" w:hanging="426"/>
        <w:jc w:val="both"/>
        <w:rPr>
          <w:rFonts w:ascii="Arial" w:hAnsi="Arial" w:cs="Arial"/>
          <w:sz w:val="20"/>
          <w:szCs w:val="20"/>
        </w:rPr>
      </w:pPr>
      <w:r w:rsidRPr="0057530F">
        <w:rPr>
          <w:rFonts w:ascii="Arial" w:hAnsi="Arial" w:cs="Arial"/>
          <w:sz w:val="20"/>
          <w:szCs w:val="20"/>
        </w:rPr>
        <w:t xml:space="preserve">If </w:t>
      </w:r>
      <w:r w:rsidR="00171ABE" w:rsidRPr="0057530F">
        <w:rPr>
          <w:rFonts w:ascii="Arial" w:hAnsi="Arial" w:cs="Arial"/>
          <w:sz w:val="20"/>
          <w:szCs w:val="20"/>
        </w:rPr>
        <w:t xml:space="preserve">the value points assigned to the tenders are equal, the successful tender will be selected by drawing lots in accordance with the procedure, time and place determined by the contracting </w:t>
      </w:r>
      <w:r w:rsidR="00BB0B1D" w:rsidRPr="00BB0B1D">
        <w:rPr>
          <w:rFonts w:ascii="Arial" w:hAnsi="Arial" w:cs="Arial"/>
          <w:sz w:val="20"/>
          <w:szCs w:val="20"/>
        </w:rPr>
        <w:t>entity</w:t>
      </w:r>
      <w:r w:rsidR="00171ABE" w:rsidRPr="0057530F">
        <w:rPr>
          <w:rFonts w:ascii="Arial" w:hAnsi="Arial" w:cs="Arial"/>
          <w:sz w:val="20"/>
          <w:szCs w:val="20"/>
        </w:rPr>
        <w:t>, and in which the legal or authorized representatives of the tenderers who submitted tenders with equal value points will participate.</w:t>
      </w:r>
    </w:p>
    <w:p w14:paraId="37E69F05" w14:textId="77777777" w:rsidR="00160BB9" w:rsidRPr="006B69C3" w:rsidRDefault="00160BB9" w:rsidP="006B69C3">
      <w:pPr>
        <w:spacing w:after="0" w:line="240" w:lineRule="auto"/>
        <w:jc w:val="both"/>
        <w:rPr>
          <w:rFonts w:ascii="Arial" w:hAnsi="Arial" w:cs="Arial"/>
          <w:sz w:val="20"/>
          <w:szCs w:val="20"/>
          <w:highlight w:val="yellow"/>
        </w:rPr>
      </w:pPr>
    </w:p>
    <w:p w14:paraId="4FC37E1C" w14:textId="77777777" w:rsidR="00C67631" w:rsidRDefault="00C67631" w:rsidP="00BA411B">
      <w:pPr>
        <w:spacing w:after="0" w:line="240" w:lineRule="auto"/>
        <w:ind w:left="284" w:hanging="426"/>
        <w:jc w:val="both"/>
        <w:rPr>
          <w:rFonts w:ascii="Arial" w:eastAsia="Arial" w:hAnsi="Arial" w:cs="Arial"/>
          <w:sz w:val="20"/>
          <w:szCs w:val="20"/>
          <w:lang w:eastAsia="et-EE"/>
        </w:rPr>
      </w:pPr>
    </w:p>
    <w:p w14:paraId="138F3BA6" w14:textId="7D13262E" w:rsidR="008D3553" w:rsidRPr="00C67631" w:rsidRDefault="006B69C3" w:rsidP="00BA411B">
      <w:pPr>
        <w:pStyle w:val="ListParagraph"/>
        <w:numPr>
          <w:ilvl w:val="0"/>
          <w:numId w:val="1"/>
        </w:numPr>
        <w:spacing w:after="0" w:line="240" w:lineRule="auto"/>
        <w:ind w:left="284" w:hanging="426"/>
        <w:jc w:val="both"/>
        <w:rPr>
          <w:rFonts w:ascii="Arial" w:eastAsia="Arial" w:hAnsi="Arial" w:cs="Arial"/>
          <w:szCs w:val="20"/>
          <w:lang w:eastAsia="et-EE"/>
        </w:rPr>
      </w:pPr>
      <w:r>
        <w:rPr>
          <w:rFonts w:ascii="Arial" w:hAnsi="Arial" w:cs="Arial"/>
          <w:b/>
          <w:szCs w:val="20"/>
        </w:rPr>
        <w:t>Conclusion of a framework agreement</w:t>
      </w:r>
    </w:p>
    <w:p w14:paraId="0DEE3F83" w14:textId="5E34932A" w:rsidR="00EA0D60" w:rsidRPr="00563045" w:rsidRDefault="008D3553" w:rsidP="00E94319">
      <w:pPr>
        <w:pStyle w:val="ListParagraph"/>
        <w:numPr>
          <w:ilvl w:val="1"/>
          <w:numId w:val="1"/>
        </w:numPr>
        <w:spacing w:after="0" w:line="240" w:lineRule="auto"/>
        <w:ind w:left="284" w:hanging="426"/>
        <w:jc w:val="both"/>
        <w:rPr>
          <w:rFonts w:ascii="Arial" w:hAnsi="Arial" w:cs="Arial"/>
          <w:sz w:val="20"/>
          <w:szCs w:val="20"/>
        </w:rPr>
      </w:pPr>
      <w:r w:rsidRPr="00563045">
        <w:rPr>
          <w:rFonts w:ascii="Arial" w:hAnsi="Arial" w:cs="Arial"/>
          <w:sz w:val="20"/>
          <w:szCs w:val="20"/>
        </w:rPr>
        <w:t xml:space="preserve">The contracting </w:t>
      </w:r>
      <w:r w:rsidR="009D7EF0" w:rsidRPr="009D7EF0">
        <w:rPr>
          <w:rFonts w:ascii="Arial" w:hAnsi="Arial" w:cs="Arial"/>
          <w:sz w:val="20"/>
          <w:szCs w:val="20"/>
        </w:rPr>
        <w:t>entity</w:t>
      </w:r>
      <w:r w:rsidRPr="00563045">
        <w:rPr>
          <w:rFonts w:ascii="Arial" w:hAnsi="Arial" w:cs="Arial"/>
          <w:sz w:val="20"/>
          <w:szCs w:val="20"/>
        </w:rPr>
        <w:t xml:space="preserve"> concludes a framework agreement with the successful tenderer. The draft framework agreement is included in the RHAD "Framework Agreement Draft" and is binding on the tenderer.</w:t>
      </w:r>
    </w:p>
    <w:p w14:paraId="3D7ABF00" w14:textId="34B8B744" w:rsidR="008D3553" w:rsidRDefault="008D3553" w:rsidP="00E94319">
      <w:pPr>
        <w:pStyle w:val="ListParagraph"/>
        <w:numPr>
          <w:ilvl w:val="1"/>
          <w:numId w:val="1"/>
        </w:numPr>
        <w:spacing w:after="0" w:line="240" w:lineRule="auto"/>
        <w:ind w:left="284" w:hanging="426"/>
        <w:jc w:val="both"/>
        <w:rPr>
          <w:rFonts w:ascii="Arial" w:hAnsi="Arial" w:cs="Arial"/>
          <w:sz w:val="20"/>
          <w:szCs w:val="20"/>
        </w:rPr>
      </w:pPr>
      <w:r w:rsidRPr="00C67631">
        <w:rPr>
          <w:rFonts w:ascii="Arial" w:hAnsi="Arial" w:cs="Arial"/>
          <w:sz w:val="20"/>
          <w:szCs w:val="20"/>
        </w:rPr>
        <w:t xml:space="preserve">If the successful tenderer withdraws its tender before the conclusion of the procurement contract or does not sign the procurement contract within 30 working days, the contracting </w:t>
      </w:r>
      <w:r w:rsidR="009D7EF0" w:rsidRPr="009D7EF0">
        <w:rPr>
          <w:rFonts w:ascii="Arial" w:hAnsi="Arial" w:cs="Arial"/>
          <w:sz w:val="20"/>
          <w:szCs w:val="20"/>
        </w:rPr>
        <w:t>entity</w:t>
      </w:r>
      <w:r w:rsidRPr="00C67631">
        <w:rPr>
          <w:rFonts w:ascii="Arial" w:hAnsi="Arial" w:cs="Arial"/>
          <w:sz w:val="20"/>
          <w:szCs w:val="20"/>
        </w:rPr>
        <w:t xml:space="preserve"> has the right to proceed from Section 119 of the Public Procurement Act, including Section 119(3) of the Public Procurement Act.</w:t>
      </w:r>
    </w:p>
    <w:p w14:paraId="2163F753" w14:textId="1B1B2462" w:rsidR="006B69C3" w:rsidRPr="000825CD" w:rsidRDefault="006B69C3" w:rsidP="00E94319">
      <w:pPr>
        <w:pStyle w:val="ListParagraph"/>
        <w:numPr>
          <w:ilvl w:val="1"/>
          <w:numId w:val="1"/>
        </w:numPr>
        <w:spacing w:after="0" w:line="240" w:lineRule="auto"/>
        <w:ind w:left="284" w:hanging="426"/>
        <w:jc w:val="both"/>
        <w:rPr>
          <w:rFonts w:ascii="Arial" w:hAnsi="Arial" w:cs="Arial"/>
          <w:color w:val="FF0000"/>
          <w:sz w:val="20"/>
          <w:szCs w:val="20"/>
        </w:rPr>
      </w:pPr>
      <w:r w:rsidRPr="000825CD">
        <w:rPr>
          <w:rFonts w:ascii="Arial" w:hAnsi="Arial" w:cs="Arial"/>
          <w:color w:val="FF0000"/>
          <w:sz w:val="20"/>
          <w:szCs w:val="20"/>
        </w:rPr>
        <w:t xml:space="preserve">The contracting </w:t>
      </w:r>
      <w:r w:rsidR="0089644F" w:rsidRPr="000825CD">
        <w:rPr>
          <w:rFonts w:ascii="Arial" w:hAnsi="Arial" w:cs="Arial"/>
          <w:color w:val="FF0000"/>
          <w:sz w:val="20"/>
          <w:szCs w:val="20"/>
        </w:rPr>
        <w:t>entity</w:t>
      </w:r>
      <w:r w:rsidRPr="000825CD">
        <w:rPr>
          <w:rFonts w:ascii="Arial" w:hAnsi="Arial" w:cs="Arial"/>
          <w:color w:val="FF0000"/>
          <w:sz w:val="20"/>
          <w:szCs w:val="20"/>
        </w:rPr>
        <w:t xml:space="preserve"> shall conclude the framework agreement in the Estonian language version.</w:t>
      </w:r>
    </w:p>
    <w:p w14:paraId="3C56DDBE" w14:textId="35A2ABED" w:rsidR="00F056F8" w:rsidRPr="00881184" w:rsidRDefault="00F056F8" w:rsidP="00E94319">
      <w:pPr>
        <w:pStyle w:val="ListParagraph"/>
        <w:spacing w:after="0" w:line="240" w:lineRule="auto"/>
        <w:ind w:left="284"/>
        <w:jc w:val="both"/>
        <w:rPr>
          <w:rFonts w:ascii="Arial" w:hAnsi="Arial" w:cs="Arial"/>
          <w:sz w:val="20"/>
          <w:szCs w:val="20"/>
        </w:rPr>
      </w:pPr>
    </w:p>
    <w:p w14:paraId="71A7CA74" w14:textId="6C4851C9" w:rsidR="00F056F8" w:rsidRPr="00C67631" w:rsidRDefault="00C67631" w:rsidP="00BA411B">
      <w:pPr>
        <w:pStyle w:val="ListParagraph"/>
        <w:numPr>
          <w:ilvl w:val="0"/>
          <w:numId w:val="1"/>
        </w:numPr>
        <w:tabs>
          <w:tab w:val="left" w:pos="426"/>
        </w:tabs>
        <w:spacing w:after="0" w:line="240" w:lineRule="auto"/>
        <w:ind w:left="284" w:hanging="426"/>
        <w:jc w:val="both"/>
        <w:rPr>
          <w:rFonts w:ascii="Arial" w:hAnsi="Arial" w:cs="Arial"/>
          <w:b/>
          <w:szCs w:val="20"/>
        </w:rPr>
      </w:pPr>
      <w:r w:rsidRPr="00C67631">
        <w:rPr>
          <w:rFonts w:ascii="Arial" w:hAnsi="Arial" w:cs="Arial"/>
          <w:b/>
          <w:szCs w:val="20"/>
        </w:rPr>
        <w:t>Other provisions</w:t>
      </w:r>
    </w:p>
    <w:p w14:paraId="6C339FB2" w14:textId="1BCBB94F" w:rsidR="00C04535" w:rsidRDefault="003C058E" w:rsidP="00C04535">
      <w:pPr>
        <w:pStyle w:val="ListParagraph"/>
        <w:numPr>
          <w:ilvl w:val="1"/>
          <w:numId w:val="1"/>
        </w:numPr>
        <w:spacing w:after="0" w:line="240" w:lineRule="auto"/>
        <w:ind w:left="284" w:hanging="426"/>
        <w:jc w:val="both"/>
        <w:rPr>
          <w:rFonts w:ascii="Arial" w:hAnsi="Arial" w:cs="Arial"/>
          <w:sz w:val="20"/>
          <w:szCs w:val="20"/>
        </w:rPr>
      </w:pPr>
      <w:r w:rsidRPr="003C058E">
        <w:rPr>
          <w:rFonts w:ascii="Arial" w:hAnsi="Arial" w:cs="Arial"/>
          <w:sz w:val="20"/>
          <w:szCs w:val="20"/>
        </w:rPr>
        <w:t xml:space="preserve">The contracting </w:t>
      </w:r>
      <w:r w:rsidR="009D7EF0" w:rsidRPr="009D7EF0">
        <w:rPr>
          <w:rFonts w:ascii="Arial" w:hAnsi="Arial" w:cs="Arial"/>
          <w:sz w:val="20"/>
          <w:szCs w:val="20"/>
        </w:rPr>
        <w:t>entity</w:t>
      </w:r>
      <w:r w:rsidRPr="003C058E">
        <w:rPr>
          <w:rFonts w:ascii="Arial" w:hAnsi="Arial" w:cs="Arial"/>
          <w:sz w:val="20"/>
          <w:szCs w:val="20"/>
        </w:rPr>
        <w:t xml:space="preserve"> reserves the right to declare the public procurement invalid in the event of justified need on the contracting </w:t>
      </w:r>
      <w:r w:rsidR="001F1D1A" w:rsidRPr="001F1D1A">
        <w:rPr>
          <w:rFonts w:ascii="Arial" w:hAnsi="Arial" w:cs="Arial"/>
          <w:sz w:val="20"/>
          <w:szCs w:val="20"/>
        </w:rPr>
        <w:t>entity</w:t>
      </w:r>
      <w:r w:rsidRPr="003C058E">
        <w:rPr>
          <w:rFonts w:ascii="Arial" w:hAnsi="Arial" w:cs="Arial"/>
          <w:sz w:val="20"/>
          <w:szCs w:val="20"/>
        </w:rPr>
        <w:t>'s own initiative.</w:t>
      </w:r>
    </w:p>
    <w:p w14:paraId="7C95428C" w14:textId="018C3BC1" w:rsidR="00332F56" w:rsidRPr="00C04535" w:rsidRDefault="001D541F" w:rsidP="00C04535">
      <w:pPr>
        <w:pStyle w:val="ListParagraph"/>
        <w:numPr>
          <w:ilvl w:val="1"/>
          <w:numId w:val="1"/>
        </w:numPr>
        <w:spacing w:after="0" w:line="240" w:lineRule="auto"/>
        <w:ind w:left="284" w:hanging="426"/>
        <w:jc w:val="both"/>
        <w:rPr>
          <w:rFonts w:ascii="Arial" w:hAnsi="Arial" w:cs="Arial"/>
          <w:sz w:val="20"/>
          <w:szCs w:val="20"/>
        </w:rPr>
      </w:pPr>
      <w:r>
        <w:rPr>
          <w:rFonts w:ascii="Arial" w:hAnsi="Arial" w:cs="Arial"/>
          <w:sz w:val="20"/>
          <w:szCs w:val="20"/>
        </w:rPr>
        <w:t xml:space="preserve">The </w:t>
      </w:r>
      <w:r w:rsidR="00332F56" w:rsidRPr="00C04535">
        <w:rPr>
          <w:rFonts w:ascii="Arial" w:hAnsi="Arial" w:cs="Arial"/>
          <w:sz w:val="20"/>
          <w:szCs w:val="20"/>
        </w:rPr>
        <w:t xml:space="preserve">contracting </w:t>
      </w:r>
      <w:r w:rsidR="001F1D1A" w:rsidRPr="001F1D1A">
        <w:rPr>
          <w:rFonts w:ascii="Arial" w:hAnsi="Arial" w:cs="Arial"/>
          <w:sz w:val="20"/>
          <w:szCs w:val="20"/>
        </w:rPr>
        <w:t>entity</w:t>
      </w:r>
      <w:r w:rsidR="00332F56" w:rsidRPr="00C04535">
        <w:rPr>
          <w:rFonts w:ascii="Arial" w:hAnsi="Arial" w:cs="Arial"/>
          <w:sz w:val="20"/>
          <w:szCs w:val="20"/>
        </w:rPr>
        <w:t xml:space="preserve"> may check the compliance of tenders with the conditions set out </w:t>
      </w:r>
      <w:r w:rsidR="00613D3A" w:rsidRPr="00613D3A">
        <w:rPr>
          <w:rFonts w:ascii="Arial" w:hAnsi="Arial" w:cs="Arial"/>
          <w:sz w:val="20"/>
          <w:szCs w:val="20"/>
        </w:rPr>
        <w:t xml:space="preserve">in the RHAD and assess the tenders declared compliant in accordance with the procedure provided for in this Act before checking the absence of grounds for exclusion and the qualifications of the tenderers. In such a case, the contracting </w:t>
      </w:r>
      <w:r w:rsidR="001F1D1A" w:rsidRPr="001F1D1A">
        <w:rPr>
          <w:rFonts w:ascii="Arial" w:hAnsi="Arial" w:cs="Arial"/>
          <w:sz w:val="20"/>
          <w:szCs w:val="20"/>
        </w:rPr>
        <w:t>entity</w:t>
      </w:r>
      <w:r w:rsidR="00613D3A" w:rsidRPr="00613D3A">
        <w:rPr>
          <w:rFonts w:ascii="Arial" w:hAnsi="Arial" w:cs="Arial"/>
          <w:sz w:val="20"/>
          <w:szCs w:val="20"/>
        </w:rPr>
        <w:t xml:space="preserve"> shall ensure that the procurement contract is not concluded with a </w:t>
      </w:r>
      <w:proofErr w:type="gramStart"/>
      <w:r w:rsidR="00613D3A" w:rsidRPr="00613D3A">
        <w:rPr>
          <w:rFonts w:ascii="Arial" w:hAnsi="Arial" w:cs="Arial"/>
          <w:sz w:val="20"/>
          <w:szCs w:val="20"/>
        </w:rPr>
        <w:t>tenderer</w:t>
      </w:r>
      <w:proofErr w:type="gramEnd"/>
      <w:r w:rsidR="00613D3A" w:rsidRPr="00613D3A">
        <w:rPr>
          <w:rFonts w:ascii="Arial" w:hAnsi="Arial" w:cs="Arial"/>
          <w:sz w:val="20"/>
          <w:szCs w:val="20"/>
        </w:rPr>
        <w:t xml:space="preserve"> who should have been excluded from the procurement procedure </w:t>
      </w:r>
      <w:proofErr w:type="gramStart"/>
      <w:r w:rsidR="00613D3A" w:rsidRPr="00613D3A">
        <w:rPr>
          <w:rFonts w:ascii="Arial" w:hAnsi="Arial" w:cs="Arial"/>
          <w:sz w:val="20"/>
          <w:szCs w:val="20"/>
        </w:rPr>
        <w:t>on the basis of</w:t>
      </w:r>
      <w:proofErr w:type="gramEnd"/>
      <w:r w:rsidR="00613D3A" w:rsidRPr="00613D3A">
        <w:rPr>
          <w:rFonts w:ascii="Arial" w:hAnsi="Arial" w:cs="Arial"/>
          <w:sz w:val="20"/>
          <w:szCs w:val="20"/>
        </w:rPr>
        <w:t xml:space="preserve"> subsection 95 (1) of this Act or who does not meet the qualification conditions established by the contracting </w:t>
      </w:r>
      <w:r w:rsidR="001F1D1A" w:rsidRPr="001F1D1A">
        <w:rPr>
          <w:rFonts w:ascii="Arial" w:hAnsi="Arial" w:cs="Arial"/>
          <w:sz w:val="20"/>
          <w:szCs w:val="20"/>
        </w:rPr>
        <w:t>entity</w:t>
      </w:r>
      <w:r w:rsidR="00613D3A" w:rsidRPr="00613D3A">
        <w:rPr>
          <w:rFonts w:ascii="Arial" w:hAnsi="Arial" w:cs="Arial"/>
          <w:sz w:val="20"/>
          <w:szCs w:val="20"/>
        </w:rPr>
        <w:t xml:space="preserve"> in accordance with subsection 52 (3) of the RHS.</w:t>
      </w:r>
    </w:p>
    <w:p w14:paraId="6AA666C2" w14:textId="36498413" w:rsidR="0044594A" w:rsidRDefault="0044594A" w:rsidP="0044594A">
      <w:pPr>
        <w:pStyle w:val="ListParagraph"/>
        <w:numPr>
          <w:ilvl w:val="1"/>
          <w:numId w:val="1"/>
        </w:numPr>
        <w:spacing w:after="0" w:line="240" w:lineRule="auto"/>
        <w:ind w:left="284" w:hanging="426"/>
        <w:jc w:val="both"/>
        <w:rPr>
          <w:rFonts w:ascii="Arial" w:hAnsi="Arial" w:cs="Arial"/>
          <w:sz w:val="20"/>
          <w:szCs w:val="20"/>
        </w:rPr>
      </w:pPr>
      <w:r w:rsidRPr="0044594A">
        <w:rPr>
          <w:rFonts w:ascii="Arial" w:hAnsi="Arial" w:cs="Arial"/>
          <w:sz w:val="20"/>
          <w:szCs w:val="20"/>
        </w:rPr>
        <w:t xml:space="preserve">Any reference made by the contracting </w:t>
      </w:r>
      <w:r w:rsidR="001F1D1A" w:rsidRPr="001F1D1A">
        <w:rPr>
          <w:rFonts w:ascii="Arial" w:hAnsi="Arial" w:cs="Arial"/>
          <w:sz w:val="20"/>
          <w:szCs w:val="20"/>
        </w:rPr>
        <w:t>entity</w:t>
      </w:r>
      <w:r w:rsidRPr="0044594A">
        <w:rPr>
          <w:rFonts w:ascii="Arial" w:hAnsi="Arial" w:cs="Arial"/>
          <w:sz w:val="20"/>
          <w:szCs w:val="20"/>
        </w:rPr>
        <w:t xml:space="preserve"> in the basic procurement documents to any of the grounds referred to in Section 88(2) of the RHS (standard, technical approval, technical control system, etc.) as a criterion for compliance with the technical specifications of the tender shall be read as if it were supplemented by the words “or equivalent”. Any reference made by the contracting </w:t>
      </w:r>
      <w:r w:rsidR="001F1D1A" w:rsidRPr="001F1D1A">
        <w:rPr>
          <w:rFonts w:ascii="Arial" w:hAnsi="Arial" w:cs="Arial"/>
          <w:sz w:val="20"/>
          <w:szCs w:val="20"/>
        </w:rPr>
        <w:t>entity</w:t>
      </w:r>
      <w:r w:rsidRPr="0044594A">
        <w:rPr>
          <w:rFonts w:ascii="Arial" w:hAnsi="Arial" w:cs="Arial"/>
          <w:sz w:val="20"/>
          <w:szCs w:val="20"/>
        </w:rPr>
        <w:t xml:space="preserve"> </w:t>
      </w:r>
      <w:r w:rsidRPr="0044594A">
        <w:rPr>
          <w:rFonts w:ascii="Arial" w:hAnsi="Arial" w:cs="Arial"/>
          <w:sz w:val="20"/>
          <w:szCs w:val="20"/>
        </w:rPr>
        <w:lastRenderedPageBreak/>
        <w:t>in the basic procurement documents to a source of purchase, process, trademark, patent, type, origin or method of production shall be read as if it were supplemented by the words “or equivalent”. Equivalence means exactly the same performance characteristics and functionalities.</w:t>
      </w:r>
    </w:p>
    <w:p w14:paraId="5A0AC7F8" w14:textId="7C6863F1" w:rsidR="0044594A" w:rsidRDefault="00F52721" w:rsidP="00222B61">
      <w:pPr>
        <w:pStyle w:val="ListParagraph"/>
        <w:numPr>
          <w:ilvl w:val="1"/>
          <w:numId w:val="1"/>
        </w:numPr>
        <w:spacing w:after="0" w:line="240" w:lineRule="auto"/>
        <w:ind w:left="284" w:hanging="426"/>
        <w:jc w:val="both"/>
        <w:rPr>
          <w:rFonts w:ascii="Arial" w:hAnsi="Arial" w:cs="Arial"/>
          <w:sz w:val="20"/>
          <w:szCs w:val="20"/>
        </w:rPr>
      </w:pPr>
      <w:r w:rsidRPr="006F3E49">
        <w:rPr>
          <w:rFonts w:ascii="Arial" w:hAnsi="Arial" w:cs="Arial"/>
          <w:sz w:val="20"/>
          <w:szCs w:val="20"/>
        </w:rPr>
        <w:t xml:space="preserve">Clarifications regarding the content of the RHAD can be obtained by contacting the contracting </w:t>
      </w:r>
      <w:r w:rsidR="001F1D1A" w:rsidRPr="001F1D1A">
        <w:rPr>
          <w:rFonts w:ascii="Arial" w:hAnsi="Arial" w:cs="Arial"/>
          <w:sz w:val="20"/>
          <w:szCs w:val="20"/>
        </w:rPr>
        <w:t>entity</w:t>
      </w:r>
      <w:r w:rsidRPr="006F3E49">
        <w:rPr>
          <w:rFonts w:ascii="Arial" w:hAnsi="Arial" w:cs="Arial"/>
          <w:sz w:val="20"/>
          <w:szCs w:val="20"/>
        </w:rPr>
        <w:t xml:space="preserve"> in writing through the e-public procurement environment at https://riigihanked.riik.ee/, public procurement reference numb</w:t>
      </w:r>
      <w:r w:rsidR="004330DF">
        <w:rPr>
          <w:rFonts w:ascii="Arial" w:hAnsi="Arial" w:cs="Arial"/>
          <w:sz w:val="20"/>
          <w:szCs w:val="20"/>
        </w:rPr>
        <w:t>er 298</w:t>
      </w:r>
      <w:r w:rsidR="0010103C">
        <w:rPr>
          <w:rFonts w:ascii="Arial" w:hAnsi="Arial" w:cs="Arial"/>
          <w:sz w:val="20"/>
          <w:szCs w:val="20"/>
        </w:rPr>
        <w:t>924.</w:t>
      </w:r>
    </w:p>
    <w:p w14:paraId="2B2FFE30" w14:textId="4912F28C" w:rsidR="00252F69" w:rsidRPr="006F3E49" w:rsidRDefault="00252F69" w:rsidP="004F2D0B">
      <w:pPr>
        <w:pStyle w:val="ListParagraph"/>
        <w:spacing w:after="0" w:line="240" w:lineRule="auto"/>
        <w:ind w:left="284"/>
        <w:jc w:val="both"/>
        <w:rPr>
          <w:rFonts w:ascii="Arial" w:hAnsi="Arial" w:cs="Arial"/>
          <w:sz w:val="20"/>
          <w:szCs w:val="20"/>
        </w:rPr>
      </w:pPr>
    </w:p>
    <w:sectPr w:rsidR="00252F69" w:rsidRPr="006F3E49">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BA47F" w14:textId="77777777" w:rsidR="00BF133B" w:rsidRDefault="00BF133B" w:rsidP="002E1BD9">
      <w:pPr>
        <w:spacing w:after="0" w:line="240" w:lineRule="auto"/>
      </w:pPr>
      <w:r>
        <w:separator/>
      </w:r>
    </w:p>
  </w:endnote>
  <w:endnote w:type="continuationSeparator" w:id="0">
    <w:p w14:paraId="08E2724F" w14:textId="77777777" w:rsidR="00BF133B" w:rsidRDefault="00BF133B" w:rsidP="002E1BD9">
      <w:pPr>
        <w:spacing w:after="0" w:line="240" w:lineRule="auto"/>
      </w:pPr>
      <w:r>
        <w:continuationSeparator/>
      </w:r>
    </w:p>
  </w:endnote>
  <w:endnote w:type="continuationNotice" w:id="1">
    <w:p w14:paraId="4DD0EF9F" w14:textId="77777777" w:rsidR="00BF133B" w:rsidRDefault="00BF13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mbria">
    <w:panose1 w:val="02040503050406030204"/>
    <w:charset w:val="BA"/>
    <w:family w:val="roman"/>
    <w:pitch w:val="variable"/>
    <w:sig w:usb0="E00006FF" w:usb1="420024FF" w:usb2="02000000" w:usb3="00000000" w:csb0="0000019F" w:csb1="00000000"/>
  </w:font>
  <w:font w:name="Segoe UI">
    <w:panose1 w:val="020B0502040204020203"/>
    <w:charset w:val="BA"/>
    <w:family w:val="swiss"/>
    <w:pitch w:val="variable"/>
    <w:sig w:usb0="E4002EFF" w:usb1="C000E47F" w:usb2="00000009" w:usb3="00000000" w:csb0="000001FF" w:csb1="00000000"/>
  </w:font>
  <w:font w:name="Verdana">
    <w:panose1 w:val="020B0604030504040204"/>
    <w:charset w:val="BA"/>
    <w:family w:val="swiss"/>
    <w:pitch w:val="variable"/>
    <w:sig w:usb0="A00006FF" w:usb1="4000205B" w:usb2="00000010" w:usb3="00000000" w:csb0="0000019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040227"/>
      <w:docPartObj>
        <w:docPartGallery w:val="Page Numbers (Bottom of Page)"/>
        <w:docPartUnique/>
      </w:docPartObj>
    </w:sdtPr>
    <w:sdtEndPr>
      <w:rPr>
        <w:noProof/>
      </w:rPr>
    </w:sdtEndPr>
    <w:sdtContent>
      <w:p w14:paraId="1C226226" w14:textId="781C74D9" w:rsidR="002E1BD9" w:rsidRDefault="002E1BD9">
        <w:pPr>
          <w:pStyle w:val="Footer"/>
          <w:jc w:val="center"/>
        </w:pPr>
        <w:r>
          <w:fldChar w:fldCharType="begin"/>
        </w:r>
        <w:r>
          <w:instrText xml:space="preserve"> PAGE   \* MERGEFORMAT </w:instrText>
        </w:r>
        <w:r>
          <w:fldChar w:fldCharType="separate"/>
        </w:r>
        <w:r w:rsidR="00256C87">
          <w:rPr>
            <w:noProof/>
          </w:rPr>
          <w:t>2</w:t>
        </w:r>
        <w:r>
          <w:rPr>
            <w:noProof/>
          </w:rPr>
          <w:fldChar w:fldCharType="end"/>
        </w:r>
      </w:p>
    </w:sdtContent>
  </w:sdt>
  <w:p w14:paraId="1434C5B9" w14:textId="77777777" w:rsidR="002E1BD9" w:rsidRDefault="002E1B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96790" w14:textId="77777777" w:rsidR="00BF133B" w:rsidRDefault="00BF133B" w:rsidP="002E1BD9">
      <w:pPr>
        <w:spacing w:after="0" w:line="240" w:lineRule="auto"/>
      </w:pPr>
      <w:r>
        <w:separator/>
      </w:r>
    </w:p>
  </w:footnote>
  <w:footnote w:type="continuationSeparator" w:id="0">
    <w:p w14:paraId="2D31851B" w14:textId="77777777" w:rsidR="00BF133B" w:rsidRDefault="00BF133B" w:rsidP="002E1BD9">
      <w:pPr>
        <w:spacing w:after="0" w:line="240" w:lineRule="auto"/>
      </w:pPr>
      <w:r>
        <w:continuationSeparator/>
      </w:r>
    </w:p>
  </w:footnote>
  <w:footnote w:type="continuationNotice" w:id="1">
    <w:p w14:paraId="361D49B7" w14:textId="77777777" w:rsidR="00BF133B" w:rsidRDefault="00BF133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04F"/>
    <w:multiLevelType w:val="multilevel"/>
    <w:tmpl w:val="C00CFD2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1705F0"/>
    <w:multiLevelType w:val="multilevel"/>
    <w:tmpl w:val="DDD6E388"/>
    <w:lvl w:ilvl="0">
      <w:start w:val="2"/>
      <w:numFmt w:val="decimal"/>
      <w:lvlText w:val="%1."/>
      <w:lvlJc w:val="left"/>
      <w:pPr>
        <w:ind w:left="468" w:hanging="468"/>
      </w:pPr>
      <w:rPr>
        <w:rFonts w:hint="default"/>
      </w:rPr>
    </w:lvl>
    <w:lvl w:ilvl="1">
      <w:start w:val="1"/>
      <w:numFmt w:val="decimal"/>
      <w:lvlText w:val="%1.%2."/>
      <w:lvlJc w:val="left"/>
      <w:pPr>
        <w:ind w:left="828" w:hanging="46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5C85E93"/>
    <w:multiLevelType w:val="multilevel"/>
    <w:tmpl w:val="FF40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74E31"/>
    <w:multiLevelType w:val="multilevel"/>
    <w:tmpl w:val="DC94D39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9B3E3D"/>
    <w:multiLevelType w:val="multilevel"/>
    <w:tmpl w:val="9E70BBEA"/>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316F2F"/>
    <w:multiLevelType w:val="multilevel"/>
    <w:tmpl w:val="EA6604E8"/>
    <w:lvl w:ilvl="0">
      <w:start w:val="1"/>
      <w:numFmt w:val="decimal"/>
      <w:lvlText w:val="%1."/>
      <w:lvlJc w:val="left"/>
      <w:pPr>
        <w:ind w:left="644" w:hanging="360"/>
      </w:pPr>
      <w:rPr>
        <w:rFonts w:hint="default"/>
        <w:b/>
      </w:rPr>
    </w:lvl>
    <w:lvl w:ilvl="1">
      <w:start w:val="1"/>
      <w:numFmt w:val="decimal"/>
      <w:lvlText w:val="%1.%2."/>
      <w:lvlJc w:val="left"/>
      <w:pPr>
        <w:ind w:left="360" w:hanging="360"/>
      </w:pPr>
      <w:rPr>
        <w:rFonts w:ascii="Arial" w:hAnsi="Arial" w:cs="Arial" w:hint="default"/>
        <w:b w:val="0"/>
        <w:strike w:val="0"/>
        <w:color w:val="auto"/>
        <w:sz w:val="20"/>
        <w:szCs w:val="20"/>
      </w:rPr>
    </w:lvl>
    <w:lvl w:ilvl="2">
      <w:start w:val="1"/>
      <w:numFmt w:val="decimal"/>
      <w:lvlText w:val="%1.%2.%3."/>
      <w:lvlJc w:val="left"/>
      <w:pPr>
        <w:ind w:left="1800" w:hanging="720"/>
      </w:p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31B10A46"/>
    <w:multiLevelType w:val="multilevel"/>
    <w:tmpl w:val="AFB648E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98B4E21"/>
    <w:multiLevelType w:val="multilevel"/>
    <w:tmpl w:val="4860185C"/>
    <w:name w:val="HDNum6"/>
    <w:lvl w:ilvl="0">
      <w:start w:val="1"/>
      <w:numFmt w:val="decimal"/>
      <w:lvlRestart w:val="0"/>
      <w:suff w:val="space"/>
      <w:lvlText w:val="%1."/>
      <w:lvlJc w:val="left"/>
      <w:pPr>
        <w:ind w:left="357" w:hanging="357"/>
      </w:pPr>
      <w:rPr>
        <w:rFonts w:ascii="Times New Roman" w:hAnsi="Times New Roman" w:cs="Times New Roman"/>
        <w:b/>
      </w:rPr>
    </w:lvl>
    <w:lvl w:ilvl="1">
      <w:start w:val="1"/>
      <w:numFmt w:val="decimal"/>
      <w:suff w:val="space"/>
      <w:lvlText w:val="%1.%2."/>
      <w:lvlJc w:val="left"/>
      <w:pPr>
        <w:ind w:left="794" w:hanging="437"/>
      </w:pPr>
      <w:rPr>
        <w:rFonts w:ascii="Times New Roman" w:hAnsi="Times New Roman" w:cs="Times New Roman"/>
        <w:b w:val="0"/>
        <w:sz w:val="23"/>
        <w:szCs w:val="23"/>
      </w:rPr>
    </w:lvl>
    <w:lvl w:ilvl="2">
      <w:start w:val="1"/>
      <w:numFmt w:val="decimal"/>
      <w:suff w:val="space"/>
      <w:lvlText w:val="%1.%2.%3."/>
      <w:lvlJc w:val="left"/>
      <w:pPr>
        <w:ind w:left="1225" w:hanging="505"/>
      </w:pPr>
      <w:rPr>
        <w:rFonts w:ascii="Times New Roman" w:hAnsi="Times New Roman" w:cs="Times New Roman"/>
        <w:b w:val="0"/>
        <w:sz w:val="23"/>
        <w:szCs w:val="23"/>
      </w:rPr>
    </w:lvl>
    <w:lvl w:ilvl="3">
      <w:start w:val="1"/>
      <w:numFmt w:val="decimal"/>
      <w:suff w:val="space"/>
      <w:lvlText w:val="%1.%2.%3.%4."/>
      <w:lvlJc w:val="left"/>
      <w:pPr>
        <w:ind w:left="1729" w:hanging="652"/>
      </w:pPr>
      <w:rPr>
        <w:rFonts w:ascii="Times New Roman" w:hAnsi="Times New Roman" w:cs="Times New Roman" w:hint="default"/>
        <w:b w:val="0"/>
        <w:sz w:val="23"/>
        <w:szCs w:val="23"/>
      </w:rPr>
    </w:lvl>
    <w:lvl w:ilvl="4">
      <w:start w:val="1"/>
      <w:numFmt w:val="decimal"/>
      <w:suff w:val="space"/>
      <w:lvlText w:val="%1.%2.%3.%4.%5."/>
      <w:lvlJc w:val="left"/>
      <w:pPr>
        <w:ind w:left="5898" w:hanging="794"/>
      </w:pPr>
      <w:rPr>
        <w:rFonts w:ascii="Times New Roman" w:hAnsi="Times New Roman" w:cs="Times New Roman"/>
        <w:b w:val="0"/>
        <w:sz w:val="23"/>
        <w:szCs w:val="23"/>
      </w:rPr>
    </w:lvl>
    <w:lvl w:ilvl="5">
      <w:start w:val="1"/>
      <w:numFmt w:val="decimal"/>
      <w:suff w:val="space"/>
      <w:lvlText w:val="%1.%2.%3.%4.%5.%6."/>
      <w:lvlJc w:val="left"/>
      <w:pPr>
        <w:ind w:left="2738" w:hanging="941"/>
      </w:pPr>
      <w:rPr>
        <w:rFonts w:ascii="Times New Roman" w:hAnsi="Times New Roman" w:cs="Times New Roman"/>
        <w:b w:val="0"/>
      </w:rPr>
    </w:lvl>
    <w:lvl w:ilvl="6">
      <w:start w:val="1"/>
      <w:numFmt w:val="decimal"/>
      <w:suff w:val="space"/>
      <w:lvlText w:val="%1.%2.%3.%4.%5.%6.%7."/>
      <w:lvlJc w:val="left"/>
      <w:pPr>
        <w:ind w:left="3237" w:hanging="1077"/>
      </w:pPr>
      <w:rPr>
        <w:rFonts w:ascii="Times New Roman" w:hAnsi="Times New Roman" w:cs="Times New Roman"/>
        <w:b/>
      </w:rPr>
    </w:lvl>
    <w:lvl w:ilvl="7">
      <w:start w:val="1"/>
      <w:numFmt w:val="decimal"/>
      <w:suff w:val="space"/>
      <w:lvlText w:val="%1.%2.%3.%4.%5.%6.%7.%8."/>
      <w:lvlJc w:val="left"/>
      <w:pPr>
        <w:ind w:left="3742" w:hanging="1225"/>
      </w:pPr>
      <w:rPr>
        <w:rFonts w:ascii="Times New Roman" w:hAnsi="Times New Roman" w:cs="Times New Roman"/>
        <w:b/>
      </w:rPr>
    </w:lvl>
    <w:lvl w:ilvl="8">
      <w:start w:val="1"/>
      <w:numFmt w:val="decimal"/>
      <w:suff w:val="space"/>
      <w:lvlText w:val="%1.%2.%3.%4.%5.%6.%7.%8.%9."/>
      <w:lvlJc w:val="left"/>
      <w:pPr>
        <w:ind w:left="4320" w:hanging="1440"/>
      </w:pPr>
      <w:rPr>
        <w:rFonts w:ascii="Times New Roman" w:hAnsi="Times New Roman" w:cs="Times New Roman"/>
        <w:b/>
      </w:rPr>
    </w:lvl>
  </w:abstractNum>
  <w:abstractNum w:abstractNumId="8" w15:restartNumberingAfterBreak="0">
    <w:nsid w:val="52F2524D"/>
    <w:multiLevelType w:val="multilevel"/>
    <w:tmpl w:val="2BF484A2"/>
    <w:lvl w:ilvl="0">
      <w:start w:val="1"/>
      <w:numFmt w:val="decimal"/>
      <w:lvlText w:val="%1."/>
      <w:lvlJc w:val="left"/>
      <w:pPr>
        <w:ind w:left="720" w:hanging="360"/>
      </w:pPr>
      <w:rPr>
        <w:rFonts w:hint="default"/>
        <w:b/>
      </w:rPr>
    </w:lvl>
    <w:lvl w:ilvl="1">
      <w:start w:val="1"/>
      <w:numFmt w:val="decimal"/>
      <w:lvlText w:val="%1.%2."/>
      <w:lvlJc w:val="left"/>
      <w:pPr>
        <w:ind w:left="720" w:hanging="360"/>
      </w:pPr>
      <w:rPr>
        <w:color w:val="auto"/>
        <w:sz w:val="20"/>
        <w:szCs w:val="2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lvlText w:val="%1.%2.%3.%4.%5.%6."/>
      <w:lvlJc w:val="left"/>
      <w:pPr>
        <w:ind w:left="1440" w:hanging="1080"/>
      </w:p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F365825"/>
    <w:multiLevelType w:val="multilevel"/>
    <w:tmpl w:val="0425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20966126">
    <w:abstractNumId w:val="5"/>
  </w:num>
  <w:num w:numId="2" w16cid:durableId="1002199198">
    <w:abstractNumId w:val="3"/>
  </w:num>
  <w:num w:numId="3" w16cid:durableId="544606328">
    <w:abstractNumId w:val="4"/>
  </w:num>
  <w:num w:numId="4" w16cid:durableId="717775958">
    <w:abstractNumId w:val="1"/>
  </w:num>
  <w:num w:numId="5" w16cid:durableId="896746307">
    <w:abstractNumId w:val="0"/>
  </w:num>
  <w:num w:numId="6" w16cid:durableId="743602420">
    <w:abstractNumId w:val="6"/>
  </w:num>
  <w:num w:numId="7" w16cid:durableId="909385211">
    <w:abstractNumId w:val="8"/>
  </w:num>
  <w:num w:numId="8" w16cid:durableId="1686975618">
    <w:abstractNumId w:val="7"/>
  </w:num>
  <w:num w:numId="9" w16cid:durableId="1994915883">
    <w:abstractNumId w:val="9"/>
  </w:num>
  <w:num w:numId="10" w16cid:durableId="1432314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ADC"/>
    <w:rsid w:val="000150C9"/>
    <w:rsid w:val="00015D91"/>
    <w:rsid w:val="00022E4F"/>
    <w:rsid w:val="0003121A"/>
    <w:rsid w:val="00033058"/>
    <w:rsid w:val="00036949"/>
    <w:rsid w:val="00037D3F"/>
    <w:rsid w:val="00037F43"/>
    <w:rsid w:val="00041622"/>
    <w:rsid w:val="00046B97"/>
    <w:rsid w:val="0005123F"/>
    <w:rsid w:val="00053408"/>
    <w:rsid w:val="00054822"/>
    <w:rsid w:val="000552C9"/>
    <w:rsid w:val="0005629F"/>
    <w:rsid w:val="00056CA8"/>
    <w:rsid w:val="00061AE4"/>
    <w:rsid w:val="00061BD6"/>
    <w:rsid w:val="000659A4"/>
    <w:rsid w:val="00067690"/>
    <w:rsid w:val="000825CD"/>
    <w:rsid w:val="0008302D"/>
    <w:rsid w:val="00087610"/>
    <w:rsid w:val="000914EF"/>
    <w:rsid w:val="00092179"/>
    <w:rsid w:val="000951D7"/>
    <w:rsid w:val="000A3CC4"/>
    <w:rsid w:val="000A45AA"/>
    <w:rsid w:val="000A49F8"/>
    <w:rsid w:val="000A6323"/>
    <w:rsid w:val="000B1F26"/>
    <w:rsid w:val="000B553C"/>
    <w:rsid w:val="000C2464"/>
    <w:rsid w:val="000C3009"/>
    <w:rsid w:val="000C6DEC"/>
    <w:rsid w:val="000D170F"/>
    <w:rsid w:val="000D1B63"/>
    <w:rsid w:val="000E112C"/>
    <w:rsid w:val="000E4A3F"/>
    <w:rsid w:val="000F0CC4"/>
    <w:rsid w:val="000F0D9A"/>
    <w:rsid w:val="000F2169"/>
    <w:rsid w:val="000F5D70"/>
    <w:rsid w:val="001003EB"/>
    <w:rsid w:val="0010103C"/>
    <w:rsid w:val="001025CC"/>
    <w:rsid w:val="00107E7D"/>
    <w:rsid w:val="0011152C"/>
    <w:rsid w:val="00116C4F"/>
    <w:rsid w:val="00117980"/>
    <w:rsid w:val="001233DC"/>
    <w:rsid w:val="00124F9C"/>
    <w:rsid w:val="001271FD"/>
    <w:rsid w:val="00127584"/>
    <w:rsid w:val="001277FD"/>
    <w:rsid w:val="0013130E"/>
    <w:rsid w:val="001319C6"/>
    <w:rsid w:val="00131A1B"/>
    <w:rsid w:val="001370CB"/>
    <w:rsid w:val="001422C0"/>
    <w:rsid w:val="0014488D"/>
    <w:rsid w:val="00145FEB"/>
    <w:rsid w:val="00146D54"/>
    <w:rsid w:val="00150866"/>
    <w:rsid w:val="001533E6"/>
    <w:rsid w:val="00160BB9"/>
    <w:rsid w:val="00161FF6"/>
    <w:rsid w:val="0016234D"/>
    <w:rsid w:val="00162F90"/>
    <w:rsid w:val="0016458A"/>
    <w:rsid w:val="00166B1A"/>
    <w:rsid w:val="001704F3"/>
    <w:rsid w:val="00171787"/>
    <w:rsid w:val="00171ABE"/>
    <w:rsid w:val="00171AF7"/>
    <w:rsid w:val="0018009F"/>
    <w:rsid w:val="00181727"/>
    <w:rsid w:val="00185F12"/>
    <w:rsid w:val="001950C4"/>
    <w:rsid w:val="001960D2"/>
    <w:rsid w:val="001A00B4"/>
    <w:rsid w:val="001A1A4F"/>
    <w:rsid w:val="001B0309"/>
    <w:rsid w:val="001B14D4"/>
    <w:rsid w:val="001B1C36"/>
    <w:rsid w:val="001B284B"/>
    <w:rsid w:val="001B4515"/>
    <w:rsid w:val="001B4A8E"/>
    <w:rsid w:val="001C13E4"/>
    <w:rsid w:val="001C514D"/>
    <w:rsid w:val="001D541F"/>
    <w:rsid w:val="001E0EA1"/>
    <w:rsid w:val="001E7AF9"/>
    <w:rsid w:val="001F1A51"/>
    <w:rsid w:val="001F1D1A"/>
    <w:rsid w:val="001F3049"/>
    <w:rsid w:val="001F3AA2"/>
    <w:rsid w:val="002008CE"/>
    <w:rsid w:val="00205660"/>
    <w:rsid w:val="002069DF"/>
    <w:rsid w:val="00214065"/>
    <w:rsid w:val="002165AC"/>
    <w:rsid w:val="00216A98"/>
    <w:rsid w:val="0022493C"/>
    <w:rsid w:val="00225E26"/>
    <w:rsid w:val="002260E3"/>
    <w:rsid w:val="00226203"/>
    <w:rsid w:val="0023353E"/>
    <w:rsid w:val="002409BD"/>
    <w:rsid w:val="00241558"/>
    <w:rsid w:val="00241A11"/>
    <w:rsid w:val="0024222A"/>
    <w:rsid w:val="0025074D"/>
    <w:rsid w:val="002528FE"/>
    <w:rsid w:val="00252DAB"/>
    <w:rsid w:val="00252F69"/>
    <w:rsid w:val="002562CA"/>
    <w:rsid w:val="00256C87"/>
    <w:rsid w:val="0025776F"/>
    <w:rsid w:val="00260A95"/>
    <w:rsid w:val="002620B6"/>
    <w:rsid w:val="00263102"/>
    <w:rsid w:val="00263C12"/>
    <w:rsid w:val="00267694"/>
    <w:rsid w:val="002768A4"/>
    <w:rsid w:val="00276FE7"/>
    <w:rsid w:val="002773FF"/>
    <w:rsid w:val="0029156B"/>
    <w:rsid w:val="0029392E"/>
    <w:rsid w:val="002A2151"/>
    <w:rsid w:val="002A33A7"/>
    <w:rsid w:val="002A3B5C"/>
    <w:rsid w:val="002A776C"/>
    <w:rsid w:val="002B059E"/>
    <w:rsid w:val="002B1997"/>
    <w:rsid w:val="002B5C04"/>
    <w:rsid w:val="002C485D"/>
    <w:rsid w:val="002C758A"/>
    <w:rsid w:val="002C7CC9"/>
    <w:rsid w:val="002D0527"/>
    <w:rsid w:val="002D0953"/>
    <w:rsid w:val="002D26EA"/>
    <w:rsid w:val="002D2E2D"/>
    <w:rsid w:val="002D32D6"/>
    <w:rsid w:val="002E1BD9"/>
    <w:rsid w:val="002E47E8"/>
    <w:rsid w:val="002F1FD9"/>
    <w:rsid w:val="002F30C6"/>
    <w:rsid w:val="002F6C5F"/>
    <w:rsid w:val="002F6D3F"/>
    <w:rsid w:val="003022E9"/>
    <w:rsid w:val="00302739"/>
    <w:rsid w:val="00303A66"/>
    <w:rsid w:val="00304F06"/>
    <w:rsid w:val="00306832"/>
    <w:rsid w:val="00306E68"/>
    <w:rsid w:val="0030729D"/>
    <w:rsid w:val="003073E1"/>
    <w:rsid w:val="00314D8E"/>
    <w:rsid w:val="00316949"/>
    <w:rsid w:val="00316E60"/>
    <w:rsid w:val="00320537"/>
    <w:rsid w:val="0032400C"/>
    <w:rsid w:val="003314C0"/>
    <w:rsid w:val="003314D6"/>
    <w:rsid w:val="00331FDA"/>
    <w:rsid w:val="00332F56"/>
    <w:rsid w:val="00333ABE"/>
    <w:rsid w:val="0033775F"/>
    <w:rsid w:val="00340D58"/>
    <w:rsid w:val="003421DB"/>
    <w:rsid w:val="00343152"/>
    <w:rsid w:val="0034351B"/>
    <w:rsid w:val="00343CB2"/>
    <w:rsid w:val="0034468A"/>
    <w:rsid w:val="00344EAB"/>
    <w:rsid w:val="00346C7D"/>
    <w:rsid w:val="003563DD"/>
    <w:rsid w:val="00357826"/>
    <w:rsid w:val="00363FD2"/>
    <w:rsid w:val="003640E3"/>
    <w:rsid w:val="00366587"/>
    <w:rsid w:val="003757D3"/>
    <w:rsid w:val="003802D7"/>
    <w:rsid w:val="00380ABA"/>
    <w:rsid w:val="00381BD7"/>
    <w:rsid w:val="003822ED"/>
    <w:rsid w:val="003823E3"/>
    <w:rsid w:val="00384020"/>
    <w:rsid w:val="00386B75"/>
    <w:rsid w:val="00391740"/>
    <w:rsid w:val="003A28D9"/>
    <w:rsid w:val="003A58D3"/>
    <w:rsid w:val="003A67AA"/>
    <w:rsid w:val="003B1D1A"/>
    <w:rsid w:val="003B693E"/>
    <w:rsid w:val="003C0286"/>
    <w:rsid w:val="003C058E"/>
    <w:rsid w:val="003C3C04"/>
    <w:rsid w:val="003C44DA"/>
    <w:rsid w:val="003C5AF9"/>
    <w:rsid w:val="003C7BA4"/>
    <w:rsid w:val="003D7C1E"/>
    <w:rsid w:val="003E0C87"/>
    <w:rsid w:val="003E3D1F"/>
    <w:rsid w:val="003E7DC9"/>
    <w:rsid w:val="003F1888"/>
    <w:rsid w:val="003F4AAF"/>
    <w:rsid w:val="003F4F43"/>
    <w:rsid w:val="00403E35"/>
    <w:rsid w:val="004134E2"/>
    <w:rsid w:val="004208E0"/>
    <w:rsid w:val="00422615"/>
    <w:rsid w:val="00423BF2"/>
    <w:rsid w:val="00427A03"/>
    <w:rsid w:val="00432CA0"/>
    <w:rsid w:val="004330DF"/>
    <w:rsid w:val="004330FB"/>
    <w:rsid w:val="004343D2"/>
    <w:rsid w:val="00435778"/>
    <w:rsid w:val="00442DAD"/>
    <w:rsid w:val="004438A9"/>
    <w:rsid w:val="0044594A"/>
    <w:rsid w:val="00447995"/>
    <w:rsid w:val="0045464B"/>
    <w:rsid w:val="00460D3A"/>
    <w:rsid w:val="0046489B"/>
    <w:rsid w:val="00464BCC"/>
    <w:rsid w:val="004657C9"/>
    <w:rsid w:val="0046580A"/>
    <w:rsid w:val="004701A5"/>
    <w:rsid w:val="00471A64"/>
    <w:rsid w:val="004733C3"/>
    <w:rsid w:val="004733FA"/>
    <w:rsid w:val="00473990"/>
    <w:rsid w:val="004769EF"/>
    <w:rsid w:val="00490AC5"/>
    <w:rsid w:val="00491851"/>
    <w:rsid w:val="00492CC1"/>
    <w:rsid w:val="00494BBE"/>
    <w:rsid w:val="00497AFD"/>
    <w:rsid w:val="004A10D6"/>
    <w:rsid w:val="004B32B7"/>
    <w:rsid w:val="004B6B09"/>
    <w:rsid w:val="004C165D"/>
    <w:rsid w:val="004C21E5"/>
    <w:rsid w:val="004C56F0"/>
    <w:rsid w:val="004C58F0"/>
    <w:rsid w:val="004D0122"/>
    <w:rsid w:val="004D0A2A"/>
    <w:rsid w:val="004D1954"/>
    <w:rsid w:val="004E0058"/>
    <w:rsid w:val="004E26A3"/>
    <w:rsid w:val="004E4EBD"/>
    <w:rsid w:val="004F132C"/>
    <w:rsid w:val="004F2695"/>
    <w:rsid w:val="004F26F2"/>
    <w:rsid w:val="004F2C21"/>
    <w:rsid w:val="004F2D0B"/>
    <w:rsid w:val="004F3056"/>
    <w:rsid w:val="00500B05"/>
    <w:rsid w:val="00502B52"/>
    <w:rsid w:val="005056C6"/>
    <w:rsid w:val="005078D6"/>
    <w:rsid w:val="00507AB2"/>
    <w:rsid w:val="00507F9B"/>
    <w:rsid w:val="005119D0"/>
    <w:rsid w:val="00511E90"/>
    <w:rsid w:val="005133E7"/>
    <w:rsid w:val="005178DD"/>
    <w:rsid w:val="0051792B"/>
    <w:rsid w:val="00522DB4"/>
    <w:rsid w:val="00541A0E"/>
    <w:rsid w:val="00546B28"/>
    <w:rsid w:val="00546E83"/>
    <w:rsid w:val="00547153"/>
    <w:rsid w:val="0055530F"/>
    <w:rsid w:val="00556E05"/>
    <w:rsid w:val="005624A7"/>
    <w:rsid w:val="00563045"/>
    <w:rsid w:val="00573D34"/>
    <w:rsid w:val="0057530F"/>
    <w:rsid w:val="00575995"/>
    <w:rsid w:val="00575CF0"/>
    <w:rsid w:val="00582355"/>
    <w:rsid w:val="00584EF5"/>
    <w:rsid w:val="00591B74"/>
    <w:rsid w:val="005940C4"/>
    <w:rsid w:val="00594727"/>
    <w:rsid w:val="0059480C"/>
    <w:rsid w:val="00595F31"/>
    <w:rsid w:val="005A0780"/>
    <w:rsid w:val="005A0F7E"/>
    <w:rsid w:val="005A1170"/>
    <w:rsid w:val="005B022A"/>
    <w:rsid w:val="005B1CED"/>
    <w:rsid w:val="005B236B"/>
    <w:rsid w:val="005C0C76"/>
    <w:rsid w:val="005C4A8A"/>
    <w:rsid w:val="005C5BF8"/>
    <w:rsid w:val="005D53AA"/>
    <w:rsid w:val="005E0482"/>
    <w:rsid w:val="005E0BE9"/>
    <w:rsid w:val="005E3888"/>
    <w:rsid w:val="005F0EEA"/>
    <w:rsid w:val="005F5508"/>
    <w:rsid w:val="0060216D"/>
    <w:rsid w:val="00602CEE"/>
    <w:rsid w:val="00610261"/>
    <w:rsid w:val="00611365"/>
    <w:rsid w:val="00613024"/>
    <w:rsid w:val="00613929"/>
    <w:rsid w:val="00613D3A"/>
    <w:rsid w:val="00616D79"/>
    <w:rsid w:val="00622976"/>
    <w:rsid w:val="006238B0"/>
    <w:rsid w:val="00623F35"/>
    <w:rsid w:val="006240A4"/>
    <w:rsid w:val="006245CA"/>
    <w:rsid w:val="0062570E"/>
    <w:rsid w:val="00630583"/>
    <w:rsid w:val="0063132E"/>
    <w:rsid w:val="00631A1D"/>
    <w:rsid w:val="00632405"/>
    <w:rsid w:val="006337E4"/>
    <w:rsid w:val="00634C33"/>
    <w:rsid w:val="00635AEF"/>
    <w:rsid w:val="006368FB"/>
    <w:rsid w:val="00637CF6"/>
    <w:rsid w:val="00641CC1"/>
    <w:rsid w:val="00642D08"/>
    <w:rsid w:val="006437F4"/>
    <w:rsid w:val="00643C55"/>
    <w:rsid w:val="00645078"/>
    <w:rsid w:val="00651726"/>
    <w:rsid w:val="0065683A"/>
    <w:rsid w:val="00656AFA"/>
    <w:rsid w:val="00660450"/>
    <w:rsid w:val="00661918"/>
    <w:rsid w:val="00661E70"/>
    <w:rsid w:val="00665257"/>
    <w:rsid w:val="00665EC9"/>
    <w:rsid w:val="00666CB8"/>
    <w:rsid w:val="006673FF"/>
    <w:rsid w:val="00675071"/>
    <w:rsid w:val="0067602C"/>
    <w:rsid w:val="006768D5"/>
    <w:rsid w:val="00686DD0"/>
    <w:rsid w:val="00687F68"/>
    <w:rsid w:val="00690159"/>
    <w:rsid w:val="006911A8"/>
    <w:rsid w:val="00692D69"/>
    <w:rsid w:val="006A2F27"/>
    <w:rsid w:val="006A39E3"/>
    <w:rsid w:val="006B4B48"/>
    <w:rsid w:val="006B69C3"/>
    <w:rsid w:val="006C0E08"/>
    <w:rsid w:val="006C148A"/>
    <w:rsid w:val="006D0C83"/>
    <w:rsid w:val="006D425B"/>
    <w:rsid w:val="006E0C61"/>
    <w:rsid w:val="006E1672"/>
    <w:rsid w:val="006E2A76"/>
    <w:rsid w:val="006E30AF"/>
    <w:rsid w:val="006E5CEB"/>
    <w:rsid w:val="006F0A23"/>
    <w:rsid w:val="006F0C97"/>
    <w:rsid w:val="006F0C9C"/>
    <w:rsid w:val="006F123A"/>
    <w:rsid w:val="006F1C1D"/>
    <w:rsid w:val="006F2550"/>
    <w:rsid w:val="006F260F"/>
    <w:rsid w:val="006F2EC9"/>
    <w:rsid w:val="006F3E49"/>
    <w:rsid w:val="006F4F99"/>
    <w:rsid w:val="006F668E"/>
    <w:rsid w:val="00701DEC"/>
    <w:rsid w:val="00703E85"/>
    <w:rsid w:val="00704E27"/>
    <w:rsid w:val="00710E41"/>
    <w:rsid w:val="007164F1"/>
    <w:rsid w:val="0072642A"/>
    <w:rsid w:val="00726719"/>
    <w:rsid w:val="00736923"/>
    <w:rsid w:val="0073739C"/>
    <w:rsid w:val="0073781B"/>
    <w:rsid w:val="00741B33"/>
    <w:rsid w:val="007424C7"/>
    <w:rsid w:val="007457D9"/>
    <w:rsid w:val="007534B8"/>
    <w:rsid w:val="00753D0B"/>
    <w:rsid w:val="00753DE2"/>
    <w:rsid w:val="00755254"/>
    <w:rsid w:val="00763E0C"/>
    <w:rsid w:val="00763FC0"/>
    <w:rsid w:val="00764251"/>
    <w:rsid w:val="00766FC0"/>
    <w:rsid w:val="00767BE7"/>
    <w:rsid w:val="00771199"/>
    <w:rsid w:val="00771264"/>
    <w:rsid w:val="00771CBA"/>
    <w:rsid w:val="00771CE6"/>
    <w:rsid w:val="007726D5"/>
    <w:rsid w:val="00772AE7"/>
    <w:rsid w:val="00773F5B"/>
    <w:rsid w:val="007746F8"/>
    <w:rsid w:val="00780FF2"/>
    <w:rsid w:val="00791326"/>
    <w:rsid w:val="007926E9"/>
    <w:rsid w:val="00793695"/>
    <w:rsid w:val="0079411A"/>
    <w:rsid w:val="007947FE"/>
    <w:rsid w:val="00797662"/>
    <w:rsid w:val="00797ACB"/>
    <w:rsid w:val="007A05BF"/>
    <w:rsid w:val="007A3CED"/>
    <w:rsid w:val="007A7337"/>
    <w:rsid w:val="007B0631"/>
    <w:rsid w:val="007B3444"/>
    <w:rsid w:val="007C1FF6"/>
    <w:rsid w:val="007C6B82"/>
    <w:rsid w:val="007C7931"/>
    <w:rsid w:val="007D0C54"/>
    <w:rsid w:val="007E276C"/>
    <w:rsid w:val="007E7E92"/>
    <w:rsid w:val="007F271E"/>
    <w:rsid w:val="007F352E"/>
    <w:rsid w:val="007F4685"/>
    <w:rsid w:val="007F7DC9"/>
    <w:rsid w:val="00800A66"/>
    <w:rsid w:val="00807154"/>
    <w:rsid w:val="00812F4F"/>
    <w:rsid w:val="0081398F"/>
    <w:rsid w:val="00813A0D"/>
    <w:rsid w:val="00817D60"/>
    <w:rsid w:val="008302DE"/>
    <w:rsid w:val="0083072D"/>
    <w:rsid w:val="00830ACB"/>
    <w:rsid w:val="00834672"/>
    <w:rsid w:val="00834DCB"/>
    <w:rsid w:val="00834F06"/>
    <w:rsid w:val="00835284"/>
    <w:rsid w:val="00835C59"/>
    <w:rsid w:val="008368E1"/>
    <w:rsid w:val="00837BC4"/>
    <w:rsid w:val="00842208"/>
    <w:rsid w:val="008428D7"/>
    <w:rsid w:val="008430FB"/>
    <w:rsid w:val="008451AD"/>
    <w:rsid w:val="0085582F"/>
    <w:rsid w:val="00862A6D"/>
    <w:rsid w:val="00870F43"/>
    <w:rsid w:val="008713B6"/>
    <w:rsid w:val="00871E2C"/>
    <w:rsid w:val="00875145"/>
    <w:rsid w:val="0087676C"/>
    <w:rsid w:val="00876B8B"/>
    <w:rsid w:val="00881184"/>
    <w:rsid w:val="0088178F"/>
    <w:rsid w:val="00883B25"/>
    <w:rsid w:val="0088648E"/>
    <w:rsid w:val="00893623"/>
    <w:rsid w:val="00893E51"/>
    <w:rsid w:val="00894E10"/>
    <w:rsid w:val="0089644F"/>
    <w:rsid w:val="008A056F"/>
    <w:rsid w:val="008A070B"/>
    <w:rsid w:val="008A20D9"/>
    <w:rsid w:val="008B3009"/>
    <w:rsid w:val="008B551D"/>
    <w:rsid w:val="008C0D65"/>
    <w:rsid w:val="008C1354"/>
    <w:rsid w:val="008C3326"/>
    <w:rsid w:val="008C59DB"/>
    <w:rsid w:val="008C68CD"/>
    <w:rsid w:val="008D1E0D"/>
    <w:rsid w:val="008D3553"/>
    <w:rsid w:val="008D390A"/>
    <w:rsid w:val="008D3911"/>
    <w:rsid w:val="008D3E96"/>
    <w:rsid w:val="008D5503"/>
    <w:rsid w:val="008D6260"/>
    <w:rsid w:val="008D6687"/>
    <w:rsid w:val="008D6E2E"/>
    <w:rsid w:val="008E0463"/>
    <w:rsid w:val="008E291D"/>
    <w:rsid w:val="008E50E6"/>
    <w:rsid w:val="008F316B"/>
    <w:rsid w:val="008F4332"/>
    <w:rsid w:val="008F4C5C"/>
    <w:rsid w:val="00900A27"/>
    <w:rsid w:val="009023BA"/>
    <w:rsid w:val="00902A29"/>
    <w:rsid w:val="00902EF2"/>
    <w:rsid w:val="00910473"/>
    <w:rsid w:val="00910908"/>
    <w:rsid w:val="009124A2"/>
    <w:rsid w:val="009152E8"/>
    <w:rsid w:val="009158A3"/>
    <w:rsid w:val="0091698F"/>
    <w:rsid w:val="00924691"/>
    <w:rsid w:val="00933D48"/>
    <w:rsid w:val="0093550D"/>
    <w:rsid w:val="009355A5"/>
    <w:rsid w:val="009426BE"/>
    <w:rsid w:val="00943DB2"/>
    <w:rsid w:val="00945842"/>
    <w:rsid w:val="00947203"/>
    <w:rsid w:val="00955A23"/>
    <w:rsid w:val="00957DDF"/>
    <w:rsid w:val="00960C73"/>
    <w:rsid w:val="00960E05"/>
    <w:rsid w:val="009642D1"/>
    <w:rsid w:val="00966949"/>
    <w:rsid w:val="00966A3D"/>
    <w:rsid w:val="0096790E"/>
    <w:rsid w:val="009745F0"/>
    <w:rsid w:val="009825AA"/>
    <w:rsid w:val="0098546B"/>
    <w:rsid w:val="009868D8"/>
    <w:rsid w:val="009876E1"/>
    <w:rsid w:val="009910D4"/>
    <w:rsid w:val="00992672"/>
    <w:rsid w:val="00993707"/>
    <w:rsid w:val="00997790"/>
    <w:rsid w:val="009A1824"/>
    <w:rsid w:val="009A2197"/>
    <w:rsid w:val="009A2B47"/>
    <w:rsid w:val="009A4F08"/>
    <w:rsid w:val="009A4FDE"/>
    <w:rsid w:val="009A598D"/>
    <w:rsid w:val="009A5F11"/>
    <w:rsid w:val="009A6D50"/>
    <w:rsid w:val="009B2783"/>
    <w:rsid w:val="009B40F8"/>
    <w:rsid w:val="009B547F"/>
    <w:rsid w:val="009C00C0"/>
    <w:rsid w:val="009C3745"/>
    <w:rsid w:val="009C40D5"/>
    <w:rsid w:val="009D0BBD"/>
    <w:rsid w:val="009D746A"/>
    <w:rsid w:val="009D7EF0"/>
    <w:rsid w:val="009E154A"/>
    <w:rsid w:val="009E17FF"/>
    <w:rsid w:val="009E7C8C"/>
    <w:rsid w:val="009F144B"/>
    <w:rsid w:val="009F2283"/>
    <w:rsid w:val="009F36EB"/>
    <w:rsid w:val="009F3A98"/>
    <w:rsid w:val="009F5756"/>
    <w:rsid w:val="009F5C06"/>
    <w:rsid w:val="00A00B13"/>
    <w:rsid w:val="00A012D2"/>
    <w:rsid w:val="00A03EFA"/>
    <w:rsid w:val="00A04171"/>
    <w:rsid w:val="00A074B6"/>
    <w:rsid w:val="00A07D61"/>
    <w:rsid w:val="00A111E9"/>
    <w:rsid w:val="00A11891"/>
    <w:rsid w:val="00A11D96"/>
    <w:rsid w:val="00A1260A"/>
    <w:rsid w:val="00A1345B"/>
    <w:rsid w:val="00A15DE7"/>
    <w:rsid w:val="00A1784B"/>
    <w:rsid w:val="00A24F8F"/>
    <w:rsid w:val="00A25F5B"/>
    <w:rsid w:val="00A26ED5"/>
    <w:rsid w:val="00A27342"/>
    <w:rsid w:val="00A30393"/>
    <w:rsid w:val="00A31CB0"/>
    <w:rsid w:val="00A31DF8"/>
    <w:rsid w:val="00A327F1"/>
    <w:rsid w:val="00A329D1"/>
    <w:rsid w:val="00A33D1D"/>
    <w:rsid w:val="00A33E22"/>
    <w:rsid w:val="00A41EB1"/>
    <w:rsid w:val="00A42B22"/>
    <w:rsid w:val="00A42CA7"/>
    <w:rsid w:val="00A614CE"/>
    <w:rsid w:val="00A6284A"/>
    <w:rsid w:val="00A639D7"/>
    <w:rsid w:val="00A72913"/>
    <w:rsid w:val="00A72F65"/>
    <w:rsid w:val="00A74FB2"/>
    <w:rsid w:val="00A76722"/>
    <w:rsid w:val="00A772E0"/>
    <w:rsid w:val="00A8084B"/>
    <w:rsid w:val="00A830B1"/>
    <w:rsid w:val="00A90C6C"/>
    <w:rsid w:val="00A91B19"/>
    <w:rsid w:val="00A92EA3"/>
    <w:rsid w:val="00A92F99"/>
    <w:rsid w:val="00A93AE3"/>
    <w:rsid w:val="00A95981"/>
    <w:rsid w:val="00AA0A73"/>
    <w:rsid w:val="00AA27F9"/>
    <w:rsid w:val="00AA4237"/>
    <w:rsid w:val="00AB1230"/>
    <w:rsid w:val="00AB233F"/>
    <w:rsid w:val="00AB4647"/>
    <w:rsid w:val="00AB6B8E"/>
    <w:rsid w:val="00AB6E24"/>
    <w:rsid w:val="00AB7505"/>
    <w:rsid w:val="00AC33C2"/>
    <w:rsid w:val="00AC3792"/>
    <w:rsid w:val="00AC64BC"/>
    <w:rsid w:val="00AC76D3"/>
    <w:rsid w:val="00AD2598"/>
    <w:rsid w:val="00AD2C25"/>
    <w:rsid w:val="00AE0A71"/>
    <w:rsid w:val="00AE1400"/>
    <w:rsid w:val="00AE4ACE"/>
    <w:rsid w:val="00AE573B"/>
    <w:rsid w:val="00AF0466"/>
    <w:rsid w:val="00AF0A8C"/>
    <w:rsid w:val="00AF4498"/>
    <w:rsid w:val="00B025DD"/>
    <w:rsid w:val="00B13C3B"/>
    <w:rsid w:val="00B1422E"/>
    <w:rsid w:val="00B15F2B"/>
    <w:rsid w:val="00B2127E"/>
    <w:rsid w:val="00B2258E"/>
    <w:rsid w:val="00B22E05"/>
    <w:rsid w:val="00B235CD"/>
    <w:rsid w:val="00B27253"/>
    <w:rsid w:val="00B27B15"/>
    <w:rsid w:val="00B32BA0"/>
    <w:rsid w:val="00B423F2"/>
    <w:rsid w:val="00B42969"/>
    <w:rsid w:val="00B42E51"/>
    <w:rsid w:val="00B44F46"/>
    <w:rsid w:val="00B456BA"/>
    <w:rsid w:val="00B50509"/>
    <w:rsid w:val="00B50D46"/>
    <w:rsid w:val="00B557A8"/>
    <w:rsid w:val="00B563D3"/>
    <w:rsid w:val="00B61757"/>
    <w:rsid w:val="00B6329F"/>
    <w:rsid w:val="00B64F04"/>
    <w:rsid w:val="00B703E1"/>
    <w:rsid w:val="00B770AF"/>
    <w:rsid w:val="00B90392"/>
    <w:rsid w:val="00BA010E"/>
    <w:rsid w:val="00BA411B"/>
    <w:rsid w:val="00BB0B1D"/>
    <w:rsid w:val="00BB1F83"/>
    <w:rsid w:val="00BB7A22"/>
    <w:rsid w:val="00BC064C"/>
    <w:rsid w:val="00BC0BE7"/>
    <w:rsid w:val="00BC3B7F"/>
    <w:rsid w:val="00BD1FD3"/>
    <w:rsid w:val="00BD2A01"/>
    <w:rsid w:val="00BE24A8"/>
    <w:rsid w:val="00BE30A0"/>
    <w:rsid w:val="00BE3360"/>
    <w:rsid w:val="00BE3B99"/>
    <w:rsid w:val="00BF133B"/>
    <w:rsid w:val="00BF3B23"/>
    <w:rsid w:val="00BF62BA"/>
    <w:rsid w:val="00C02363"/>
    <w:rsid w:val="00C04535"/>
    <w:rsid w:val="00C12CCD"/>
    <w:rsid w:val="00C130E9"/>
    <w:rsid w:val="00C13444"/>
    <w:rsid w:val="00C13986"/>
    <w:rsid w:val="00C16B9E"/>
    <w:rsid w:val="00C20ACB"/>
    <w:rsid w:val="00C25174"/>
    <w:rsid w:val="00C25A54"/>
    <w:rsid w:val="00C302C5"/>
    <w:rsid w:val="00C43312"/>
    <w:rsid w:val="00C44C0B"/>
    <w:rsid w:val="00C456C5"/>
    <w:rsid w:val="00C47FD1"/>
    <w:rsid w:val="00C540A4"/>
    <w:rsid w:val="00C54CF8"/>
    <w:rsid w:val="00C60F09"/>
    <w:rsid w:val="00C64843"/>
    <w:rsid w:val="00C67631"/>
    <w:rsid w:val="00C71D68"/>
    <w:rsid w:val="00C72921"/>
    <w:rsid w:val="00C72FC2"/>
    <w:rsid w:val="00C74307"/>
    <w:rsid w:val="00C74E9F"/>
    <w:rsid w:val="00C75BE4"/>
    <w:rsid w:val="00C82342"/>
    <w:rsid w:val="00C82388"/>
    <w:rsid w:val="00C8296D"/>
    <w:rsid w:val="00C83796"/>
    <w:rsid w:val="00C90DC4"/>
    <w:rsid w:val="00CA099C"/>
    <w:rsid w:val="00CA2C9C"/>
    <w:rsid w:val="00CA4754"/>
    <w:rsid w:val="00CA7698"/>
    <w:rsid w:val="00CA7EAA"/>
    <w:rsid w:val="00CB11BC"/>
    <w:rsid w:val="00CB29A0"/>
    <w:rsid w:val="00CB61F3"/>
    <w:rsid w:val="00CB6201"/>
    <w:rsid w:val="00CB7481"/>
    <w:rsid w:val="00CC4FE6"/>
    <w:rsid w:val="00CD18EC"/>
    <w:rsid w:val="00CD5B95"/>
    <w:rsid w:val="00CD6DC3"/>
    <w:rsid w:val="00CE1478"/>
    <w:rsid w:val="00CE1AC5"/>
    <w:rsid w:val="00CE38D6"/>
    <w:rsid w:val="00CE5435"/>
    <w:rsid w:val="00CE7E0B"/>
    <w:rsid w:val="00CF21D5"/>
    <w:rsid w:val="00CF27DE"/>
    <w:rsid w:val="00CF3077"/>
    <w:rsid w:val="00D0061D"/>
    <w:rsid w:val="00D03860"/>
    <w:rsid w:val="00D04324"/>
    <w:rsid w:val="00D10826"/>
    <w:rsid w:val="00D1441A"/>
    <w:rsid w:val="00D17ADC"/>
    <w:rsid w:val="00D20D08"/>
    <w:rsid w:val="00D22422"/>
    <w:rsid w:val="00D22FC5"/>
    <w:rsid w:val="00D36649"/>
    <w:rsid w:val="00D37D73"/>
    <w:rsid w:val="00D420BF"/>
    <w:rsid w:val="00D432C4"/>
    <w:rsid w:val="00D44180"/>
    <w:rsid w:val="00D55441"/>
    <w:rsid w:val="00D63148"/>
    <w:rsid w:val="00D63AFF"/>
    <w:rsid w:val="00D63E1D"/>
    <w:rsid w:val="00D649E1"/>
    <w:rsid w:val="00D66ADA"/>
    <w:rsid w:val="00D673AF"/>
    <w:rsid w:val="00D701A9"/>
    <w:rsid w:val="00D76270"/>
    <w:rsid w:val="00D7672B"/>
    <w:rsid w:val="00D81A67"/>
    <w:rsid w:val="00D82758"/>
    <w:rsid w:val="00D82B69"/>
    <w:rsid w:val="00D83A66"/>
    <w:rsid w:val="00D85814"/>
    <w:rsid w:val="00D91EA0"/>
    <w:rsid w:val="00D93901"/>
    <w:rsid w:val="00DA0728"/>
    <w:rsid w:val="00DA1F00"/>
    <w:rsid w:val="00DA33A0"/>
    <w:rsid w:val="00DA68D6"/>
    <w:rsid w:val="00DB09DD"/>
    <w:rsid w:val="00DB2A53"/>
    <w:rsid w:val="00DB3312"/>
    <w:rsid w:val="00DC09FC"/>
    <w:rsid w:val="00DD2BCA"/>
    <w:rsid w:val="00DD62E1"/>
    <w:rsid w:val="00DD71E0"/>
    <w:rsid w:val="00DE16DC"/>
    <w:rsid w:val="00DE2C3C"/>
    <w:rsid w:val="00DE63E3"/>
    <w:rsid w:val="00DE7874"/>
    <w:rsid w:val="00DF059B"/>
    <w:rsid w:val="00DF32C5"/>
    <w:rsid w:val="00DF4EB1"/>
    <w:rsid w:val="00E11505"/>
    <w:rsid w:val="00E11DF0"/>
    <w:rsid w:val="00E13B6B"/>
    <w:rsid w:val="00E16FA5"/>
    <w:rsid w:val="00E2023A"/>
    <w:rsid w:val="00E20B6F"/>
    <w:rsid w:val="00E22C05"/>
    <w:rsid w:val="00E23C10"/>
    <w:rsid w:val="00E24AE7"/>
    <w:rsid w:val="00E258B7"/>
    <w:rsid w:val="00E26BAD"/>
    <w:rsid w:val="00E3133F"/>
    <w:rsid w:val="00E3364E"/>
    <w:rsid w:val="00E34971"/>
    <w:rsid w:val="00E40984"/>
    <w:rsid w:val="00E44D88"/>
    <w:rsid w:val="00E511CE"/>
    <w:rsid w:val="00E52D85"/>
    <w:rsid w:val="00E542D2"/>
    <w:rsid w:val="00E56D10"/>
    <w:rsid w:val="00E56F19"/>
    <w:rsid w:val="00E61894"/>
    <w:rsid w:val="00E6798F"/>
    <w:rsid w:val="00E7192C"/>
    <w:rsid w:val="00E76121"/>
    <w:rsid w:val="00E8041D"/>
    <w:rsid w:val="00E83C71"/>
    <w:rsid w:val="00E83F9D"/>
    <w:rsid w:val="00E84139"/>
    <w:rsid w:val="00E848AF"/>
    <w:rsid w:val="00E871F8"/>
    <w:rsid w:val="00E94319"/>
    <w:rsid w:val="00E94592"/>
    <w:rsid w:val="00E94FA6"/>
    <w:rsid w:val="00E9726A"/>
    <w:rsid w:val="00EA041F"/>
    <w:rsid w:val="00EA0D60"/>
    <w:rsid w:val="00EA3BD2"/>
    <w:rsid w:val="00EA407F"/>
    <w:rsid w:val="00EA5345"/>
    <w:rsid w:val="00EA5938"/>
    <w:rsid w:val="00EA626C"/>
    <w:rsid w:val="00EB0C39"/>
    <w:rsid w:val="00EB1569"/>
    <w:rsid w:val="00EB5E10"/>
    <w:rsid w:val="00EB6712"/>
    <w:rsid w:val="00EB6B4F"/>
    <w:rsid w:val="00EC2932"/>
    <w:rsid w:val="00EC5790"/>
    <w:rsid w:val="00EC6EBE"/>
    <w:rsid w:val="00ED41CA"/>
    <w:rsid w:val="00ED7096"/>
    <w:rsid w:val="00EE2770"/>
    <w:rsid w:val="00EE5B52"/>
    <w:rsid w:val="00EF1FD6"/>
    <w:rsid w:val="00EF4327"/>
    <w:rsid w:val="00F0294A"/>
    <w:rsid w:val="00F056F8"/>
    <w:rsid w:val="00F05A65"/>
    <w:rsid w:val="00F06029"/>
    <w:rsid w:val="00F076C6"/>
    <w:rsid w:val="00F150F8"/>
    <w:rsid w:val="00F15691"/>
    <w:rsid w:val="00F25203"/>
    <w:rsid w:val="00F27329"/>
    <w:rsid w:val="00F30A1A"/>
    <w:rsid w:val="00F30D49"/>
    <w:rsid w:val="00F43180"/>
    <w:rsid w:val="00F44E2C"/>
    <w:rsid w:val="00F51B44"/>
    <w:rsid w:val="00F52721"/>
    <w:rsid w:val="00F56550"/>
    <w:rsid w:val="00F577E0"/>
    <w:rsid w:val="00F65241"/>
    <w:rsid w:val="00F65696"/>
    <w:rsid w:val="00F65AA5"/>
    <w:rsid w:val="00F72B9E"/>
    <w:rsid w:val="00F74577"/>
    <w:rsid w:val="00F81FFD"/>
    <w:rsid w:val="00F8369D"/>
    <w:rsid w:val="00F84BCE"/>
    <w:rsid w:val="00F85CE0"/>
    <w:rsid w:val="00F868C3"/>
    <w:rsid w:val="00F86A0D"/>
    <w:rsid w:val="00F86BBB"/>
    <w:rsid w:val="00F90515"/>
    <w:rsid w:val="00F90AF2"/>
    <w:rsid w:val="00F923F1"/>
    <w:rsid w:val="00F97815"/>
    <w:rsid w:val="00FA16D3"/>
    <w:rsid w:val="00FA2314"/>
    <w:rsid w:val="00FA7540"/>
    <w:rsid w:val="00FA7CC1"/>
    <w:rsid w:val="00FB051C"/>
    <w:rsid w:val="00FB1CB0"/>
    <w:rsid w:val="00FC2645"/>
    <w:rsid w:val="00FC551E"/>
    <w:rsid w:val="00FC6520"/>
    <w:rsid w:val="00FD16D4"/>
    <w:rsid w:val="00FD2505"/>
    <w:rsid w:val="00FD5F21"/>
    <w:rsid w:val="00FD766B"/>
    <w:rsid w:val="00FE29A4"/>
    <w:rsid w:val="00FE44AA"/>
    <w:rsid w:val="00FF1471"/>
    <w:rsid w:val="00FF2273"/>
    <w:rsid w:val="00FF3EAD"/>
    <w:rsid w:val="00FF603A"/>
    <w:rsid w:val="00FF67ED"/>
    <w:rsid w:val="0EE9D601"/>
    <w:rsid w:val="0F1335FC"/>
    <w:rsid w:val="4267DE30"/>
    <w:rsid w:val="566F4DA6"/>
    <w:rsid w:val="5BA40B62"/>
    <w:rsid w:val="5FF4FA41"/>
    <w:rsid w:val="722CDBC2"/>
    <w:rsid w:val="79C53A8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5DE51"/>
  <w15:chartTrackingRefBased/>
  <w15:docId w15:val="{09538811-601D-4F11-B7BA-10079EE9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D65"/>
    <w:pPr>
      <w:keepNext/>
      <w:spacing w:before="240" w:after="240" w:line="240" w:lineRule="auto"/>
      <w:jc w:val="both"/>
      <w:outlineLvl w:val="0"/>
    </w:pPr>
    <w:rPr>
      <w:rFonts w:ascii="Times New Roman" w:eastAsia="Times New Roman" w:hAnsi="Times New Roman" w:cs="Times New Roman"/>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Mummuga loetelu"/>
    <w:basedOn w:val="Normal"/>
    <w:link w:val="ListParagraphChar"/>
    <w:uiPriority w:val="34"/>
    <w:qFormat/>
    <w:rsid w:val="00F06029"/>
    <w:pPr>
      <w:ind w:left="720"/>
      <w:contextualSpacing/>
    </w:pPr>
  </w:style>
  <w:style w:type="character" w:styleId="CommentReference">
    <w:name w:val="annotation reference"/>
    <w:basedOn w:val="DefaultParagraphFont"/>
    <w:uiPriority w:val="99"/>
    <w:semiHidden/>
    <w:unhideWhenUsed/>
    <w:rsid w:val="00F06029"/>
    <w:rPr>
      <w:sz w:val="16"/>
      <w:szCs w:val="16"/>
    </w:rPr>
  </w:style>
  <w:style w:type="paragraph" w:styleId="CommentText">
    <w:name w:val="annotation text"/>
    <w:basedOn w:val="Normal"/>
    <w:link w:val="CommentTextChar"/>
    <w:uiPriority w:val="99"/>
    <w:unhideWhenUsed/>
    <w:rsid w:val="00F06029"/>
    <w:pPr>
      <w:spacing w:after="200" w:line="240" w:lineRule="auto"/>
    </w:pPr>
    <w:rPr>
      <w:rFonts w:ascii="Arial" w:eastAsia="Cambria" w:hAnsi="Arial" w:cs="Times New Roman"/>
      <w:sz w:val="20"/>
      <w:szCs w:val="20"/>
    </w:rPr>
  </w:style>
  <w:style w:type="character" w:customStyle="1" w:styleId="CommentTextChar">
    <w:name w:val="Comment Text Char"/>
    <w:basedOn w:val="DefaultParagraphFont"/>
    <w:link w:val="CommentText"/>
    <w:uiPriority w:val="99"/>
    <w:rsid w:val="00F06029"/>
    <w:rPr>
      <w:rFonts w:ascii="Arial" w:eastAsia="Cambria" w:hAnsi="Arial" w:cs="Times New Roman"/>
      <w:sz w:val="20"/>
      <w:szCs w:val="20"/>
      <w:lang w:val="en"/>
    </w:rPr>
  </w:style>
  <w:style w:type="character" w:customStyle="1" w:styleId="ListParagraphChar">
    <w:name w:val="List Paragraph Char"/>
    <w:aliases w:val="Mummuga loetelu Char"/>
    <w:link w:val="ListParagraph"/>
    <w:uiPriority w:val="34"/>
    <w:locked/>
    <w:rsid w:val="00F06029"/>
  </w:style>
  <w:style w:type="paragraph" w:styleId="BalloonText">
    <w:name w:val="Balloon Text"/>
    <w:basedOn w:val="Normal"/>
    <w:link w:val="BalloonTextChar"/>
    <w:uiPriority w:val="99"/>
    <w:semiHidden/>
    <w:unhideWhenUsed/>
    <w:rsid w:val="00F060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029"/>
    <w:rPr>
      <w:rFonts w:ascii="Segoe UI" w:hAnsi="Segoe UI" w:cs="Segoe UI"/>
      <w:sz w:val="18"/>
      <w:szCs w:val="18"/>
    </w:rPr>
  </w:style>
  <w:style w:type="paragraph" w:styleId="NoSpacing">
    <w:name w:val="No Spacing"/>
    <w:uiPriority w:val="1"/>
    <w:qFormat/>
    <w:rsid w:val="00F06029"/>
    <w:pPr>
      <w:spacing w:after="0" w:line="240" w:lineRule="auto"/>
    </w:pPr>
    <w:rPr>
      <w:rFonts w:ascii="Arial" w:eastAsia="Cambria" w:hAnsi="Arial" w:cs="Times New Roman"/>
      <w:szCs w:val="24"/>
    </w:rPr>
  </w:style>
  <w:style w:type="paragraph" w:styleId="CommentSubject">
    <w:name w:val="annotation subject"/>
    <w:basedOn w:val="CommentText"/>
    <w:next w:val="CommentText"/>
    <w:link w:val="CommentSubjectChar"/>
    <w:uiPriority w:val="99"/>
    <w:semiHidden/>
    <w:unhideWhenUsed/>
    <w:rsid w:val="008F316B"/>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F316B"/>
    <w:rPr>
      <w:rFonts w:ascii="Arial" w:eastAsia="Cambria" w:hAnsi="Arial" w:cs="Times New Roman"/>
      <w:b/>
      <w:bCs/>
      <w:sz w:val="20"/>
      <w:szCs w:val="20"/>
      <w:lang w:val="en"/>
    </w:rPr>
  </w:style>
  <w:style w:type="paragraph" w:customStyle="1" w:styleId="Tabelipis">
    <w:name w:val="Tabeli päis"/>
    <w:basedOn w:val="Normal"/>
    <w:next w:val="Normal"/>
    <w:qFormat/>
    <w:rsid w:val="008E291D"/>
    <w:pPr>
      <w:spacing w:after="0" w:line="240" w:lineRule="auto"/>
      <w:jc w:val="center"/>
    </w:pPr>
    <w:rPr>
      <w:rFonts w:ascii="Arial" w:eastAsia="Times New Roman" w:hAnsi="Arial" w:cs="Times New Roman"/>
      <w:b/>
      <w:sz w:val="16"/>
      <w:szCs w:val="20"/>
      <w:lang w:eastAsia="x-none"/>
    </w:rPr>
  </w:style>
  <w:style w:type="paragraph" w:styleId="List2">
    <w:name w:val="List 2"/>
    <w:basedOn w:val="Normal"/>
    <w:uiPriority w:val="99"/>
    <w:qFormat/>
    <w:rsid w:val="008E291D"/>
    <w:pPr>
      <w:spacing w:after="0" w:line="240" w:lineRule="auto"/>
      <w:ind w:left="566" w:hanging="283"/>
      <w:contextualSpacing/>
      <w:jc w:val="both"/>
    </w:pPr>
    <w:rPr>
      <w:rFonts w:ascii="Times New Roman" w:eastAsia="Calibri" w:hAnsi="Times New Roman" w:cs="Times New Roman"/>
      <w:sz w:val="24"/>
    </w:rPr>
  </w:style>
  <w:style w:type="paragraph" w:customStyle="1" w:styleId="Default">
    <w:name w:val="Default"/>
    <w:rsid w:val="00EF432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8C0D65"/>
    <w:rPr>
      <w:rFonts w:ascii="Times New Roman" w:eastAsia="Times New Roman" w:hAnsi="Times New Roman" w:cs="Times New Roman"/>
      <w:b/>
      <w:bCs/>
      <w:kern w:val="32"/>
      <w:sz w:val="32"/>
      <w:szCs w:val="32"/>
    </w:rPr>
  </w:style>
  <w:style w:type="paragraph" w:customStyle="1" w:styleId="Normaalne">
    <w:name w:val="Normaalne"/>
    <w:basedOn w:val="Normal"/>
    <w:rsid w:val="001B4515"/>
    <w:pPr>
      <w:spacing w:after="0" w:line="240" w:lineRule="auto"/>
      <w:jc w:val="both"/>
    </w:pPr>
    <w:rPr>
      <w:rFonts w:ascii="Verdana" w:eastAsia="Times New Roman" w:hAnsi="Verdana" w:cs="Times New Roman"/>
      <w:sz w:val="24"/>
      <w:szCs w:val="20"/>
      <w:lang w:eastAsia="zh-TW"/>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B27253"/>
    <w:rPr>
      <w:color w:val="954F72" w:themeColor="followedHyperlink"/>
      <w:u w:val="single"/>
    </w:rPr>
  </w:style>
  <w:style w:type="character" w:customStyle="1" w:styleId="UnresolvedMention1">
    <w:name w:val="Unresolved Mention1"/>
    <w:basedOn w:val="DefaultParagraphFont"/>
    <w:uiPriority w:val="99"/>
    <w:semiHidden/>
    <w:unhideWhenUsed/>
    <w:rsid w:val="0063132E"/>
    <w:rPr>
      <w:color w:val="808080"/>
      <w:shd w:val="clear" w:color="auto" w:fill="E6E6E6"/>
    </w:rPr>
  </w:style>
  <w:style w:type="paragraph" w:styleId="Header">
    <w:name w:val="header"/>
    <w:basedOn w:val="Normal"/>
    <w:link w:val="HeaderChar"/>
    <w:uiPriority w:val="99"/>
    <w:unhideWhenUsed/>
    <w:rsid w:val="002E1BD9"/>
    <w:pPr>
      <w:tabs>
        <w:tab w:val="center" w:pos="4536"/>
        <w:tab w:val="right" w:pos="9072"/>
      </w:tabs>
      <w:spacing w:after="0" w:line="240" w:lineRule="auto"/>
    </w:pPr>
  </w:style>
  <w:style w:type="character" w:customStyle="1" w:styleId="HeaderChar">
    <w:name w:val="Header Char"/>
    <w:basedOn w:val="DefaultParagraphFont"/>
    <w:link w:val="Header"/>
    <w:uiPriority w:val="99"/>
    <w:rsid w:val="002E1BD9"/>
  </w:style>
  <w:style w:type="paragraph" w:styleId="Footer">
    <w:name w:val="footer"/>
    <w:basedOn w:val="Normal"/>
    <w:link w:val="FooterChar"/>
    <w:uiPriority w:val="99"/>
    <w:unhideWhenUsed/>
    <w:rsid w:val="002E1BD9"/>
    <w:pPr>
      <w:tabs>
        <w:tab w:val="center" w:pos="4536"/>
        <w:tab w:val="right" w:pos="9072"/>
      </w:tabs>
      <w:spacing w:after="0" w:line="240" w:lineRule="auto"/>
    </w:pPr>
  </w:style>
  <w:style w:type="character" w:customStyle="1" w:styleId="FooterChar">
    <w:name w:val="Footer Char"/>
    <w:basedOn w:val="DefaultParagraphFont"/>
    <w:link w:val="Footer"/>
    <w:uiPriority w:val="99"/>
    <w:rsid w:val="002E1BD9"/>
  </w:style>
  <w:style w:type="character" w:styleId="UnresolvedMention">
    <w:name w:val="Unresolved Mention"/>
    <w:basedOn w:val="DefaultParagraphFont"/>
    <w:uiPriority w:val="99"/>
    <w:semiHidden/>
    <w:unhideWhenUsed/>
    <w:rsid w:val="001D54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59629">
      <w:bodyDiv w:val="1"/>
      <w:marLeft w:val="0"/>
      <w:marRight w:val="0"/>
      <w:marTop w:val="0"/>
      <w:marBottom w:val="0"/>
      <w:divBdr>
        <w:top w:val="none" w:sz="0" w:space="0" w:color="auto"/>
        <w:left w:val="none" w:sz="0" w:space="0" w:color="auto"/>
        <w:bottom w:val="none" w:sz="0" w:space="0" w:color="auto"/>
        <w:right w:val="none" w:sz="0" w:space="0" w:color="auto"/>
      </w:divBdr>
    </w:div>
    <w:div w:id="322244969">
      <w:bodyDiv w:val="1"/>
      <w:marLeft w:val="0"/>
      <w:marRight w:val="0"/>
      <w:marTop w:val="0"/>
      <w:marBottom w:val="0"/>
      <w:divBdr>
        <w:top w:val="none" w:sz="0" w:space="0" w:color="auto"/>
        <w:left w:val="none" w:sz="0" w:space="0" w:color="auto"/>
        <w:bottom w:val="none" w:sz="0" w:space="0" w:color="auto"/>
        <w:right w:val="none" w:sz="0" w:space="0" w:color="auto"/>
      </w:divBdr>
    </w:div>
    <w:div w:id="516508128">
      <w:bodyDiv w:val="1"/>
      <w:marLeft w:val="0"/>
      <w:marRight w:val="0"/>
      <w:marTop w:val="0"/>
      <w:marBottom w:val="0"/>
      <w:divBdr>
        <w:top w:val="none" w:sz="0" w:space="0" w:color="auto"/>
        <w:left w:val="none" w:sz="0" w:space="0" w:color="auto"/>
        <w:bottom w:val="none" w:sz="0" w:space="0" w:color="auto"/>
        <w:right w:val="none" w:sz="0" w:space="0" w:color="auto"/>
      </w:divBdr>
    </w:div>
    <w:div w:id="1187449780">
      <w:bodyDiv w:val="1"/>
      <w:marLeft w:val="0"/>
      <w:marRight w:val="0"/>
      <w:marTop w:val="0"/>
      <w:marBottom w:val="0"/>
      <w:divBdr>
        <w:top w:val="none" w:sz="0" w:space="0" w:color="auto"/>
        <w:left w:val="none" w:sz="0" w:space="0" w:color="auto"/>
        <w:bottom w:val="none" w:sz="0" w:space="0" w:color="auto"/>
        <w:right w:val="none" w:sz="0" w:space="0" w:color="auto"/>
      </w:divBdr>
    </w:div>
    <w:div w:id="1293705061">
      <w:bodyDiv w:val="1"/>
      <w:marLeft w:val="0"/>
      <w:marRight w:val="0"/>
      <w:marTop w:val="0"/>
      <w:marBottom w:val="0"/>
      <w:divBdr>
        <w:top w:val="none" w:sz="0" w:space="0" w:color="auto"/>
        <w:left w:val="none" w:sz="0" w:space="0" w:color="auto"/>
        <w:bottom w:val="none" w:sz="0" w:space="0" w:color="auto"/>
        <w:right w:val="none" w:sz="0" w:space="0" w:color="auto"/>
      </w:divBdr>
    </w:div>
    <w:div w:id="150662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iigihanked.riik.ee"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1527952-2f98-4d87-846f-f09f9c0291c7">
      <Terms xmlns="http://schemas.microsoft.com/office/infopath/2007/PartnerControls"/>
    </lcf76f155ced4ddcb4097134ff3c332f>
    <TaxCatchAll xmlns="37328734-b731-4a09-a933-5cb04ce7b0b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6456DEDBFFEA0446A8376F4BA779B004" ma:contentTypeVersion="20" ma:contentTypeDescription="Loo uus dokument" ma:contentTypeScope="" ma:versionID="8e6b0ce3fc326e8a9891f64816741d95">
  <xsd:schema xmlns:xsd="http://www.w3.org/2001/XMLSchema" xmlns:xs="http://www.w3.org/2001/XMLSchema" xmlns:p="http://schemas.microsoft.com/office/2006/metadata/properties" xmlns:ns2="a1527952-2f98-4d87-846f-f09f9c0291c7" xmlns:ns3="37328734-b731-4a09-a933-5cb04ce7b0b5" targetNamespace="http://schemas.microsoft.com/office/2006/metadata/properties" ma:root="true" ma:fieldsID="332969c0334aa909e667fe34cadf17cf" ns2:_="" ns3:_="">
    <xsd:import namespace="a1527952-2f98-4d87-846f-f09f9c0291c7"/>
    <xsd:import namespace="37328734-b731-4a09-a933-5cb04ce7b0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27952-2f98-4d87-846f-f09f9c0291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Pildisildid" ma:readOnly="false" ma:fieldId="{5cf76f15-5ced-4ddc-b409-7134ff3c332f}" ma:taxonomyMulti="true" ma:sspId="42fc8c34-6131-460a-a028-367db9ee0e7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328734-b731-4a09-a933-5cb04ce7b0b5" elementFormDefault="qualified">
    <xsd:import namespace="http://schemas.microsoft.com/office/2006/documentManagement/types"/>
    <xsd:import namespace="http://schemas.microsoft.com/office/infopath/2007/PartnerControls"/>
    <xsd:element name="SharedWithUsers" ma:index="14" nillable="true" ma:displayName="Ühiskasutuse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Ühiskasutusse andmise üksikasjad" ma:internalName="SharedWithDetails" ma:readOnly="true">
      <xsd:simpleType>
        <xsd:restriction base="dms:Note">
          <xsd:maxLength value="255"/>
        </xsd:restriction>
      </xsd:simpleType>
    </xsd:element>
    <xsd:element name="TaxCatchAll" ma:index="23" nillable="true" ma:displayName="Taxonomy Catch All Column" ma:hidden="true" ma:list="{e2452563-2c40-44f0-8e27-8ffef175d897}" ma:internalName="TaxCatchAll" ma:showField="CatchAllData" ma:web="37328734-b731-4a09-a933-5cb04ce7b0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CEA242-21DB-417F-880C-68266B70A032}">
  <ds:schemaRefs>
    <ds:schemaRef ds:uri="http://schemas.microsoft.com/sharepoint/v3/contenttype/forms"/>
  </ds:schemaRefs>
</ds:datastoreItem>
</file>

<file path=customXml/itemProps2.xml><?xml version="1.0" encoding="utf-8"?>
<ds:datastoreItem xmlns:ds="http://schemas.openxmlformats.org/officeDocument/2006/customXml" ds:itemID="{27AA54B9-32A3-4058-B768-BD188E0F6FF9}">
  <ds:schemaRefs>
    <ds:schemaRef ds:uri="http://schemas.microsoft.com/office/2006/metadata/properties"/>
    <ds:schemaRef ds:uri="http://schemas.microsoft.com/office/infopath/2007/PartnerControls"/>
    <ds:schemaRef ds:uri="a1527952-2f98-4d87-846f-f09f9c0291c7"/>
    <ds:schemaRef ds:uri="37328734-b731-4a09-a933-5cb04ce7b0b5"/>
  </ds:schemaRefs>
</ds:datastoreItem>
</file>

<file path=customXml/itemProps3.xml><?xml version="1.0" encoding="utf-8"?>
<ds:datastoreItem xmlns:ds="http://schemas.openxmlformats.org/officeDocument/2006/customXml" ds:itemID="{1BFBE025-F083-4C9F-9B5C-E4A1D2448465}"/>
</file>

<file path=docMetadata/LabelInfo.xml><?xml version="1.0" encoding="utf-8"?>
<clbl:labelList xmlns:clbl="http://schemas.microsoft.com/office/2020/mipLabelMetadata">
  <clbl:label id="{15cd778b-2b28-4ebc-956c-b5977a36cd28}" enabled="0" method="" siteId="{15cd778b-2b28-4ebc-956c-b5977a36cd28}"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3</Pages>
  <Words>1298</Words>
  <Characters>7534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Noorkõiv</dc:creator>
  <cp:keywords/>
  <dc:description/>
  <cp:lastModifiedBy>Birgit Jundas</cp:lastModifiedBy>
  <cp:revision>6</cp:revision>
  <dcterms:created xsi:type="dcterms:W3CDTF">2025-08-11T10:36:00Z</dcterms:created>
  <dcterms:modified xsi:type="dcterms:W3CDTF">2025-08-18T09:14:00Z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0x0101006456DEDBFFEA0446A8376F4BA779B004</vt:lpwstr>
  </property>
  <property fmtid="{D5CDD505-2E9C-101B-9397-08002B2CF9AE}" pid="3" name="Order">
    <vt:r8>6603400</vt:r8>
  </property>
  <property fmtid="{D5CDD505-2E9C-101B-9397-08002B2CF9AE}" pid="4" name="AuthorIds_UIVersion_1024">
    <vt:lpwstr>24</vt:lpwstr>
  </property>
  <property fmtid="{D5CDD505-2E9C-101B-9397-08002B2CF9AE}" pid="5" name="MediaServiceImageTags">
    <vt:lpwstr/>
  </property>
</Properties>
</file>