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7A4B"/>
          <w:sz w:val="40"/>
        </w:rPr>
        <w:t>theGoodintro — Business model and charity flow</w:t>
      </w:r>
    </w:p>
    <w:p>
      <w:r>
        <w:rPr>
          <w:b/>
        </w:rPr>
        <w:t>Entity:</w:t>
      </w:r>
      <w:r>
        <w:t xml:space="preserve"> theGoodintro Pty Ltd, an Australian company (to be incorporated). Pre-launch.</w:t>
      </w:r>
    </w:p>
    <w:p>
      <w:r>
        <w:rPr>
          <w:b/>
        </w:rPr>
        <w:t>Maintained by:</w:t>
      </w:r>
      <w:r>
        <w:t xml:space="preserve"> Isobel Hardwick, Founder. issy@thegoodintros.com</w:t>
      </w:r>
    </w:p>
    <w:p>
      <w:r>
        <w:rPr>
          <w:b/>
        </w:rPr>
        <w:t>Source of truth.</w:t>
      </w:r>
      <w:r>
        <w:t xml:space="preserve"> This is the canonical record of how money flows through the</w:t>
      </w:r>
    </w:p>
    <w:p>
      <w:r>
        <w:t xml:space="preserve">business. The house-style </w:t>
      </w:r>
      <w:r>
        <w:rPr>
          <w:rFonts w:ascii="Consolas" w:hAnsi="Consolas"/>
          <w:sz w:val="20"/>
        </w:rPr>
        <w:t>theGoodintro-charity-flow-briefing.docx</w:t>
      </w:r>
      <w:r>
        <w:t xml:space="preserve"> is generated</w:t>
      </w:r>
    </w:p>
    <w:p>
      <w:r>
        <w:t>from this file for sharing with advisors. House rule: no em or en dashes in prose</w:t>
      </w:r>
    </w:p>
    <w:p>
      <w:r>
        <w:t>(en dashes only inside numeric ranges).</w:t>
      </w:r>
    </w:p>
    <w:p>
      <w:r>
        <w:rPr>
          <w:b/>
          <w:color w:val="1B7A4B"/>
          <w:sz w:val="30"/>
        </w:rPr>
        <w:t>Decision (26 May 2026): we operate the donation model (Model 2)</w:t>
      </w:r>
    </w:p>
    <w:p>
      <w:r>
        <w:t xml:space="preserve">We have chosen to run theGoodintro as a </w:t>
      </w:r>
      <w:r>
        <w:rPr>
          <w:b/>
        </w:rPr>
        <w:t>for-profit donation model</w:t>
      </w:r>
      <w:r>
        <w:t>, not a</w:t>
      </w:r>
    </w:p>
    <w:p>
      <w:r>
        <w:t>pass-through or conduit. In essence this mirrors how MeetMagic operates: the</w:t>
      </w:r>
    </w:p>
    <w:p>
      <w:r>
        <w:t>business earns the meeting fee as its own revenue and then makes the charitable</w:t>
      </w:r>
    </w:p>
    <w:p>
      <w:r>
        <w:t>donation itself. theGoodintro never holds money on the charity's behalf.</w:t>
      </w:r>
    </w:p>
    <w:p>
      <w:r>
        <w:t>We considered and rejected the pass-through model (Model 1), where the gift would</w:t>
      </w:r>
    </w:p>
    <w:p>
      <w:r>
        <w:t>be the charity's money from the moment the vendor pays and the charity would</w:t>
      </w:r>
    </w:p>
    <w:p>
      <w:r>
        <w:t>receipt the vendor directly. Model 1 gives a better GST position and lets the</w:t>
      </w:r>
    </w:p>
    <w:p>
      <w:r>
        <w:t>vendor claim the gift, but it makes us a fundraiser handling charity money, which</w:t>
      </w:r>
    </w:p>
    <w:p>
      <w:r>
        <w:t>triggers state-based charitable fundraising registration, trust or escrow</w:t>
      </w:r>
    </w:p>
    <w:p>
      <w:r>
        <w:t>obligations, and agreements with each charity. We chose the simpler, lower-risk</w:t>
      </w:r>
    </w:p>
    <w:p>
      <w:r>
        <w:t>path.</w:t>
      </w:r>
    </w:p>
    <w:p>
      <w:r>
        <w:rPr>
          <w:b/>
          <w:color w:val="1B7A4B"/>
          <w:sz w:val="30"/>
        </w:rPr>
        <w:t>What theGoodintro is</w:t>
      </w:r>
    </w:p>
    <w:p>
      <w:r>
        <w:t>theGoodintro is an invite-only Australian network that connects vetted software</w:t>
      </w:r>
    </w:p>
    <w:p>
      <w:r>
        <w:t>vendors with senior executives for a single, qualified meeting. Every meeting</w:t>
      </w:r>
    </w:p>
    <w:p>
      <w:r>
        <w:t>funds a gift to a registered charity that the executive chooses. The executive</w:t>
      </w:r>
    </w:p>
    <w:p>
      <w:r>
        <w:t>pays nothing. Our purpose is to make commercial introductions that also do</w:t>
      </w:r>
    </w:p>
    <w:p>
      <w:r>
        <w:t>measurable Good, with full transparency over where the money goes.</w:t>
      </w:r>
    </w:p>
    <w:p>
      <w:r>
        <w:rPr>
          <w:b/>
          <w:color w:val="1B7A4B"/>
          <w:sz w:val="30"/>
        </w:rPr>
        <w:t>How the money flows under the donation model</w:t>
      </w:r>
    </w:p>
    <w:p>
      <w:r>
        <w:t>A vetted vendor requests a meeting with an executive whose stated priorities fit.</w:t>
      </w:r>
    </w:p>
    <w:p>
      <w:r>
        <w:t>The vendor pays only for meetings that are actually held. No-shows are not charged.</w:t>
      </w:r>
    </w:p>
    <w:p>
      <w:r>
        <w:t>The vendor pays a flat $1,500 AUD per held meeting. The whole fee is theGoodintro's</w:t>
      </w:r>
    </w:p>
    <w:p>
      <w:r>
        <w:t>revenue. We then donate a fixed portion to the executive's nominated charity from</w:t>
      </w:r>
    </w:p>
    <w:p>
      <w:r>
        <w:t>our own funds, and that gift rises with the number of meetings the vendor takes</w:t>
      </w:r>
    </w:p>
    <w:p>
      <w:r>
        <w:t>across the year: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Meetings per year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Gift to chosen charity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Net to theGoodintro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Total per meeting</w:t>
            </w:r>
          </w:p>
        </w:tc>
      </w:tr>
      <w:tr>
        <w:tc>
          <w:tcPr>
            <w:tcW w:type="dxa" w:w="2160"/>
          </w:tcPr>
          <w:p>
            <w:r/>
            <w:r>
              <w:t>1–5</w:t>
            </w:r>
          </w:p>
        </w:tc>
        <w:tc>
          <w:tcPr>
            <w:tcW w:type="dxa" w:w="2160"/>
          </w:tcPr>
          <w:p>
            <w:r/>
            <w:r>
              <w:t>$900</w:t>
            </w:r>
          </w:p>
        </w:tc>
        <w:tc>
          <w:tcPr>
            <w:tcW w:type="dxa" w:w="2160"/>
          </w:tcPr>
          <w:p>
            <w:r/>
            <w:r>
              <w:t>$600</w:t>
            </w:r>
          </w:p>
        </w:tc>
        <w:tc>
          <w:tcPr>
            <w:tcW w:type="dxa" w:w="2160"/>
          </w:tcPr>
          <w:p>
            <w:r/>
            <w:r>
              <w:t>$1,500</w:t>
            </w:r>
          </w:p>
        </w:tc>
      </w:tr>
      <w:tr>
        <w:tc>
          <w:tcPr>
            <w:tcW w:type="dxa" w:w="2160"/>
          </w:tcPr>
          <w:p>
            <w:r/>
            <w:r>
              <w:t>6–10</w:t>
            </w:r>
          </w:p>
        </w:tc>
        <w:tc>
          <w:tcPr>
            <w:tcW w:type="dxa" w:w="2160"/>
          </w:tcPr>
          <w:p>
            <w:r/>
            <w:r>
              <w:t>$1,000</w:t>
            </w:r>
          </w:p>
        </w:tc>
        <w:tc>
          <w:tcPr>
            <w:tcW w:type="dxa" w:w="2160"/>
          </w:tcPr>
          <w:p>
            <w:r/>
            <w:r>
              <w:t>$500</w:t>
            </w:r>
          </w:p>
        </w:tc>
        <w:tc>
          <w:tcPr>
            <w:tcW w:type="dxa" w:w="2160"/>
          </w:tcPr>
          <w:p>
            <w:r/>
            <w:r>
              <w:t>$1,500</w:t>
            </w:r>
          </w:p>
        </w:tc>
      </w:tr>
      <w:tr>
        <w:tc>
          <w:tcPr>
            <w:tcW w:type="dxa" w:w="2160"/>
          </w:tcPr>
          <w:p>
            <w:r/>
            <w:r>
              <w:t>11–15</w:t>
            </w:r>
          </w:p>
        </w:tc>
        <w:tc>
          <w:tcPr>
            <w:tcW w:type="dxa" w:w="2160"/>
          </w:tcPr>
          <w:p>
            <w:r/>
            <w:r>
              <w:t>$1,100</w:t>
            </w:r>
          </w:p>
        </w:tc>
        <w:tc>
          <w:tcPr>
            <w:tcW w:type="dxa" w:w="2160"/>
          </w:tcPr>
          <w:p>
            <w:r/>
            <w:r>
              <w:t>$400</w:t>
            </w:r>
          </w:p>
        </w:tc>
        <w:tc>
          <w:tcPr>
            <w:tcW w:type="dxa" w:w="2160"/>
          </w:tcPr>
          <w:p>
            <w:r/>
            <w:r>
              <w:t>$1,500</w:t>
            </w:r>
          </w:p>
        </w:tc>
      </w:tr>
      <w:tr>
        <w:tc>
          <w:tcPr>
            <w:tcW w:type="dxa" w:w="2160"/>
          </w:tcPr>
          <w:p>
            <w:r/>
            <w:r>
              <w:t>16 or more</w:t>
            </w:r>
          </w:p>
        </w:tc>
        <w:tc>
          <w:tcPr>
            <w:tcW w:type="dxa" w:w="2160"/>
          </w:tcPr>
          <w:p>
            <w:r/>
            <w:r>
              <w:t>$1,200</w:t>
            </w:r>
          </w:p>
        </w:tc>
        <w:tc>
          <w:tcPr>
            <w:tcW w:type="dxa" w:w="2160"/>
          </w:tcPr>
          <w:p>
            <w:r/>
            <w:r>
              <w:t>$300</w:t>
            </w:r>
          </w:p>
        </w:tc>
        <w:tc>
          <w:tcPr>
            <w:tcW w:type="dxa" w:w="2160"/>
          </w:tcPr>
          <w:p>
            <w:r/>
            <w:r>
              <w:t>$1,500</w:t>
            </w:r>
          </w:p>
        </w:tc>
      </w:tr>
    </w:tbl>
    <w:p>
      <w:pPr>
        <w:pStyle w:val="ListBullet"/>
      </w:pPr>
      <w:r>
        <w:t xml:space="preserve">The full $1,500 is </w:t>
      </w:r>
      <w:r>
        <w:rPr>
          <w:b/>
        </w:rPr>
        <w:t>theGoodintro's assessable income</w:t>
      </w:r>
      <w:r>
        <w:t>. The gift is an expense</w:t>
      </w:r>
    </w:p>
    <w:p>
      <w:r>
        <w:t xml:space="preserve">  we pay out of that income, not money we hold for the charity.</w:t>
      </w:r>
    </w:p>
    <w:p>
      <w:pPr>
        <w:pStyle w:val="ListBullet"/>
      </w:pPr>
      <w:r>
        <w:t>We donate the gift to the executive's nominated charity after the meeting is held.</w:t>
      </w:r>
    </w:p>
    <w:p>
      <w:r>
        <w:t xml:space="preserve">  We intend that every nominated charity holds </w:t>
      </w:r>
      <w:r>
        <w:rPr>
          <w:b/>
        </w:rPr>
        <w:t>DGR endorsement</w:t>
      </w:r>
      <w:r>
        <w:t>, so our donation</w:t>
      </w:r>
    </w:p>
    <w:p>
      <w:r>
        <w:t xml:space="preserve">  is tax-deductible to theGoodintro.</w:t>
      </w:r>
    </w:p>
    <w:p>
      <w:pPr>
        <w:pStyle w:val="ListBullet"/>
      </w:pPr>
      <w:r>
        <w:t>The "platform admin fee" framing (the $300 to $600) is the net we keep after the</w:t>
      </w:r>
    </w:p>
    <w:p>
      <w:r>
        <w:t xml:space="preserve">  gift. It is no longer accurate to call it our "only revenue": all $1,500 is</w:t>
      </w:r>
    </w:p>
    <w:p>
      <w:r>
        <w:t xml:space="preserve">  revenue, and the gift is a deductible donation we choose to make.</w:t>
      </w:r>
    </w:p>
    <w:p>
      <w:r>
        <w:rPr>
          <w:b/>
          <w:color w:val="1B7A4B"/>
          <w:sz w:val="30"/>
        </w:rPr>
        <w:t>What the donation model means</w:t>
      </w:r>
    </w:p>
    <w:p>
      <w:pPr>
        <w:pStyle w:val="ListBullet"/>
      </w:pPr>
      <w:r>
        <w:rPr>
          <w:b/>
        </w:rPr>
        <w:t>Who is the donor:</w:t>
      </w:r>
      <w:r>
        <w:t xml:space="preserve"> theGoodintro is the donor. theGoodintro makes the gift and</w:t>
      </w:r>
    </w:p>
    <w:p>
      <w:r>
        <w:t xml:space="preserve">  claims the deduction. The </w:t>
      </w:r>
      <w:r>
        <w:rPr>
          <w:b/>
        </w:rPr>
        <w:t>vendor is not the donor</w:t>
      </w:r>
      <w:r>
        <w:t xml:space="preserve"> and does not receive a</w:t>
      </w:r>
    </w:p>
    <w:p>
      <w:r>
        <w:t xml:space="preserve">  charity gift receipt.</w:t>
      </w:r>
    </w:p>
    <w:p>
      <w:pPr>
        <w:pStyle w:val="ListBullet"/>
      </w:pPr>
      <w:r>
        <w:rPr>
          <w:b/>
        </w:rPr>
        <w:t>Vendor's tax position:</w:t>
      </w:r>
      <w:r>
        <w:t xml:space="preserve"> the vendor pays for an introduction service. Their</w:t>
      </w:r>
    </w:p>
    <w:p>
      <w:r>
        <w:t xml:space="preserve">  $1,500 is an ordinary deductible </w:t>
      </w:r>
      <w:r>
        <w:rPr>
          <w:b/>
        </w:rPr>
        <w:t>business expense</w:t>
      </w:r>
      <w:r>
        <w:t>, not a tax-deductible</w:t>
      </w:r>
    </w:p>
    <w:p>
      <w:r>
        <w:t xml:space="preserve">  donation. We must not tell vendors they receive a deductible gift receipt.</w:t>
      </w:r>
    </w:p>
    <w:p>
      <w:pPr>
        <w:pStyle w:val="ListBullet"/>
      </w:pPr>
      <w:r>
        <w:rPr>
          <w:b/>
        </w:rPr>
        <w:t>GST:</w:t>
      </w:r>
      <w:r>
        <w:t xml:space="preserve"> the whole $1,500 is consideration for our service, so GST applies to the</w:t>
      </w:r>
    </w:p>
    <w:p>
      <w:r>
        <w:t xml:space="preserve">  </w:t>
      </w:r>
      <w:r>
        <w:rPr>
          <w:b/>
        </w:rPr>
        <w:t>full $1,500</w:t>
      </w:r>
      <w:r>
        <w:t xml:space="preserve"> (not just the net). We register for GST once turnover passes</w:t>
      </w:r>
    </w:p>
    <w:p>
      <w:r>
        <w:t xml:space="preserve">  $75,000, which we expect to cross, so GST is built into pricing from launch.</w:t>
      </w:r>
    </w:p>
    <w:p>
      <w:pPr>
        <w:pStyle w:val="ListBullet"/>
      </w:pPr>
      <w:r>
        <w:rPr>
          <w:b/>
        </w:rPr>
        <w:t>Income tax:</w:t>
      </w:r>
      <w:r>
        <w:t xml:space="preserve"> our donation to a DGR reduces our taxable income. A gift deduction</w:t>
      </w:r>
    </w:p>
    <w:p>
      <w:r>
        <w:t xml:space="preserve">  cannot create or increase a tax loss, so in a low-profit year part of the</w:t>
      </w:r>
    </w:p>
    <w:p>
      <w:r>
        <w:t xml:space="preserve">  deduction may need to be spread forward (up to five years by election). Cashflow</w:t>
      </w:r>
    </w:p>
    <w:p>
      <w:r>
        <w:t xml:space="preserve">  point to watch.</w:t>
      </w:r>
    </w:p>
    <w:p>
      <w:pPr>
        <w:pStyle w:val="ListBullet"/>
      </w:pPr>
      <w:r>
        <w:rPr>
          <w:b/>
        </w:rPr>
        <w:t>Not a fundraiser:</w:t>
      </w:r>
      <w:r>
        <w:t xml:space="preserve"> because we never hold the charity's money, we do not trigger</w:t>
      </w:r>
    </w:p>
    <w:p>
      <w:r>
        <w:t xml:space="preserve">  state-based charitable fundraising registration or trust/escrow obligations on</w:t>
      </w:r>
    </w:p>
    <w:p>
      <w:r>
        <w:t xml:space="preserve">  that basis.</w:t>
      </w:r>
    </w:p>
    <w:p>
      <w:r>
        <w:rPr>
          <w:b/>
          <w:color w:val="1B7A4B"/>
          <w:sz w:val="30"/>
        </w:rPr>
        <w:t>What stays true for the brand</w:t>
      </w:r>
    </w:p>
    <w:p>
      <w:pPr>
        <w:pStyle w:val="ListBullet"/>
      </w:pPr>
      <w:r>
        <w:t xml:space="preserve">The named gift still reaches the charity </w:t>
      </w:r>
      <w:r>
        <w:rPr>
          <w:b/>
        </w:rPr>
        <w:t>in full</w:t>
      </w:r>
      <w:r>
        <w:t>. We fund it from revenue and</w:t>
      </w:r>
    </w:p>
    <w:p>
      <w:r>
        <w:t xml:space="preserve">  never reduce it to cover our costs.</w:t>
      </w:r>
    </w:p>
    <w:p>
      <w:pPr>
        <w:pStyle w:val="ListBullet"/>
      </w:pPr>
      <w:r>
        <w:t>The executive chooses the charity, not us.</w:t>
      </w:r>
    </w:p>
    <w:p>
      <w:pPr>
        <w:pStyle w:val="ListBullet"/>
      </w:pPr>
      <w:r>
        <w:t>The gift is released once the meeting has been held.</w:t>
      </w:r>
    </w:p>
    <w:p>
      <w:pPr>
        <w:pStyle w:val="ListBullet"/>
      </w:pPr>
      <w:r>
        <w:t>Everything is transparent and auditable.</w:t>
      </w:r>
    </w:p>
    <w:p>
      <w:r>
        <w:rPr>
          <w:b/>
          <w:color w:val="1B7A4B"/>
          <w:sz w:val="30"/>
        </w:rPr>
        <w:t>Nominated charity shortlist</w:t>
      </w:r>
    </w:p>
    <w:p>
      <w:r>
        <w:t>Executives nominate their charity from this shortlist. All 15 hold DGR endorsement</w:t>
      </w:r>
    </w:p>
    <w:p>
      <w:r>
        <w:t>(confirmed 26 May 2026 via ABN Lookup). Re-check endorsement periodically, as DGR</w:t>
      </w:r>
    </w:p>
    <w:p>
      <w:r>
        <w:t>status can change.</w:t>
      </w:r>
    </w:p>
    <w:p>
      <w:r>
        <w:t>**Rule: we always donate to the national or global entity, never a state-specific</w:t>
      </w:r>
    </w:p>
    <w:p>
      <w:r>
        <w:t>body.** Several of these run separate state organisations (for example RSPCA, St</w:t>
      </w:r>
    </w:p>
    <w:p>
      <w:r>
        <w:t>Vincent de Paul, Guide Dogs), each with its own ABN and receipting. We pay only the</w:t>
      </w:r>
    </w:p>
    <w:p>
      <w:r>
        <w:t>national entity whose ABN is listed below, so every receipt comes from one</w:t>
      </w:r>
    </w:p>
    <w:p>
      <w:r>
        <w:t>consistent payee per charity.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Charity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Entity name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ABN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DGR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Leukaemia Foundation</w:t>
            </w:r>
          </w:p>
        </w:tc>
        <w:tc>
          <w:tcPr>
            <w:tcW w:type="dxa" w:w="1728"/>
          </w:tcPr>
          <w:p>
            <w:r/>
            <w:r>
              <w:t>The Leukaemia Foundation of Australia Limited</w:t>
            </w:r>
          </w:p>
        </w:tc>
        <w:tc>
          <w:tcPr>
            <w:tcW w:type="dxa" w:w="1728"/>
          </w:tcPr>
          <w:p>
            <w:r/>
            <w:r>
              <w:t>57 057 493 017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Royal Flying Doctor Service (national)</w:t>
            </w:r>
          </w:p>
        </w:tc>
        <w:tc>
          <w:tcPr>
            <w:tcW w:type="dxa" w:w="1728"/>
          </w:tcPr>
          <w:p>
            <w:r/>
            <w:r>
              <w:t>Royal Flying Doctor Service of Australia</w:t>
            </w:r>
          </w:p>
        </w:tc>
        <w:tc>
          <w:tcPr>
            <w:tcW w:type="dxa" w:w="1728"/>
          </w:tcPr>
          <w:p>
            <w:r/>
            <w:r>
              <w:t>74 438 059 643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R U OK?</w:t>
            </w:r>
          </w:p>
        </w:tc>
        <w:tc>
          <w:tcPr>
            <w:tcW w:type="dxa" w:w="1728"/>
          </w:tcPr>
          <w:p>
            <w:r/>
            <w:r>
              <w:t>RUOK? Limited</w:t>
            </w:r>
          </w:p>
        </w:tc>
        <w:tc>
          <w:tcPr>
            <w:tcW w:type="dxa" w:w="1728"/>
          </w:tcPr>
          <w:p>
            <w:r/>
            <w:r>
              <w:t>25 138 676 829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headspace</w:t>
            </w:r>
          </w:p>
        </w:tc>
        <w:tc>
          <w:tcPr>
            <w:tcW w:type="dxa" w:w="1728"/>
          </w:tcPr>
          <w:p>
            <w:r/>
            <w:r>
              <w:t>headspace National Youth Mental Health Foundation Ltd</w:t>
            </w:r>
          </w:p>
        </w:tc>
        <w:tc>
          <w:tcPr>
            <w:tcW w:type="dxa" w:w="1728"/>
          </w:tcPr>
          <w:p>
            <w:r/>
            <w:r>
              <w:t>26 137 533 843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Starlight Children's Foundation</w:t>
            </w:r>
          </w:p>
        </w:tc>
        <w:tc>
          <w:tcPr>
            <w:tcW w:type="dxa" w:w="1728"/>
          </w:tcPr>
          <w:p>
            <w:r/>
            <w:r>
              <w:t>Starlight Children's Foundation Australia</w:t>
            </w:r>
          </w:p>
        </w:tc>
        <w:tc>
          <w:tcPr>
            <w:tcW w:type="dxa" w:w="1728"/>
          </w:tcPr>
          <w:p>
            <w:r/>
            <w:r>
              <w:t>80 931 522 157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Ronald McDonald House Charities (national)</w:t>
            </w:r>
          </w:p>
        </w:tc>
        <w:tc>
          <w:tcPr>
            <w:tcW w:type="dxa" w:w="1728"/>
          </w:tcPr>
          <w:p>
            <w:r/>
            <w:r>
              <w:t>Ronald McDonald House Charities Trust</w:t>
            </w:r>
          </w:p>
        </w:tc>
        <w:tc>
          <w:tcPr>
            <w:tcW w:type="dxa" w:w="1728"/>
          </w:tcPr>
          <w:p>
            <w:r/>
            <w:r>
              <w:t>26 037 589 412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St Vincent de Paul Society (national)</w:t>
            </w:r>
          </w:p>
        </w:tc>
        <w:tc>
          <w:tcPr>
            <w:tcW w:type="dxa" w:w="1728"/>
          </w:tcPr>
          <w:p>
            <w:r/>
            <w:r>
              <w:t>National Council of Australia Incorporated</w:t>
            </w:r>
          </w:p>
        </w:tc>
        <w:tc>
          <w:tcPr>
            <w:tcW w:type="dxa" w:w="1728"/>
          </w:tcPr>
          <w:p>
            <w:r/>
            <w:r>
              <w:t>50 748 098 845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Children's Ground</w:t>
            </w:r>
          </w:p>
        </w:tc>
        <w:tc>
          <w:tcPr>
            <w:tcW w:type="dxa" w:w="1728"/>
          </w:tcPr>
          <w:p>
            <w:r/>
            <w:r>
              <w:t>Children's Ground Limited</w:t>
            </w:r>
          </w:p>
        </w:tc>
        <w:tc>
          <w:tcPr>
            <w:tcW w:type="dxa" w:w="1728"/>
          </w:tcPr>
          <w:p>
            <w:r/>
            <w:r>
              <w:t>74 154 403 086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WWF-Australia</w:t>
            </w:r>
          </w:p>
        </w:tc>
        <w:tc>
          <w:tcPr>
            <w:tcW w:type="dxa" w:w="1728"/>
          </w:tcPr>
          <w:p>
            <w:r/>
            <w:r>
              <w:t>World Wide Fund for Nature Australia</w:t>
            </w:r>
          </w:p>
        </w:tc>
        <w:tc>
          <w:tcPr>
            <w:tcW w:type="dxa" w:w="1728"/>
          </w:tcPr>
          <w:p>
            <w:r/>
            <w:r>
              <w:t>57 001 594 074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RSPCA Australia (national)</w:t>
            </w:r>
          </w:p>
        </w:tc>
        <w:tc>
          <w:tcPr>
            <w:tcW w:type="dxa" w:w="1728"/>
          </w:tcPr>
          <w:p>
            <w:r/>
            <w:r>
              <w:t>RSPCA Australia</w:t>
            </w:r>
          </w:p>
        </w:tc>
        <w:tc>
          <w:tcPr>
            <w:tcW w:type="dxa" w:w="1728"/>
          </w:tcPr>
          <w:p>
            <w:r/>
            <w:r>
              <w:t>99 668 654 249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Guide Dogs Australia (national)</w:t>
            </w:r>
          </w:p>
        </w:tc>
        <w:tc>
          <w:tcPr>
            <w:tcW w:type="dxa" w:w="1728"/>
          </w:tcPr>
          <w:p>
            <w:r/>
            <w:r>
              <w:t>Royal Guide Dogs Australia</w:t>
            </w:r>
          </w:p>
        </w:tc>
        <w:tc>
          <w:tcPr>
            <w:tcW w:type="dxa" w:w="1728"/>
          </w:tcPr>
          <w:p>
            <w:r/>
            <w:r>
              <w:t>99 008 427 423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Save the Children Australia</w:t>
            </w:r>
          </w:p>
        </w:tc>
        <w:tc>
          <w:tcPr>
            <w:tcW w:type="dxa" w:w="1728"/>
          </w:tcPr>
          <w:p>
            <w:r/>
            <w:r>
              <w:t>Save the Children Australia</w:t>
            </w:r>
          </w:p>
        </w:tc>
        <w:tc>
          <w:tcPr>
            <w:tcW w:type="dxa" w:w="1728"/>
          </w:tcPr>
          <w:p>
            <w:r/>
            <w:r>
              <w:t>99 008 610 035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World Vision Australia</w:t>
            </w:r>
          </w:p>
        </w:tc>
        <w:tc>
          <w:tcPr>
            <w:tcW w:type="dxa" w:w="1728"/>
          </w:tcPr>
          <w:p>
            <w:r/>
            <w:r>
              <w:t>World Vision Australia</w:t>
            </w:r>
          </w:p>
        </w:tc>
        <w:tc>
          <w:tcPr>
            <w:tcW w:type="dxa" w:w="1728"/>
          </w:tcPr>
          <w:p>
            <w:r/>
            <w:r>
              <w:t>28 004 778 081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Cerebral Palsy Alliance</w:t>
            </w:r>
          </w:p>
        </w:tc>
        <w:tc>
          <w:tcPr>
            <w:tcW w:type="dxa" w:w="1728"/>
          </w:tcPr>
          <w:p>
            <w:r/>
            <w:r>
              <w:t>Cerebral Palsy Alliance</w:t>
            </w:r>
          </w:p>
        </w:tc>
        <w:tc>
          <w:tcPr>
            <w:tcW w:type="dxa" w:w="1728"/>
          </w:tcPr>
          <w:p>
            <w:r/>
            <w:r>
              <w:t>45 000 062 288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Cancer Council Australia</w:t>
            </w:r>
          </w:p>
        </w:tc>
        <w:tc>
          <w:tcPr>
            <w:tcW w:type="dxa" w:w="1728"/>
          </w:tcPr>
          <w:p>
            <w:r/>
            <w:r>
              <w:t>The Cancer Council Australia</w:t>
            </w:r>
          </w:p>
        </w:tc>
        <w:tc>
          <w:tcPr>
            <w:tcW w:type="dxa" w:w="1728"/>
          </w:tcPr>
          <w:p>
            <w:r/>
            <w:r>
              <w:t>91 130 793 725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</w:tr>
    </w:tbl>
    <w:p>
      <w:r>
        <w:rPr>
          <w:b/>
          <w:color w:val="1B7A4B"/>
          <w:sz w:val="30"/>
        </w:rPr>
        <w:t>Website copy this decision changes (NOT yet updated)</w:t>
      </w:r>
    </w:p>
    <w:p>
      <w:r>
        <w:t>Do not publish until Issy confirms. These currently describe Model 1 and are now</w:t>
      </w:r>
    </w:p>
    <w:p>
      <w:r>
        <w:t>inaccurate:</w:t>
      </w:r>
    </w:p>
    <w:p>
      <w:pPr>
        <w:pStyle w:val="ListNumber"/>
      </w:pPr>
      <w:r>
        <w:rPr>
          <w:rFonts w:ascii="Consolas" w:hAnsi="Consolas"/>
          <w:sz w:val="20"/>
        </w:rPr>
        <w:t>app/pricing/page.tsx</w:t>
      </w:r>
      <w:r>
        <w:t xml:space="preserve"> FAQ "Is the charity gift tax-deductible to us? Yes. The</w:t>
      </w:r>
    </w:p>
    <w:p>
      <w:r>
        <w:t xml:space="preserve">   charity issues a tax-deductible receipt directly to you." Under the donation</w:t>
      </w:r>
    </w:p>
    <w:p>
      <w:r>
        <w:t xml:space="preserve">   model this is wrong. The vendor gets no gift receipt; their fee is a business</w:t>
      </w:r>
    </w:p>
    <w:p>
      <w:r>
        <w:t xml:space="preserve">   expense. Reword.</w:t>
      </w:r>
    </w:p>
    <w:p>
      <w:pPr>
        <w:pStyle w:val="ListNumber"/>
      </w:pPr>
      <w:r>
        <w:rPr>
          <w:rFonts w:ascii="Consolas" w:hAnsi="Consolas"/>
          <w:sz w:val="20"/>
        </w:rPr>
        <w:t>copy/vendors.md</w:t>
      </w:r>
      <w:r>
        <w:t xml:space="preserve"> pricing section ("the donation is sent to the leader's chosen</w:t>
      </w:r>
    </w:p>
    <w:p>
      <w:r>
        <w:t xml:space="preserve">   charity", "the admin fee is billed to you, never blended with the gift"). The</w:t>
      </w:r>
    </w:p>
    <w:p>
      <w:r>
        <w:t xml:space="preserve">   "never blended" pass-through framing implies the gift is the vendor's money to</w:t>
      </w:r>
    </w:p>
    <w:p>
      <w:r>
        <w:t xml:space="preserve">   the charity. Reword so it reads as theGoodintro funding the gift.</w:t>
      </w:r>
    </w:p>
    <w:p>
      <w:pPr>
        <w:pStyle w:val="ListNumber"/>
      </w:pPr>
      <w:r>
        <w:t>The GST disclosure "exclude GST" is fine, but GST now applies to the full fee,</w:t>
      </w:r>
    </w:p>
    <w:p>
      <w:r>
        <w:t xml:space="preserve">   so any worked examples should reflect GST on $1,500.</w:t>
      </w:r>
    </w:p>
    <w:p>
      <w:r>
        <w:rPr>
          <w:b/>
          <w:color w:val="1B7A4B"/>
          <w:sz w:val="30"/>
        </w:rPr>
        <w:t>Still to confirm with a tax professional</w:t>
      </w:r>
    </w:p>
    <w:p>
      <w:r>
        <w:t>We can self-serve most of this via the free National Tax Clinic or a small-business</w:t>
      </w:r>
    </w:p>
    <w:p>
      <w:r>
        <w:t>accountant, but get sign-off on:</w:t>
      </w:r>
    </w:p>
    <w:p>
      <w:pPr>
        <w:pStyle w:val="ListNumber"/>
      </w:pPr>
      <w:r>
        <w:t>That the donation model is the right call and our donation to DGRs is deductible</w:t>
      </w:r>
    </w:p>
    <w:p>
      <w:r>
        <w:t xml:space="preserve">   to theGoodintro as described.</w:t>
      </w:r>
    </w:p>
    <w:p>
      <w:pPr>
        <w:pStyle w:val="ListNumber"/>
      </w:pPr>
      <w:r>
        <w:t>GST mechanics and registration timing on the full $1,500.</w:t>
      </w:r>
    </w:p>
    <w:p>
      <w:pPr>
        <w:pStyle w:val="ListNumber"/>
      </w:pPr>
      <w:r>
        <w:t>The "gift deduction cannot create a loss" rule and how to handle it in early</w:t>
      </w:r>
    </w:p>
    <w:p>
      <w:r>
        <w:t xml:space="preserve">   low-profit years.</w:t>
      </w:r>
    </w:p>
    <w:p>
      <w:pPr>
        <w:pStyle w:val="ListNumber"/>
      </w:pPr>
      <w:r>
        <w:t>Confirmation that funding the gift from revenue does not make us a fundraiser</w:t>
      </w:r>
    </w:p>
    <w:p>
      <w:r>
        <w:t xml:space="preserve">   needing state charitable-collections registration.</w:t>
      </w:r>
    </w:p>
    <w:p>
      <w:pPr>
        <w:pStyle w:val="ListNumber"/>
      </w:pPr>
      <w:r>
        <w:t>Founder tax residency: the founder may be tax resident outside Australia. Confirm</w:t>
      </w:r>
    </w:p>
    <w:p>
      <w:r>
        <w:t xml:space="preserve">   whether that affects the recommended structure or the place of incorporation.</w:t>
      </w:r>
    </w:p>
    <w:p>
      <w:r>
        <w:rPr>
          <w:b/>
          <w:color w:val="1B7A4B"/>
          <w:sz w:val="30"/>
        </w:rPr>
        <w:t>Paying a charity (runbook)</w:t>
      </w:r>
    </w:p>
    <w:p>
      <w:r>
        <w:t>The steps for sending one gift, from meeting held to receipt on file. theGoodintro</w:t>
      </w:r>
    </w:p>
    <w:p>
      <w:r>
        <w:t>is the donor.</w:t>
      </w:r>
    </w:p>
    <w:p>
      <w:pPr>
        <w:pStyle w:val="ListNumber"/>
      </w:pPr>
      <w:r>
        <w:rPr>
          <w:b/>
        </w:rPr>
        <w:t>Meeting is held.</w:t>
      </w:r>
      <w:r>
        <w:t xml:space="preserve"> The gift is now owed. The exec already nominated their</w:t>
      </w:r>
    </w:p>
    <w:p>
      <w:r>
        <w:t xml:space="preserve">   charity from the shortlist.</w:t>
      </w:r>
    </w:p>
    <w:p>
      <w:pPr>
        <w:pStyle w:val="ListNumber"/>
      </w:pPr>
      <w:r>
        <w:rPr>
          <w:b/>
        </w:rPr>
        <w:t>Confirm the charity is still a DGR</w:t>
      </w:r>
      <w:r>
        <w:t xml:space="preserve"> on ABN Lookup, using the listed ABN. This</w:t>
      </w:r>
    </w:p>
    <w:p>
      <w:r>
        <w:t xml:space="preserve">   is what keeps our donation deductible.</w:t>
      </w:r>
    </w:p>
    <w:p>
      <w:pPr>
        <w:pStyle w:val="ListNumber"/>
      </w:pPr>
      <w:r>
        <w:rPr>
          <w:b/>
        </w:rPr>
        <w:t>Use the saved payee details.</w:t>
      </w:r>
      <w:r>
        <w:t xml:space="preserve"> Pay the national entity whose ABN is listed,</w:t>
      </w:r>
    </w:p>
    <w:p>
      <w:r>
        <w:t xml:space="preserve">   never a state arm. Verify each charity's donation/EFT details once from an</w:t>
      </w:r>
    </w:p>
    <w:p>
      <w:r>
        <w:t xml:space="preserve">   official source, save them in the giving register, and reuse them so we are never</w:t>
      </w:r>
    </w:p>
    <w:p>
      <w:r>
        <w:t xml:space="preserve">   re-routed to a state body at payment time.</w:t>
      </w:r>
    </w:p>
    <w:p>
      <w:pPr>
        <w:pStyle w:val="ListNumber"/>
      </w:pPr>
      <w:r>
        <w:rPr>
          <w:b/>
        </w:rPr>
        <w:t>Pay by direct bank transfer (EFT).</w:t>
      </w:r>
      <w:r>
        <w:t xml:space="preserve"> Cleanest for a business and lowest fees.</w:t>
      </w:r>
    </w:p>
    <w:p>
      <w:r>
        <w:t xml:space="preserve">   Put "theGoodintro Pty Ltd donation" in the payment reference.</w:t>
      </w:r>
    </w:p>
    <w:p>
      <w:pPr>
        <w:pStyle w:val="ListNumber"/>
      </w:pPr>
      <w:r>
        <w:rPr>
          <w:b/>
        </w:rPr>
        <w:t>Request the receipt in theGoodintro's name</w:t>
      </w:r>
      <w:r>
        <w:t xml:space="preserve"> (theGoodintro Pty Ltd, with our</w:t>
      </w:r>
    </w:p>
    <w:p>
      <w:r>
        <w:t xml:space="preserve">   ABN). It should show the charity's name and ABN, DGR statement, amount, date,</w:t>
      </w:r>
    </w:p>
    <w:p>
      <w:r>
        <w:t xml:space="preserve">   and that it is a gift.</w:t>
      </w:r>
    </w:p>
    <w:p>
      <w:pPr>
        <w:pStyle w:val="ListNumber"/>
      </w:pPr>
      <w:r>
        <w:rPr>
          <w:b/>
        </w:rPr>
        <w:t>File the receipt and record the expense</w:t>
      </w:r>
      <w:r>
        <w:t xml:space="preserve"> in Xero/QuickBooks under Donations,</w:t>
      </w:r>
    </w:p>
    <w:p>
      <w:r>
        <w:t xml:space="preserve">   receipt attached. This is what the accountant uses to claim the deduction.</w:t>
      </w:r>
    </w:p>
    <w:p>
      <w:pPr>
        <w:pStyle w:val="ListNumber"/>
      </w:pPr>
      <w:r>
        <w:rPr>
          <w:b/>
        </w:rPr>
        <w:t>Send written confirmation</w:t>
      </w:r>
      <w:r>
        <w:t xml:space="preserve"> to the exec (and vendor if desired) that $X went to</w:t>
      </w:r>
    </w:p>
    <w:p>
      <w:r>
        <w:t xml:space="preserve">   their chosen charity.</w:t>
      </w:r>
    </w:p>
    <w:p>
      <w:r>
        <w:rPr>
          <w:b/>
          <w:color w:val="1B7A4B"/>
          <w:sz w:val="30"/>
        </w:rPr>
        <w:t>Per-meeting checklist</w:t>
      </w:r>
    </w:p>
    <w:p>
      <w:pPr>
        <w:pStyle w:val="ListBullet"/>
      </w:pPr>
      <w:r>
        <w:t>[ ] Meeting marked sat (outcome captured)</w:t>
      </w:r>
    </w:p>
    <w:p>
      <w:pPr>
        <w:pStyle w:val="ListBullet"/>
      </w:pPr>
      <w:r>
        <w:t>[ ] Gift amount set per the tier at meeting time</w:t>
      </w:r>
    </w:p>
    <w:p>
      <w:pPr>
        <w:pStyle w:val="ListBullet"/>
      </w:pPr>
      <w:r>
        <w:t>[ ] Charity DGR status re-checked on ABN Lookup</w:t>
      </w:r>
    </w:p>
    <w:p>
      <w:pPr>
        <w:pStyle w:val="ListBullet"/>
      </w:pPr>
      <w:r>
        <w:t>[ ] Donation paid to the listed national entity (EFT)</w:t>
      </w:r>
    </w:p>
    <w:p>
      <w:pPr>
        <w:pStyle w:val="ListBullet"/>
      </w:pPr>
      <w:r>
        <w:t>[ ] Receipt received in theGoodintro Pty Ltd's name and filed</w:t>
      </w:r>
    </w:p>
    <w:p>
      <w:pPr>
        <w:pStyle w:val="ListBullet"/>
      </w:pPr>
      <w:r>
        <w:t>[ ] Donation recorded in accounting software</w:t>
      </w:r>
    </w:p>
    <w:p>
      <w:pPr>
        <w:pStyle w:val="ListBullet"/>
      </w:pPr>
      <w:r>
        <w:t>[ ] Confirmation sent to the exec</w:t>
      </w:r>
    </w:p>
    <w:p>
      <w:r>
        <w:rPr>
          <w:b/>
          <w:color w:val="1B7A4B"/>
          <w:sz w:val="30"/>
        </w:rPr>
        <w:t>Tracking and payout runs</w:t>
      </w:r>
    </w:p>
    <w:p>
      <w:r>
        <w:t>We do not pay per meeting by hand at scale. The admin portal's **Giving (donations</w:t>
      </w:r>
    </w:p>
    <w:p>
      <w:r>
        <w:t>and payout runs)</w:t>
      </w:r>
      <w:r>
        <w:rPr>
          <w:b/>
        </w:rPr>
        <w:t xml:space="preserve"> module aggregates all unpaid gifts </w:t>
      </w:r>
      <w:r>
        <w:t>by charity** for a chosen</w:t>
      </w:r>
    </w:p>
    <w:p>
      <w:r>
        <w:t>week or month, so the per-charity total to donate is generated for us. See the</w:t>
      </w:r>
    </w:p>
    <w:p>
      <w:r>
        <w:t>Giving module in ADMIN_PORTAL_BRIEF.md. The runbook above</w:t>
      </w:r>
    </w:p>
    <w:p>
      <w:r>
        <w:t>is the manual fallback and the per-gift detail behind each payout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