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CC2D" w14:textId="77777777" w:rsidR="00710C80" w:rsidRDefault="00000000">
      <w:pPr>
        <w:spacing w:after="40"/>
      </w:pPr>
      <w:r>
        <w:rPr>
          <w:b/>
          <w:bCs/>
          <w:color w:val="1F3864"/>
          <w:sz w:val="34"/>
          <w:szCs w:val="34"/>
        </w:rPr>
        <w:t>Provider Fraud Intelligence System</w:t>
      </w:r>
    </w:p>
    <w:p w14:paraId="3719A580" w14:textId="77777777" w:rsidR="00710C80" w:rsidRDefault="00000000">
      <w:pPr>
        <w:spacing w:after="30"/>
      </w:pPr>
      <w:r>
        <w:rPr>
          <w:color w:val="2E75B6"/>
          <w:sz w:val="22"/>
          <w:szCs w:val="22"/>
        </w:rPr>
        <w:t>Clinical Decision Making and Pattern Recognition in Healthcare</w:t>
      </w:r>
    </w:p>
    <w:p w14:paraId="6DEF0074" w14:textId="7F3F290F" w:rsidR="00710C80" w:rsidRDefault="00000000">
      <w:pPr>
        <w:pBdr>
          <w:bottom w:val="single" w:sz="6" w:space="1" w:color="2E75B6"/>
        </w:pBdr>
        <w:spacing w:after="120"/>
      </w:pPr>
      <w:r>
        <w:rPr>
          <w:color w:val="888888"/>
          <w:sz w:val="18"/>
          <w:szCs w:val="18"/>
        </w:rPr>
        <w:t xml:space="preserve">Aditya Mittal  </w:t>
      </w:r>
    </w:p>
    <w:p w14:paraId="04F163FF" w14:textId="77777777" w:rsidR="00710C80" w:rsidRDefault="00000000">
      <w:pPr>
        <w:pStyle w:val="Heading1"/>
      </w:pPr>
      <w:r>
        <w:t>1. Concept Definition</w:t>
      </w:r>
    </w:p>
    <w:p w14:paraId="3B95D8DF" w14:textId="77777777" w:rsidR="00710C80" w:rsidRDefault="00000000">
      <w:pPr>
        <w:spacing w:after="70"/>
        <w:jc w:val="both"/>
      </w:pPr>
      <w:r>
        <w:t xml:space="preserve">Healthcare payers process hundreds of millions of claims each year. The National Health Care </w:t>
      </w:r>
      <w:proofErr w:type="spellStart"/>
      <w:r>
        <w:t>Anti Fraud</w:t>
      </w:r>
      <w:proofErr w:type="spellEnd"/>
      <w:r>
        <w:t xml:space="preserve"> Association conservatively estimates that about 3% of total health care spending is lost to fraud annually, a figure it describes as tens of billions of dollars, with some government and law enforcement estimates running higher. Rules based engines catch known schemes reliably but cannot adapt as fraud evolves.</w:t>
      </w:r>
    </w:p>
    <w:p w14:paraId="7EADB56E" w14:textId="515689E6" w:rsidR="00710C80" w:rsidRDefault="00000000">
      <w:pPr>
        <w:spacing w:after="70"/>
        <w:jc w:val="both"/>
      </w:pPr>
      <w:r>
        <w:t>I</w:t>
      </w:r>
      <w:r w:rsidR="001B60E6">
        <w:t xml:space="preserve"> </w:t>
      </w:r>
      <w:r>
        <w:t>addressed this problem by building a provider level fraud detection and explanation system. The system aggregates each provider's full billing history into a single profile, scores that profile for fraud risk, and generates a structured investigative explanation of why the profile looks suspicious. A classifier identifies the anomaly, SHAP quantifies which behaviors drove it, and a language model agent reasons over that evidence to produce investigator ready output. The pipeline operates at the provider level, not the individual claim level.</w:t>
      </w:r>
    </w:p>
    <w:p w14:paraId="691635AB" w14:textId="7C376685" w:rsidR="00710C80" w:rsidRDefault="00000000">
      <w:pPr>
        <w:spacing w:after="70"/>
        <w:jc w:val="both"/>
      </w:pPr>
      <w:r>
        <w:t xml:space="preserve">A deliberate design choice was injecting structured domain knowledge directly into each agent prompt. The agent receives a taxonomy of seven fraud schemes including upcoding, phantom billing, physician cycling, and length of stay inflation, along with a plain English description of each and the billing signal </w:t>
      </w:r>
      <w:r w:rsidR="001B60E6">
        <w:t>most associated</w:t>
      </w:r>
      <w:r>
        <w:t xml:space="preserve"> with it. Each flagged feature is also accompanied by a human readable explanation of what it measures and why an elevated value is suspicious. This constrains the hypothesis space to a defined set of known schemes rather than open ended speculation, and pre-translates raw feature names into operationally meaningful descriptions, producing more specific and auditable investigative reasoning.</w:t>
      </w:r>
    </w:p>
    <w:p w14:paraId="1415D2F1" w14:textId="77777777" w:rsidR="00710C80" w:rsidRDefault="00710C80">
      <w:pPr>
        <w:spacing w:after="30"/>
      </w:pPr>
    </w:p>
    <w:p w14:paraId="244A17A8" w14:textId="77777777" w:rsidR="00710C80" w:rsidRDefault="00000000">
      <w:pPr>
        <w:pStyle w:val="Heading1"/>
      </w:pPr>
      <w:r>
        <w:t>2. Relevant Trends</w:t>
      </w:r>
    </w:p>
    <w:p w14:paraId="497A5309" w14:textId="77777777" w:rsidR="00710C80" w:rsidRDefault="00000000">
      <w:pPr>
        <w:pStyle w:val="Heading2"/>
      </w:pPr>
      <w:r>
        <w:t>Scale and Shift to Machine Learning</w:t>
      </w:r>
    </w:p>
    <w:p w14:paraId="74D0534A" w14:textId="77777777" w:rsidR="00710C80" w:rsidRDefault="00000000">
      <w:pPr>
        <w:spacing w:after="70"/>
        <w:jc w:val="both"/>
      </w:pPr>
      <w:r>
        <w:t xml:space="preserve">A Government Accountability Office report released in April 2026 found that CMS uses data analytics to flag anomalous billing patterns such as sudden claim spikes, and that this approach helped identify and suspend payments to 15 providers allegedly involved in billing more than $4 billion for urinary catheters that were never supplied. The same report found that CMS administrative actions prevented an estimated $11.9 billion in potentially fraudulent payments across fiscal years 2022 through 2024. Cotiviti's own 360 Pattern Review, according to the company's published materials, combines prepay and </w:t>
      </w:r>
      <w:proofErr w:type="spellStart"/>
      <w:r>
        <w:t>postpay</w:t>
      </w:r>
      <w:proofErr w:type="spellEnd"/>
      <w:r>
        <w:t xml:space="preserve"> review and is supported by more than 75 credentialed analysts alongside machine learning driven analytics.</w:t>
      </w:r>
    </w:p>
    <w:p w14:paraId="7718219C" w14:textId="77777777" w:rsidR="00710C80" w:rsidRDefault="00000000">
      <w:pPr>
        <w:pStyle w:val="Heading2"/>
      </w:pPr>
      <w:r>
        <w:t>The Explainability Gap</w:t>
      </w:r>
    </w:p>
    <w:p w14:paraId="73CE54E1" w14:textId="77777777" w:rsidR="00710C80" w:rsidRDefault="00000000">
      <w:pPr>
        <w:spacing w:after="70"/>
        <w:jc w:val="both"/>
      </w:pPr>
      <w:r>
        <w:t>Published clinical machine learning research confirms that SHAP values remain difficult for many practitioners to interpret directly, which limits how much raw model output alone supports real world decisions. This gap motivated the language model agent in this project: rather than handing an investigator a SHAP plot, the system translates it into plain language reasoning about what looks unusual and what to check next.</w:t>
      </w:r>
    </w:p>
    <w:p w14:paraId="4D9B3BA4" w14:textId="77777777" w:rsidR="00710C80" w:rsidRDefault="00710C80">
      <w:pPr>
        <w:spacing w:after="30"/>
      </w:pPr>
    </w:p>
    <w:p w14:paraId="574BDED0" w14:textId="77777777" w:rsidR="00710C80" w:rsidRDefault="00000000">
      <w:pPr>
        <w:pStyle w:val="Heading1"/>
      </w:pPr>
      <w:r>
        <w:t>3. Opportunities, Threats, and Limitations</w:t>
      </w:r>
    </w:p>
    <w:p w14:paraId="14AFC268" w14:textId="77777777" w:rsidR="00710C80" w:rsidRDefault="00000000">
      <w:pPr>
        <w:pStyle w:val="Heading2"/>
      </w:pPr>
      <w:r>
        <w:t>Opportunities</w:t>
      </w:r>
    </w:p>
    <w:p w14:paraId="35C1D863" w14:textId="77777777" w:rsidR="00710C80" w:rsidRDefault="00000000">
      <w:pPr>
        <w:pStyle w:val="ListParagraph"/>
        <w:numPr>
          <w:ilvl w:val="0"/>
          <w:numId w:val="2"/>
        </w:numPr>
        <w:spacing w:after="50"/>
      </w:pPr>
      <w:r>
        <w:t>Automating the reasoning layer that currently requires manual interpretation of model output by trained specialists, with the goal of increasing case throughput without increasing headcount.</w:t>
      </w:r>
    </w:p>
    <w:p w14:paraId="6897282D" w14:textId="77777777" w:rsidR="00710C80" w:rsidRDefault="00000000">
      <w:pPr>
        <w:pStyle w:val="ListParagraph"/>
        <w:numPr>
          <w:ilvl w:val="0"/>
          <w:numId w:val="2"/>
        </w:numPr>
        <w:spacing w:after="50"/>
      </w:pPr>
      <w:r>
        <w:t>Lowering the expertise floor for newer investigators by supplying structured context that previously required experience to assemble by hand.</w:t>
      </w:r>
    </w:p>
    <w:p w14:paraId="09ED3ADD" w14:textId="77777777" w:rsidR="00710C80" w:rsidRDefault="00000000">
      <w:pPr>
        <w:pStyle w:val="ListParagraph"/>
        <w:numPr>
          <w:ilvl w:val="0"/>
          <w:numId w:val="2"/>
        </w:numPr>
        <w:spacing w:after="50"/>
      </w:pPr>
      <w:r>
        <w:t>Cotiviti's access to claims data across its payer client base, which according to the company's published materials includes partnerships with more than 45 payers, represents a training data advantage that the public dataset used in this proof of concept cannot replicate.</w:t>
      </w:r>
    </w:p>
    <w:p w14:paraId="6CF7F511" w14:textId="77777777" w:rsidR="00710C80" w:rsidRDefault="00000000">
      <w:pPr>
        <w:pStyle w:val="Heading2"/>
      </w:pPr>
      <w:r>
        <w:t>Threats and Limitations We Faced</w:t>
      </w:r>
    </w:p>
    <w:p w14:paraId="7F8183A2" w14:textId="77777777" w:rsidR="00710C80" w:rsidRDefault="00000000">
      <w:pPr>
        <w:pStyle w:val="ListParagraph"/>
        <w:numPr>
          <w:ilvl w:val="0"/>
          <w:numId w:val="2"/>
        </w:numPr>
        <w:spacing w:after="50"/>
      </w:pPr>
      <w:r>
        <w:t>Provider level labels only. The public dataset used here has no claim level ground truth, so the system scores overall billing patterns and cannot point to a single problematic claim. This is the largest gap between this proof of concept and a production system, and it is a direct consequence of the data available, not a design choice.</w:t>
      </w:r>
    </w:p>
    <w:p w14:paraId="26A3E4CD" w14:textId="77777777" w:rsidR="00710C80" w:rsidRDefault="00000000">
      <w:pPr>
        <w:pStyle w:val="ListParagraph"/>
        <w:numPr>
          <w:ilvl w:val="0"/>
          <w:numId w:val="2"/>
        </w:numPr>
        <w:spacing w:after="50"/>
      </w:pPr>
      <w:r>
        <w:lastRenderedPageBreak/>
        <w:t>Class imbalance. Only 9.35% of providers in our dataset are labeled fraudulent. We addressed this with class weighting and by reporting precision recall area under the curve rather than accuracy, though scarce examples still limit what rare scheme variants the model can learn.</w:t>
      </w:r>
    </w:p>
    <w:p w14:paraId="788D4531" w14:textId="77777777" w:rsidR="00710C80" w:rsidRDefault="00000000">
      <w:pPr>
        <w:pStyle w:val="ListParagraph"/>
        <w:numPr>
          <w:ilvl w:val="0"/>
          <w:numId w:val="2"/>
        </w:numPr>
        <w:spacing w:after="50"/>
      </w:pPr>
      <w:r>
        <w:t>Unverifiable agent output and a real false positive rate. The language model produces plausible reasoning with no ground truth to confirm it is correct, and our test results show 72% precision, meaning roughly 1 in 4 flagged providers was not labeled fraudulent. Every brief is framed as decision support, and a human reviewer must remain in the loop before any provider facing action is taken.</w:t>
      </w:r>
    </w:p>
    <w:p w14:paraId="5EA455E5" w14:textId="77777777" w:rsidR="00710C80" w:rsidRDefault="00000000">
      <w:pPr>
        <w:pStyle w:val="ListParagraph"/>
        <w:numPr>
          <w:ilvl w:val="0"/>
          <w:numId w:val="2"/>
        </w:numPr>
        <w:spacing w:after="50"/>
      </w:pPr>
      <w:r>
        <w:t xml:space="preserve">The dataset is public, several years old, and anonymized, so it cannot reflect current billing </w:t>
      </w:r>
      <w:proofErr w:type="gramStart"/>
      <w:r>
        <w:t>behavior</w:t>
      </w:r>
      <w:proofErr w:type="gramEnd"/>
      <w:r>
        <w:t xml:space="preserve"> or the specific scheme patterns any payer faces today.</w:t>
      </w:r>
    </w:p>
    <w:p w14:paraId="61801E03" w14:textId="77777777" w:rsidR="00710C80" w:rsidRDefault="00000000">
      <w:pPr>
        <w:pStyle w:val="ListParagraph"/>
        <w:numPr>
          <w:ilvl w:val="0"/>
          <w:numId w:val="2"/>
        </w:numPr>
        <w:spacing w:after="50"/>
      </w:pPr>
      <w:r>
        <w:t>This proof of concept was built entirely on public data. We do not have visibility into Cotiviti's internal systems, proprietary models, or specific client results, and this report does not make claims about them beyond what the company has stated in its own published materials.</w:t>
      </w:r>
    </w:p>
    <w:p w14:paraId="0B0C418B" w14:textId="77777777" w:rsidR="00710C80" w:rsidRDefault="00710C80">
      <w:pPr>
        <w:spacing w:after="30"/>
      </w:pPr>
    </w:p>
    <w:p w14:paraId="703B2CE9" w14:textId="77777777" w:rsidR="00710C80" w:rsidRDefault="00000000">
      <w:pPr>
        <w:pStyle w:val="Heading1"/>
      </w:pPr>
      <w:r>
        <w:t>4. Strategic Recommendations for Cotiviti</w:t>
      </w:r>
    </w:p>
    <w:p w14:paraId="2936E86C" w14:textId="77777777" w:rsidR="00710C80" w:rsidRDefault="00000000">
      <w:pPr>
        <w:pStyle w:val="Heading2"/>
      </w:pPr>
      <w:r>
        <w:t>Recommendation 1: Formalize the Agentic Investigation Layer</w:t>
      </w:r>
    </w:p>
    <w:p w14:paraId="3A7F41CA" w14:textId="77777777" w:rsidR="00710C80" w:rsidRDefault="00000000">
      <w:pPr>
        <w:spacing w:after="70"/>
        <w:jc w:val="both"/>
      </w:pPr>
      <w:r>
        <w:t>Cotiviti should consider the architecture demonstrated here as a possible addition to its existing payment integrity workflow: an LLM reasoning step between a risk score and specialist review, producing a structured brief while keeping a human as the final decision maker. This recommendation is offered as a direction worth exploring, not as a validated production design.</w:t>
      </w:r>
    </w:p>
    <w:p w14:paraId="3F0BB1F5" w14:textId="77777777" w:rsidR="00710C80" w:rsidRDefault="00000000">
      <w:pPr>
        <w:spacing w:after="70"/>
        <w:jc w:val="both"/>
      </w:pPr>
      <w:r>
        <w:t>Before any broader deployment, the agentic layer should be validated through shadow testing, where the system runs in parallel with the existing specialist workflow without influencing decisions. Agent generated briefs would be compared against specialist produced briefs on the same cases, evaluating scheme identification accuracy, evidence recommendation relevance, and risk assessment consistency. Once shadow performance meets an agreed threshold, a controlled A/B test would assign a random subset of incoming leads to the agent assisted workflow while the remainder follow the standard process. Primary metrics would include time to triage, investigator agreement rate with the agent's scheme hypothesis, and downstream recovery rate. This incremental approach reduces deployment risk, produces labeled outcome data for fine tuning, and provides statistically grounded evidence to justify expanding the system's role.</w:t>
      </w:r>
    </w:p>
    <w:p w14:paraId="3EB6DA19" w14:textId="77777777" w:rsidR="00710C80" w:rsidRDefault="00000000">
      <w:pPr>
        <w:pStyle w:val="Heading2"/>
      </w:pPr>
      <w:r>
        <w:t>Recommendation 2: A Roadmap to Claim Level, Multi Agent Architecture</w:t>
      </w:r>
    </w:p>
    <w:p w14:paraId="07D9BF9C" w14:textId="77777777" w:rsidR="00710C80" w:rsidRDefault="00000000">
      <w:pPr>
        <w:spacing w:after="70"/>
        <w:jc w:val="both"/>
      </w:pPr>
      <w:r>
        <w:t>The clearest path to production value would require claim level fraud labels, which this proof of concept did not have access to. With that data, the single agent design here could evolve into a coordinated multi agent system with narrow, auditable roles:</w:t>
      </w:r>
    </w:p>
    <w:p w14:paraId="479884EF" w14:textId="77777777" w:rsidR="00710C80" w:rsidRDefault="00000000">
      <w:pPr>
        <w:pStyle w:val="ListParagraph"/>
        <w:numPr>
          <w:ilvl w:val="0"/>
          <w:numId w:val="2"/>
        </w:numPr>
        <w:spacing w:after="50"/>
      </w:pPr>
      <w:r>
        <w:rPr>
          <w:b/>
          <w:bCs/>
        </w:rPr>
        <w:t xml:space="preserve">Detection Agent: </w:t>
      </w:r>
      <w:r>
        <w:t>scores individual claims using procedure and diagnosis code combinations, billing timing, and patient service history, rather than provider aggregates alone.</w:t>
      </w:r>
    </w:p>
    <w:p w14:paraId="4130A6AE" w14:textId="77777777" w:rsidR="00710C80" w:rsidRDefault="00000000">
      <w:pPr>
        <w:pStyle w:val="ListParagraph"/>
        <w:numPr>
          <w:ilvl w:val="0"/>
          <w:numId w:val="2"/>
        </w:numPr>
        <w:spacing w:after="50"/>
      </w:pPr>
      <w:r>
        <w:rPr>
          <w:b/>
          <w:bCs/>
        </w:rPr>
        <w:t xml:space="preserve">Evidence Retrieval Agent: </w:t>
      </w:r>
      <w:r>
        <w:t>automatically retrieves the specific claim records and documentation relevant to a flagged claim.</w:t>
      </w:r>
    </w:p>
    <w:p w14:paraId="02774399" w14:textId="77777777" w:rsidR="00710C80" w:rsidRDefault="00000000">
      <w:pPr>
        <w:pStyle w:val="ListParagraph"/>
        <w:numPr>
          <w:ilvl w:val="0"/>
          <w:numId w:val="2"/>
        </w:numPr>
        <w:spacing w:after="50"/>
      </w:pPr>
      <w:r>
        <w:rPr>
          <w:b/>
          <w:bCs/>
        </w:rPr>
        <w:t xml:space="preserve">Scheme Classification Agent: </w:t>
      </w:r>
      <w:r>
        <w:t>matches anomalies to a known fraud taxonomy, trained and evaluated separately so its classifications can be audited independently.</w:t>
      </w:r>
    </w:p>
    <w:p w14:paraId="3468E4A7" w14:textId="77777777" w:rsidR="00710C80" w:rsidRDefault="00000000">
      <w:pPr>
        <w:pStyle w:val="ListParagraph"/>
        <w:numPr>
          <w:ilvl w:val="0"/>
          <w:numId w:val="2"/>
        </w:numPr>
        <w:spacing w:after="50"/>
      </w:pPr>
      <w:r>
        <w:rPr>
          <w:b/>
          <w:bCs/>
        </w:rPr>
        <w:t xml:space="preserve">Report Drafting </w:t>
      </w:r>
      <w:proofErr w:type="gramStart"/>
      <w:r>
        <w:rPr>
          <w:b/>
          <w:bCs/>
        </w:rPr>
        <w:t>Agent:</w:t>
      </w:r>
      <w:proofErr w:type="gramEnd"/>
      <w:r>
        <w:rPr>
          <w:b/>
          <w:bCs/>
        </w:rPr>
        <w:t xml:space="preserve"> </w:t>
      </w:r>
      <w:r>
        <w:t>assembles the investigator facing brief from verified, claim level, evidence backed input.</w:t>
      </w:r>
    </w:p>
    <w:p w14:paraId="3718AA9F" w14:textId="77777777" w:rsidR="00710C80" w:rsidRDefault="00000000">
      <w:pPr>
        <w:pStyle w:val="ListParagraph"/>
        <w:numPr>
          <w:ilvl w:val="0"/>
          <w:numId w:val="2"/>
        </w:numPr>
        <w:spacing w:after="50"/>
      </w:pPr>
      <w:r>
        <w:rPr>
          <w:b/>
          <w:bCs/>
        </w:rPr>
        <w:t xml:space="preserve">Review </w:t>
      </w:r>
      <w:proofErr w:type="gramStart"/>
      <w:r>
        <w:rPr>
          <w:b/>
          <w:bCs/>
        </w:rPr>
        <w:t>Agent:</w:t>
      </w:r>
      <w:proofErr w:type="gramEnd"/>
      <w:r>
        <w:rPr>
          <w:b/>
          <w:bCs/>
        </w:rPr>
        <w:t xml:space="preserve"> </w:t>
      </w:r>
      <w:r>
        <w:t>checks the other agents' outputs against underlying data before anything reaches a human, flagging any unsupported reasoning.</w:t>
      </w:r>
    </w:p>
    <w:p w14:paraId="485658F9" w14:textId="76703439" w:rsidR="00710C80" w:rsidRDefault="00000000">
      <w:pPr>
        <w:spacing w:after="70"/>
        <w:jc w:val="both"/>
      </w:pPr>
      <w:r>
        <w:t xml:space="preserve">Each agent can be evaluated and improved independently, and the Review Agent adds an internal check </w:t>
      </w:r>
      <w:r w:rsidR="001B60E6">
        <w:t xml:space="preserve">the current single agent design </w:t>
      </w:r>
      <w:proofErr w:type="gramStart"/>
      <w:r w:rsidR="001B60E6">
        <w:t>lack</w:t>
      </w:r>
      <w:proofErr w:type="gramEnd"/>
      <w:r>
        <w:t xml:space="preserve">. Production deployment would also require three additional safeguards. First, full telemetry: every step in the agent's reasoning chain must be logged so that if a provider appeals a fraud flag, the organization has complete visibility into exactly why that output was produced. Token usage and latency per provider should also be tracked, since agentic workflows can become expensive at scale. Second, domain specific evaluation: the agent should be tested against adversarial scenarios such as deliberately fragmented billing spread across multiple provider identifiers, and any factual claims about billing policies or coding guidelines must be grounded in cited source documents rather than generated from general knowledge, since a hallucinated policy reference carries direct legal risk in this context. Third, mandatory human in the loop checkpoints: the agent should not have unilateral authority to trigger any provider facing action. Every output must pass a review gate where a human investigator approves, rejects, or requests additional evidence. When investigators override the agent's flag, those decisions should be captured and fed back into the evaluation dataset to continuously improve accuracy over time. </w:t>
      </w:r>
    </w:p>
    <w:p w14:paraId="33A01FAD" w14:textId="77777777" w:rsidR="00710C80" w:rsidRDefault="00710C80">
      <w:pPr>
        <w:sectPr w:rsidR="00710C80">
          <w:headerReference w:type="default" r:id="rId7"/>
          <w:footerReference w:type="default" r:id="rId8"/>
          <w:pgSz w:w="12240" w:h="15840"/>
          <w:pgMar w:top="900" w:right="1080" w:bottom="900" w:left="1080" w:header="708" w:footer="708" w:gutter="0"/>
          <w:cols w:space="720"/>
          <w:docGrid w:linePitch="360"/>
        </w:sectPr>
      </w:pPr>
    </w:p>
    <w:p w14:paraId="20EBF3CF" w14:textId="77777777" w:rsidR="00710C80" w:rsidRDefault="00000000">
      <w:pPr>
        <w:pStyle w:val="Heading1"/>
      </w:pPr>
      <w:r>
        <w:lastRenderedPageBreak/>
        <w:t>Bibliography</w:t>
      </w:r>
    </w:p>
    <w:p w14:paraId="16F51C60" w14:textId="77777777" w:rsidR="00710C80" w:rsidRDefault="00710C80">
      <w:pPr>
        <w:spacing w:after="30"/>
      </w:pPr>
    </w:p>
    <w:p w14:paraId="544E4FFD" w14:textId="77777777" w:rsidR="00710C80" w:rsidRDefault="00000000">
      <w:pPr>
        <w:spacing w:after="90"/>
        <w:ind w:left="720" w:hanging="720"/>
      </w:pPr>
      <w:r>
        <w:t xml:space="preserve">Cotiviti. (2025, November 18). Cotiviti to focus on </w:t>
      </w:r>
      <w:proofErr w:type="gramStart"/>
      <w:r>
        <w:t>end to end</w:t>
      </w:r>
      <w:proofErr w:type="gramEnd"/>
      <w:r>
        <w:t xml:space="preserve"> healthcare fraud management at 2025 NHCAA Annual Training Conference [Press release]. Retrieved from https://www.cotiviti.com/press release/</w:t>
      </w:r>
      <w:proofErr w:type="spellStart"/>
      <w:r>
        <w:t>cotiviti</w:t>
      </w:r>
      <w:proofErr w:type="spellEnd"/>
      <w:r>
        <w:t xml:space="preserve"> to present 360 pattern review at </w:t>
      </w:r>
      <w:proofErr w:type="spellStart"/>
      <w:r>
        <w:t>nhcaa</w:t>
      </w:r>
      <w:proofErr w:type="spellEnd"/>
      <w:r>
        <w:t xml:space="preserve"> annual training conference</w:t>
      </w:r>
    </w:p>
    <w:p w14:paraId="5B5F70D4" w14:textId="77777777" w:rsidR="00710C80" w:rsidRDefault="00000000">
      <w:pPr>
        <w:spacing w:after="90"/>
        <w:ind w:left="720" w:hanging="720"/>
      </w:pPr>
      <w:r>
        <w:t>Cotiviti. (2025). Detect FWA patterns: 360 Pattern Review. Retrieved from https://www.cotiviti.com/solutions/payment accuracy/360 pattern review</w:t>
      </w:r>
    </w:p>
    <w:p w14:paraId="77785FA3" w14:textId="77777777" w:rsidR="00710C80" w:rsidRDefault="00000000">
      <w:pPr>
        <w:spacing w:after="90"/>
        <w:ind w:left="720" w:hanging="720"/>
      </w:pPr>
      <w:r>
        <w:t>Cotiviti. (2025). Claim Pattern Review: Prepay waste and abuse prevention for health plans. Retrieved from https://resources.cotiviti.com/fraud waste and abuse/claim pattern review solution</w:t>
      </w:r>
    </w:p>
    <w:p w14:paraId="5FF9DC43" w14:textId="77777777" w:rsidR="00710C80" w:rsidRDefault="00000000">
      <w:pPr>
        <w:spacing w:after="90"/>
        <w:ind w:left="720" w:hanging="720"/>
      </w:pPr>
      <w:r>
        <w:t xml:space="preserve">National Health Care </w:t>
      </w:r>
      <w:proofErr w:type="spellStart"/>
      <w:r>
        <w:t>Anti Fraud</w:t>
      </w:r>
      <w:proofErr w:type="spellEnd"/>
      <w:r>
        <w:t xml:space="preserve"> Association. (2025). The challenge of health care fraud. Retrieved from https://www.nhcaa.org/tools insights/about health care fraud/the challenge of health care fraud/</w:t>
      </w:r>
    </w:p>
    <w:p w14:paraId="0F83CD56" w14:textId="77777777" w:rsidR="00710C80" w:rsidRDefault="00000000">
      <w:pPr>
        <w:spacing w:after="90"/>
        <w:ind w:left="720" w:hanging="720"/>
      </w:pPr>
      <w:r>
        <w:t>Shankar, R., Goh, Z., Devi, F., &amp; Xu, Q. (2025). A prompt framework for enhancing LLM based explainability of medical machine learning models: An intensive care unit application. BMC Medical Informatics and Decision Making. Retrieved from https://pmc.ncbi.nlm.nih.gov/articles/PMC12659558/</w:t>
      </w:r>
    </w:p>
    <w:p w14:paraId="4E690B4C" w14:textId="77777777" w:rsidR="00710C80" w:rsidRDefault="00000000">
      <w:pPr>
        <w:spacing w:after="90"/>
        <w:ind w:left="720" w:hanging="720"/>
      </w:pPr>
      <w:r>
        <w:t>U.S. Government Accountability Office. (2026, April 21). Medicare: CMS's use of data analytics to identify and prevent fraud (GAO 26 107799). Retrieved from https://www.gao.gov/products/gao 26 107799</w:t>
      </w:r>
    </w:p>
    <w:sectPr w:rsidR="00710C80">
      <w:headerReference w:type="default" r:id="rId9"/>
      <w:footerReference w:type="default" r:id="rId10"/>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C620E" w14:textId="77777777" w:rsidR="00557F6C" w:rsidRDefault="00557F6C">
      <w:r>
        <w:separator/>
      </w:r>
    </w:p>
  </w:endnote>
  <w:endnote w:type="continuationSeparator" w:id="0">
    <w:p w14:paraId="6E287716" w14:textId="77777777" w:rsidR="00557F6C" w:rsidRDefault="00557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B188C" w14:textId="35A90C1A" w:rsidR="00710C80" w:rsidRDefault="00000000">
    <w:pPr>
      <w:pBdr>
        <w:top w:val="single" w:sz="4" w:space="1" w:color="CCCCCC"/>
      </w:pBdr>
      <w:tabs>
        <w:tab w:val="right" w:pos="9026"/>
      </w:tabs>
    </w:pPr>
    <w:r>
      <w:tab/>
    </w:r>
    <w:r>
      <w:rPr>
        <w:color w:val="888888"/>
        <w:sz w:val="16"/>
        <w:szCs w:val="16"/>
      </w:rPr>
      <w:t xml:space="preserve">Page </w:t>
    </w:r>
    <w:r>
      <w:fldChar w:fldCharType="begin"/>
    </w:r>
    <w:r>
      <w:instrText>PAGE</w:instrText>
    </w:r>
    <w:r>
      <w:fldChar w:fldCharType="separate"/>
    </w:r>
    <w:r w:rsidR="001B60E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DEF" w14:textId="4550C5DC" w:rsidR="00710C80" w:rsidRDefault="00000000">
    <w:pPr>
      <w:pBdr>
        <w:top w:val="single" w:sz="4" w:space="1" w:color="CCCCCC"/>
      </w:pBdr>
      <w:tabs>
        <w:tab w:val="right" w:pos="9026"/>
      </w:tabs>
    </w:pPr>
    <w:r>
      <w:tab/>
    </w:r>
    <w:r>
      <w:rPr>
        <w:color w:val="888888"/>
        <w:sz w:val="16"/>
        <w:szCs w:val="16"/>
      </w:rPr>
      <w:t xml:space="preserve">Page </w:t>
    </w:r>
    <w:r>
      <w:fldChar w:fldCharType="begin"/>
    </w:r>
    <w:r>
      <w:instrText>PAGE</w:instrText>
    </w:r>
    <w:r>
      <w:fldChar w:fldCharType="separate"/>
    </w:r>
    <w:r w:rsidR="001B60E6">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AB942" w14:textId="77777777" w:rsidR="00557F6C" w:rsidRDefault="00557F6C">
      <w:r>
        <w:separator/>
      </w:r>
    </w:p>
  </w:footnote>
  <w:footnote w:type="continuationSeparator" w:id="0">
    <w:p w14:paraId="34FCA1C6" w14:textId="77777777" w:rsidR="00557F6C" w:rsidRDefault="00557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B951" w14:textId="68C51E31" w:rsidR="00710C80" w:rsidRDefault="00710C80">
    <w:pPr>
      <w:pBdr>
        <w:bottom w:val="single" w:sz="4" w:space="1" w:color="CCCCCC"/>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5CF80" w14:textId="70277C7C" w:rsidR="00710C80" w:rsidRDefault="00710C80">
    <w:pPr>
      <w:pBdr>
        <w:bottom w:val="single" w:sz="4" w:space="1"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42C91"/>
    <w:multiLevelType w:val="hybridMultilevel"/>
    <w:tmpl w:val="EB64F74C"/>
    <w:lvl w:ilvl="0" w:tplc="A038138E">
      <w:start w:val="1"/>
      <w:numFmt w:val="bullet"/>
      <w:lvlText w:val="●"/>
      <w:lvlJc w:val="left"/>
      <w:pPr>
        <w:ind w:left="720" w:hanging="360"/>
      </w:pPr>
    </w:lvl>
    <w:lvl w:ilvl="1" w:tplc="A6F45B48">
      <w:start w:val="1"/>
      <w:numFmt w:val="bullet"/>
      <w:lvlText w:val="○"/>
      <w:lvlJc w:val="left"/>
      <w:pPr>
        <w:ind w:left="1440" w:hanging="360"/>
      </w:pPr>
    </w:lvl>
    <w:lvl w:ilvl="2" w:tplc="6FD23578">
      <w:start w:val="1"/>
      <w:numFmt w:val="bullet"/>
      <w:lvlText w:val="■"/>
      <w:lvlJc w:val="left"/>
      <w:pPr>
        <w:ind w:left="2160" w:hanging="360"/>
      </w:pPr>
    </w:lvl>
    <w:lvl w:ilvl="3" w:tplc="C07E4196">
      <w:start w:val="1"/>
      <w:numFmt w:val="bullet"/>
      <w:lvlText w:val="●"/>
      <w:lvlJc w:val="left"/>
      <w:pPr>
        <w:ind w:left="2880" w:hanging="360"/>
      </w:pPr>
    </w:lvl>
    <w:lvl w:ilvl="4" w:tplc="6C28CF30">
      <w:start w:val="1"/>
      <w:numFmt w:val="bullet"/>
      <w:lvlText w:val="○"/>
      <w:lvlJc w:val="left"/>
      <w:pPr>
        <w:ind w:left="3600" w:hanging="360"/>
      </w:pPr>
    </w:lvl>
    <w:lvl w:ilvl="5" w:tplc="221A8FC8">
      <w:start w:val="1"/>
      <w:numFmt w:val="bullet"/>
      <w:lvlText w:val="■"/>
      <w:lvlJc w:val="left"/>
      <w:pPr>
        <w:ind w:left="4320" w:hanging="360"/>
      </w:pPr>
    </w:lvl>
    <w:lvl w:ilvl="6" w:tplc="55B0B496">
      <w:start w:val="1"/>
      <w:numFmt w:val="bullet"/>
      <w:lvlText w:val="●"/>
      <w:lvlJc w:val="left"/>
      <w:pPr>
        <w:ind w:left="5040" w:hanging="360"/>
      </w:pPr>
    </w:lvl>
    <w:lvl w:ilvl="7" w:tplc="80F2362E">
      <w:start w:val="1"/>
      <w:numFmt w:val="bullet"/>
      <w:lvlText w:val="●"/>
      <w:lvlJc w:val="left"/>
      <w:pPr>
        <w:ind w:left="5760" w:hanging="360"/>
      </w:pPr>
    </w:lvl>
    <w:lvl w:ilvl="8" w:tplc="09C65906">
      <w:start w:val="1"/>
      <w:numFmt w:val="bullet"/>
      <w:lvlText w:val="●"/>
      <w:lvlJc w:val="left"/>
      <w:pPr>
        <w:ind w:left="6480" w:hanging="360"/>
      </w:pPr>
    </w:lvl>
  </w:abstractNum>
  <w:abstractNum w:abstractNumId="1" w15:restartNumberingAfterBreak="0">
    <w:nsid w:val="7CAD5583"/>
    <w:multiLevelType w:val="hybridMultilevel"/>
    <w:tmpl w:val="7968F472"/>
    <w:lvl w:ilvl="0" w:tplc="7C86A33E">
      <w:start w:val="1"/>
      <w:numFmt w:val="bullet"/>
      <w:lvlText w:val="•"/>
      <w:lvlJc w:val="left"/>
      <w:pPr>
        <w:ind w:left="720" w:hanging="360"/>
      </w:pPr>
    </w:lvl>
    <w:lvl w:ilvl="1" w:tplc="E9C480C8">
      <w:numFmt w:val="decimal"/>
      <w:lvlText w:val=""/>
      <w:lvlJc w:val="left"/>
    </w:lvl>
    <w:lvl w:ilvl="2" w:tplc="F8BE26A4">
      <w:numFmt w:val="decimal"/>
      <w:lvlText w:val=""/>
      <w:lvlJc w:val="left"/>
    </w:lvl>
    <w:lvl w:ilvl="3" w:tplc="ADD071FC">
      <w:numFmt w:val="decimal"/>
      <w:lvlText w:val=""/>
      <w:lvlJc w:val="left"/>
    </w:lvl>
    <w:lvl w:ilvl="4" w:tplc="70060D12">
      <w:numFmt w:val="decimal"/>
      <w:lvlText w:val=""/>
      <w:lvlJc w:val="left"/>
    </w:lvl>
    <w:lvl w:ilvl="5" w:tplc="C2AA8ECC">
      <w:numFmt w:val="decimal"/>
      <w:lvlText w:val=""/>
      <w:lvlJc w:val="left"/>
    </w:lvl>
    <w:lvl w:ilvl="6" w:tplc="9C58707A">
      <w:numFmt w:val="decimal"/>
      <w:lvlText w:val=""/>
      <w:lvlJc w:val="left"/>
    </w:lvl>
    <w:lvl w:ilvl="7" w:tplc="6028700C">
      <w:numFmt w:val="decimal"/>
      <w:lvlText w:val=""/>
      <w:lvlJc w:val="left"/>
    </w:lvl>
    <w:lvl w:ilvl="8" w:tplc="E20A2000">
      <w:numFmt w:val="decimal"/>
      <w:lvlText w:val=""/>
      <w:lvlJc w:val="left"/>
    </w:lvl>
  </w:abstractNum>
  <w:num w:numId="1" w16cid:durableId="806168793">
    <w:abstractNumId w:val="0"/>
    <w:lvlOverride w:ilvl="0">
      <w:startOverride w:val="1"/>
    </w:lvlOverride>
  </w:num>
  <w:num w:numId="2" w16cid:durableId="2599914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C80"/>
    <w:rsid w:val="001461DE"/>
    <w:rsid w:val="001534C0"/>
    <w:rsid w:val="001B60E6"/>
    <w:rsid w:val="00271895"/>
    <w:rsid w:val="00557F6C"/>
    <w:rsid w:val="00710C80"/>
    <w:rsid w:val="00832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CF0EC4"/>
  <w15:docId w15:val="{62564426-6AE8-DE48-ADBE-87CB1C4A5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outlineLvl w:val="0"/>
    </w:pPr>
    <w:rPr>
      <w:b/>
      <w:bCs/>
      <w:color w:val="1F3864"/>
      <w:sz w:val="24"/>
      <w:szCs w:val="24"/>
    </w:rPr>
  </w:style>
  <w:style w:type="paragraph" w:styleId="Heading2">
    <w:name w:val="heading 2"/>
    <w:uiPriority w:val="9"/>
    <w:unhideWhenUsed/>
    <w:qFormat/>
    <w:pPr>
      <w:spacing w:before="90" w:after="50"/>
      <w:outlineLvl w:val="1"/>
    </w:pPr>
    <w:rPr>
      <w:b/>
      <w:bCs/>
      <w:color w:val="2E75B6"/>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60E6"/>
    <w:pPr>
      <w:tabs>
        <w:tab w:val="center" w:pos="4680"/>
        <w:tab w:val="right" w:pos="9360"/>
      </w:tabs>
    </w:pPr>
  </w:style>
  <w:style w:type="character" w:customStyle="1" w:styleId="HeaderChar">
    <w:name w:val="Header Char"/>
    <w:basedOn w:val="DefaultParagraphFont"/>
    <w:link w:val="Header"/>
    <w:uiPriority w:val="99"/>
    <w:rsid w:val="001B60E6"/>
  </w:style>
  <w:style w:type="paragraph" w:styleId="Footer">
    <w:name w:val="footer"/>
    <w:basedOn w:val="Normal"/>
    <w:link w:val="FooterChar"/>
    <w:uiPriority w:val="99"/>
    <w:unhideWhenUsed/>
    <w:rsid w:val="001B60E6"/>
    <w:pPr>
      <w:tabs>
        <w:tab w:val="center" w:pos="4680"/>
        <w:tab w:val="right" w:pos="9360"/>
      </w:tabs>
    </w:pPr>
  </w:style>
  <w:style w:type="character" w:customStyle="1" w:styleId="FooterChar">
    <w:name w:val="Footer Char"/>
    <w:basedOn w:val="DefaultParagraphFont"/>
    <w:link w:val="Footer"/>
    <w:uiPriority w:val="99"/>
    <w:rsid w:val="001B6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1540</Words>
  <Characters>8779</Characters>
  <Application>Microsoft Office Word</Application>
  <DocSecurity>0</DocSecurity>
  <Lines>73</Lines>
  <Paragraphs>20</Paragraphs>
  <ScaleCrop>false</ScaleCrop>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Mittal, Aditya</cp:lastModifiedBy>
  <cp:revision>2</cp:revision>
  <dcterms:created xsi:type="dcterms:W3CDTF">2026-07-01T18:52:00Z</dcterms:created>
  <dcterms:modified xsi:type="dcterms:W3CDTF">2026-07-01T18:52:00Z</dcterms:modified>
</cp:coreProperties>
</file>