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2C0" w:rsidRDefault="00AB64D5">
      <w:pPr>
        <w:jc w:val="center"/>
        <w:rPr>
          <w:sz w:val="30"/>
          <w:szCs w:val="30"/>
        </w:rPr>
      </w:pPr>
      <w:r>
        <w:rPr>
          <w:sz w:val="30"/>
          <w:szCs w:val="30"/>
        </w:rPr>
        <w:t>Business Question and Visualization Report</w:t>
      </w:r>
    </w:p>
    <w:p w:rsidR="00BC72C0" w:rsidRDefault="00AB64D5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tbl>
      <w:tblPr>
        <w:tblStyle w:val="a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30"/>
      </w:tblGrid>
      <w:tr w:rsidR="00BC72C0">
        <w:trPr>
          <w:trHeight w:val="405"/>
        </w:trPr>
        <w:tc>
          <w:tcPr>
            <w:tcW w:w="4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C72C0" w:rsidRDefault="00AB64D5">
            <w:pPr>
              <w:spacing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48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C72C0" w:rsidRDefault="00AB64D5">
            <w:pPr>
              <w:spacing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 July 2026</w:t>
            </w:r>
          </w:p>
        </w:tc>
      </w:tr>
      <w:tr w:rsidR="00BC72C0">
        <w:trPr>
          <w:trHeight w:val="405"/>
        </w:trPr>
        <w:tc>
          <w:tcPr>
            <w:tcW w:w="45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C72C0" w:rsidRDefault="00AB64D5">
            <w:pPr>
              <w:spacing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ID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C72C0" w:rsidRDefault="00AB64D5">
            <w:pPr>
              <w:spacing w:after="16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Sharmishtha</w:t>
            </w:r>
            <w:proofErr w:type="spellEnd"/>
            <w:r>
              <w:rPr>
                <w:sz w:val="24"/>
                <w:szCs w:val="24"/>
              </w:rPr>
              <w:t xml:space="preserve"> Mishra</w:t>
            </w:r>
          </w:p>
        </w:tc>
      </w:tr>
      <w:tr w:rsidR="00BC72C0">
        <w:trPr>
          <w:trHeight w:val="405"/>
        </w:trPr>
        <w:tc>
          <w:tcPr>
            <w:tcW w:w="45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C72C0" w:rsidRDefault="00AB64D5">
            <w:pPr>
              <w:spacing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Name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C72C0" w:rsidRDefault="00AB64D5">
            <w:pPr>
              <w:spacing w:after="16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HeartScope</w:t>
            </w:r>
            <w:proofErr w:type="spellEnd"/>
          </w:p>
        </w:tc>
      </w:tr>
      <w:tr w:rsidR="00BC72C0">
        <w:trPr>
          <w:trHeight w:val="405"/>
        </w:trPr>
        <w:tc>
          <w:tcPr>
            <w:tcW w:w="45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C72C0" w:rsidRDefault="00AB64D5">
            <w:pPr>
              <w:spacing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Maximum Marks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C72C0" w:rsidRDefault="00AB64D5">
            <w:pPr>
              <w:spacing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Marks</w:t>
            </w:r>
          </w:p>
        </w:tc>
      </w:tr>
    </w:tbl>
    <w:p w:rsidR="00BC72C0" w:rsidRDefault="00BC72C0">
      <w:pPr>
        <w:jc w:val="center"/>
        <w:rPr>
          <w:b/>
          <w:bCs/>
          <w:sz w:val="24"/>
          <w:szCs w:val="24"/>
        </w:rPr>
      </w:pPr>
    </w:p>
    <w:p w:rsidR="00BC72C0" w:rsidRDefault="00AB64D5">
      <w:pPr>
        <w:pStyle w:val="Heading4"/>
        <w:keepNext w:val="0"/>
        <w:keepLines w:val="0"/>
        <w:spacing w:before="240" w:after="40"/>
        <w:jc w:val="both"/>
        <w:rPr>
          <w:b/>
          <w:bCs/>
          <w:color w:val="000000"/>
        </w:rPr>
      </w:pPr>
      <w:bookmarkStart w:id="0" w:name="_7kw50p9qf68e" w:colFirst="0" w:colLast="0"/>
      <w:bookmarkEnd w:id="0"/>
      <w:r>
        <w:rPr>
          <w:b/>
          <w:bCs/>
          <w:color w:val="000000"/>
        </w:rPr>
        <w:t>Q1: What are the primary performance indicators across delivery fees, order values, customer ratings, and order volumes?</w:t>
      </w:r>
    </w:p>
    <w:p w:rsidR="00BC72C0" w:rsidRDefault="00AB64D5">
      <w:pPr>
        <w:numPr>
          <w:ilvl w:val="0"/>
          <w:numId w:val="5"/>
        </w:numPr>
        <w:spacing w:before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Visualization:</w:t>
      </w:r>
      <w:r>
        <w:rPr>
          <w:sz w:val="24"/>
          <w:szCs w:val="24"/>
        </w:rPr>
        <w:t xml:space="preserve"> A KPI Demonstration table showcasing aggregated metrics (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SUM(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Delivery Fee)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SUM(Order Value)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AVG(Rating Given)</w:t>
      </w:r>
      <w:r>
        <w:rPr>
          <w:sz w:val="24"/>
          <w:szCs w:val="24"/>
        </w:rPr>
        <w:t xml:space="preserve">, and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CNT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(Order Id)</w:t>
      </w:r>
      <w:r>
        <w:rPr>
          <w:sz w:val="24"/>
          <w:szCs w:val="24"/>
        </w:rPr>
        <w:t>).</w:t>
      </w:r>
    </w:p>
    <w:p w:rsidR="00BC72C0" w:rsidRDefault="00AB64D5">
      <w:pPr>
        <w:numPr>
          <w:ilvl w:val="0"/>
          <w:numId w:val="5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Insight Provided:</w:t>
      </w:r>
      <w:r>
        <w:rPr>
          <w:sz w:val="24"/>
          <w:szCs w:val="24"/>
        </w:rPr>
        <w:t xml:space="preserve"> Provides stakeholders with a high-level executive summary of overall platform scale, total revenue generation, cumulative delivery earnings, and average customer satisfaction at a glance.</w:t>
      </w:r>
    </w:p>
    <w:p w:rsidR="00BC72C0" w:rsidRDefault="00AB64D5">
      <w:r>
        <w:rPr>
          <w:noProof/>
          <w:lang w:val="en-IN"/>
        </w:rPr>
        <w:drawing>
          <wp:inline distT="114300" distB="114300" distL="114300" distR="114300">
            <wp:extent cx="6167438" cy="31623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C72C0" w:rsidRDefault="00BC72C0"/>
    <w:p w:rsidR="00BC72C0" w:rsidRDefault="00AB64D5">
      <w:pPr>
        <w:pStyle w:val="Heading4"/>
        <w:keepNext w:val="0"/>
        <w:keepLines w:val="0"/>
        <w:spacing w:before="240" w:after="40"/>
        <w:jc w:val="both"/>
        <w:rPr>
          <w:b/>
          <w:bCs/>
          <w:color w:val="000000"/>
        </w:rPr>
      </w:pPr>
      <w:bookmarkStart w:id="1" w:name="_897g6te31u4n" w:colFirst="0" w:colLast="0"/>
      <w:bookmarkEnd w:id="1"/>
      <w:r>
        <w:rPr>
          <w:b/>
          <w:bCs/>
          <w:color w:val="000000"/>
        </w:rPr>
        <w:lastRenderedPageBreak/>
        <w:t>Q2: How does customer satisfaction (average ratings) vary across different combinations of hunger levels and consumer moods?</w:t>
      </w:r>
    </w:p>
    <w:p w:rsidR="00BC72C0" w:rsidRDefault="00AB64D5">
      <w:pPr>
        <w:numPr>
          <w:ilvl w:val="0"/>
          <w:numId w:val="1"/>
        </w:numPr>
        <w:spacing w:before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Visualization:</w:t>
      </w:r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Heatmap</w:t>
      </w:r>
      <w:proofErr w:type="spellEnd"/>
      <w:r>
        <w:rPr>
          <w:sz w:val="24"/>
          <w:szCs w:val="24"/>
        </w:rPr>
        <w:t xml:space="preserve"> matrix mapping customer moods against hunger levels, color-coded by average rating values.</w:t>
      </w:r>
    </w:p>
    <w:p w:rsidR="00BC72C0" w:rsidRDefault="00AB64D5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Insight Provide</w:t>
      </w:r>
      <w:r>
        <w:rPr>
          <w:b/>
          <w:bCs/>
          <w:sz w:val="24"/>
          <w:szCs w:val="24"/>
        </w:rPr>
        <w:t>d:</w:t>
      </w:r>
      <w:r>
        <w:rPr>
          <w:sz w:val="24"/>
          <w:szCs w:val="24"/>
        </w:rPr>
        <w:t xml:space="preserve"> Highlights which emotional and physiological states correspond to higher or lower customer satisfaction, enabling targeted experience optimizations for stressed or hungry users.</w:t>
      </w:r>
    </w:p>
    <w:p w:rsidR="00BC72C0" w:rsidRDefault="00B47C0D">
      <w:r w:rsidRPr="00B47C0D">
        <w:rPr>
          <w:noProof/>
          <w:lang w:val="en-IN"/>
        </w:rPr>
        <w:drawing>
          <wp:inline distT="0" distB="0" distL="0" distR="0" wp14:anchorId="40A5D02B" wp14:editId="5A86B6FF">
            <wp:extent cx="5943600" cy="31451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2C0" w:rsidRDefault="00BC72C0"/>
    <w:p w:rsidR="00BC72C0" w:rsidRDefault="00BC72C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1a0aoz75tqka" w:colFirst="0" w:colLast="0"/>
      <w:bookmarkEnd w:id="2"/>
    </w:p>
    <w:p w:rsidR="00BC72C0" w:rsidRDefault="00BC72C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q71ze41eajje" w:colFirst="0" w:colLast="0"/>
      <w:bookmarkEnd w:id="3"/>
    </w:p>
    <w:p w:rsidR="00BC72C0" w:rsidRDefault="00BC72C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6j42yqdcs4qw" w:colFirst="0" w:colLast="0"/>
      <w:bookmarkEnd w:id="4"/>
    </w:p>
    <w:p w:rsidR="00BC72C0" w:rsidRDefault="00BC72C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q2xjwzmzu594" w:colFirst="0" w:colLast="0"/>
      <w:bookmarkEnd w:id="5"/>
    </w:p>
    <w:p w:rsidR="00BC72C0" w:rsidRDefault="00BC72C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6" w:name="_ivrgn3vhoqa8" w:colFirst="0" w:colLast="0"/>
      <w:bookmarkEnd w:id="6"/>
    </w:p>
    <w:p w:rsidR="00BC72C0" w:rsidRDefault="00BC72C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wbpukbip926t" w:colFirst="0" w:colLast="0"/>
      <w:bookmarkEnd w:id="7"/>
    </w:p>
    <w:p w:rsidR="00BC72C0" w:rsidRDefault="00BC72C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zicf3ljyfsdc" w:colFirst="0" w:colLast="0"/>
      <w:bookmarkEnd w:id="8"/>
    </w:p>
    <w:p w:rsidR="00BC72C0" w:rsidRDefault="00AB64D5">
      <w:pPr>
        <w:pStyle w:val="Heading4"/>
        <w:keepNext w:val="0"/>
        <w:keepLines w:val="0"/>
        <w:spacing w:before="240" w:after="40"/>
        <w:jc w:val="both"/>
        <w:rPr>
          <w:b/>
          <w:bCs/>
          <w:color w:val="000000"/>
        </w:rPr>
      </w:pPr>
      <w:bookmarkStart w:id="9" w:name="_3qgfqgupnvor" w:colFirst="0" w:colLast="0"/>
      <w:bookmarkEnd w:id="9"/>
      <w:r>
        <w:rPr>
          <w:b/>
          <w:bCs/>
          <w:color w:val="000000"/>
        </w:rPr>
        <w:lastRenderedPageBreak/>
        <w:t>Q3: How are order volumes distributed across different age groups broken down by restaurant types (Budget, Mid-range, Premium)?</w:t>
      </w:r>
    </w:p>
    <w:p w:rsidR="00BC72C0" w:rsidRDefault="00AB64D5">
      <w:pPr>
        <w:numPr>
          <w:ilvl w:val="0"/>
          <w:numId w:val="3"/>
        </w:numPr>
        <w:spacing w:before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Visualization:</w:t>
      </w:r>
      <w:r>
        <w:rPr>
          <w:sz w:val="24"/>
          <w:szCs w:val="24"/>
        </w:rPr>
        <w:t xml:space="preserve"> A grouped Bar Graph showing order counts across consumer age categories segmented by restaurant price tiers.</w:t>
      </w:r>
    </w:p>
    <w:p w:rsidR="00BC72C0" w:rsidRDefault="00AB64D5">
      <w:pPr>
        <w:numPr>
          <w:ilvl w:val="0"/>
          <w:numId w:val="3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Insi</w:t>
      </w:r>
      <w:r>
        <w:rPr>
          <w:b/>
          <w:bCs/>
          <w:sz w:val="24"/>
          <w:szCs w:val="24"/>
        </w:rPr>
        <w:t>ght Provided:</w:t>
      </w:r>
      <w:r>
        <w:rPr>
          <w:sz w:val="24"/>
          <w:szCs w:val="24"/>
        </w:rPr>
        <w:t xml:space="preserve"> Identifies target demographic segments (such as Gen Z and Millennials) and their preferred dining tiers, guiding platform marketing and restaurant partnership strategies.</w:t>
      </w:r>
    </w:p>
    <w:p w:rsidR="00BC72C0" w:rsidRDefault="00BC72C0"/>
    <w:p w:rsidR="00BC72C0" w:rsidRDefault="00BC72C0"/>
    <w:p w:rsidR="00BC72C0" w:rsidRDefault="00BC72C0"/>
    <w:p w:rsidR="00BC72C0" w:rsidRDefault="00B47C0D">
      <w:r w:rsidRPr="00B47C0D">
        <w:drawing>
          <wp:inline distT="0" distB="0" distL="0" distR="0" wp14:anchorId="5CC342D1" wp14:editId="16A7E703">
            <wp:extent cx="5943600" cy="3195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2C0" w:rsidRDefault="00BC72C0"/>
    <w:p w:rsidR="00BC72C0" w:rsidRDefault="00BC72C0"/>
    <w:p w:rsidR="00BC72C0" w:rsidRDefault="00BC72C0"/>
    <w:p w:rsidR="00BC72C0" w:rsidRDefault="00BC72C0"/>
    <w:p w:rsidR="00BC72C0" w:rsidRDefault="00BC72C0"/>
    <w:p w:rsidR="00BC72C0" w:rsidRDefault="00BC72C0"/>
    <w:p w:rsidR="00BC72C0" w:rsidRDefault="00BC72C0"/>
    <w:p w:rsidR="00BC72C0" w:rsidRDefault="00BC72C0"/>
    <w:p w:rsidR="00BC72C0" w:rsidRDefault="00BC72C0"/>
    <w:p w:rsidR="00BC72C0" w:rsidRDefault="00BC72C0"/>
    <w:p w:rsidR="00BC72C0" w:rsidRDefault="00BC72C0"/>
    <w:p w:rsidR="00BC72C0" w:rsidRDefault="00BC72C0"/>
    <w:p w:rsidR="00BC72C0" w:rsidRDefault="00AB64D5">
      <w:pPr>
        <w:pStyle w:val="Heading4"/>
        <w:keepNext w:val="0"/>
        <w:keepLines w:val="0"/>
        <w:spacing w:before="240" w:after="40"/>
        <w:jc w:val="both"/>
        <w:rPr>
          <w:b/>
          <w:bCs/>
          <w:color w:val="000000"/>
        </w:rPr>
      </w:pPr>
      <w:bookmarkStart w:id="10" w:name="_80j2yy6r939f" w:colFirst="0" w:colLast="0"/>
      <w:bookmarkEnd w:id="10"/>
      <w:r>
        <w:rPr>
          <w:b/>
          <w:bCs/>
          <w:color w:val="000000"/>
        </w:rPr>
        <w:lastRenderedPageBreak/>
        <w:t>Q4: What is the percentage share of total orders distributed among various culinary preferences?</w:t>
      </w:r>
    </w:p>
    <w:p w:rsidR="00BC72C0" w:rsidRDefault="00AB64D5">
      <w:pPr>
        <w:numPr>
          <w:ilvl w:val="0"/>
          <w:numId w:val="9"/>
        </w:numPr>
        <w:spacing w:before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Visualization:</w:t>
      </w:r>
      <w:r>
        <w:rPr>
          <w:sz w:val="24"/>
          <w:szCs w:val="24"/>
        </w:rPr>
        <w:t xml:space="preserve"> A proportion-based Pie Chart illustrating the order share across different cuisine types (e.g., Biryani, Chinese, Desserts, Fast Food, North Ind</w:t>
      </w:r>
      <w:r>
        <w:rPr>
          <w:sz w:val="24"/>
          <w:szCs w:val="24"/>
        </w:rPr>
        <w:t>ian, South Indian).</w:t>
      </w:r>
    </w:p>
    <w:p w:rsidR="00BC72C0" w:rsidRDefault="00AB64D5">
      <w:pPr>
        <w:numPr>
          <w:ilvl w:val="0"/>
          <w:numId w:val="9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Insight Provided:</w:t>
      </w:r>
      <w:r>
        <w:rPr>
          <w:sz w:val="24"/>
          <w:szCs w:val="24"/>
        </w:rPr>
        <w:t xml:space="preserve"> Quickly displays consumer cuisine popularity, helping platform managers balance restaurant onboarding and promotional campaigns.</w:t>
      </w: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47C0D">
      <w:pPr>
        <w:spacing w:before="240" w:after="240"/>
        <w:jc w:val="both"/>
        <w:rPr>
          <w:sz w:val="24"/>
          <w:szCs w:val="24"/>
        </w:rPr>
      </w:pPr>
      <w:r w:rsidRPr="00B47C0D">
        <w:rPr>
          <w:sz w:val="24"/>
          <w:szCs w:val="24"/>
        </w:rPr>
        <w:drawing>
          <wp:inline distT="0" distB="0" distL="0" distR="0" wp14:anchorId="47C6ABD5" wp14:editId="2BBAD90E">
            <wp:extent cx="5943600" cy="30949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AB64D5">
      <w:pPr>
        <w:pStyle w:val="Heading4"/>
        <w:keepNext w:val="0"/>
        <w:keepLines w:val="0"/>
        <w:spacing w:before="240" w:after="40"/>
        <w:jc w:val="both"/>
        <w:rPr>
          <w:b/>
          <w:bCs/>
          <w:color w:val="000000"/>
        </w:rPr>
      </w:pPr>
      <w:bookmarkStart w:id="11" w:name="_759wxqtnrw05" w:colFirst="0" w:colLast="0"/>
      <w:bookmarkEnd w:id="11"/>
      <w:r>
        <w:rPr>
          <w:b/>
          <w:bCs/>
          <w:color w:val="000000"/>
        </w:rPr>
        <w:lastRenderedPageBreak/>
        <w:t>Q5: How is total order value distributed across different metropolitan cities, a</w:t>
      </w:r>
      <w:r>
        <w:rPr>
          <w:b/>
          <w:bCs/>
          <w:color w:val="000000"/>
        </w:rPr>
        <w:t>nd what is the impact of discount applications?</w:t>
      </w:r>
    </w:p>
    <w:p w:rsidR="00BC72C0" w:rsidRDefault="00AB64D5">
      <w:pPr>
        <w:numPr>
          <w:ilvl w:val="0"/>
          <w:numId w:val="8"/>
        </w:numPr>
        <w:spacing w:before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Visualization:</w:t>
      </w:r>
      <w:r>
        <w:rPr>
          <w:sz w:val="24"/>
          <w:szCs w:val="24"/>
        </w:rPr>
        <w:t xml:space="preserve"> A Stacked Bar Chart comparing total order values across cities (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Bangalore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Chandigarh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Delhi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Hyderabad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Mumbai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Pune</w:t>
      </w:r>
      <w:r>
        <w:rPr>
          <w:sz w:val="24"/>
          <w:szCs w:val="24"/>
        </w:rPr>
        <w:t>), segmented by whether discounts were applied.</w:t>
      </w:r>
    </w:p>
    <w:p w:rsidR="00BC72C0" w:rsidRDefault="00AB64D5">
      <w:pPr>
        <w:numPr>
          <w:ilvl w:val="0"/>
          <w:numId w:val="8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Insight Provided:</w:t>
      </w:r>
      <w:r>
        <w:rPr>
          <w:sz w:val="24"/>
          <w:szCs w:val="24"/>
        </w:rPr>
        <w:t xml:space="preserve"> Evaluates regional revenue contributions and demonstrates how promotional discounting influences overall spending volume across urban markets.</w:t>
      </w: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47C0D">
      <w:pPr>
        <w:spacing w:before="240" w:after="240"/>
        <w:jc w:val="both"/>
        <w:rPr>
          <w:sz w:val="24"/>
          <w:szCs w:val="24"/>
        </w:rPr>
      </w:pPr>
      <w:r w:rsidRPr="00B47C0D">
        <w:rPr>
          <w:sz w:val="24"/>
          <w:szCs w:val="24"/>
        </w:rPr>
        <w:drawing>
          <wp:inline distT="0" distB="0" distL="0" distR="0" wp14:anchorId="0C1ACD2E" wp14:editId="392E817E">
            <wp:extent cx="5943600" cy="31642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AB64D5">
      <w:pPr>
        <w:pStyle w:val="Heading4"/>
        <w:keepNext w:val="0"/>
        <w:keepLines w:val="0"/>
        <w:spacing w:before="240" w:after="40"/>
        <w:jc w:val="both"/>
        <w:rPr>
          <w:b/>
          <w:bCs/>
          <w:color w:val="000000"/>
        </w:rPr>
      </w:pPr>
      <w:bookmarkStart w:id="12" w:name="_6plryerz97k6" w:colFirst="0" w:colLast="0"/>
      <w:bookmarkEnd w:id="12"/>
      <w:r>
        <w:rPr>
          <w:b/>
          <w:bCs/>
          <w:color w:val="000000"/>
        </w:rPr>
        <w:lastRenderedPageBreak/>
        <w:t>Q6: What is the relative popularity and order volume distribution among different cuisine categories?</w:t>
      </w:r>
    </w:p>
    <w:p w:rsidR="00BC72C0" w:rsidRDefault="00AB64D5">
      <w:pPr>
        <w:numPr>
          <w:ilvl w:val="0"/>
          <w:numId w:val="7"/>
        </w:numPr>
        <w:spacing w:before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Vi</w:t>
      </w:r>
      <w:r>
        <w:rPr>
          <w:b/>
          <w:bCs/>
          <w:sz w:val="24"/>
          <w:szCs w:val="24"/>
        </w:rPr>
        <w:t>sualization:</w:t>
      </w:r>
      <w:r>
        <w:rPr>
          <w:sz w:val="24"/>
          <w:szCs w:val="24"/>
        </w:rPr>
        <w:t xml:space="preserve"> A Bubble Chart where each bubble represents a cuisine type sized and labeled by its total order count.</w:t>
      </w:r>
    </w:p>
    <w:p w:rsidR="00BC72C0" w:rsidRDefault="00AB64D5">
      <w:pPr>
        <w:numPr>
          <w:ilvl w:val="0"/>
          <w:numId w:val="7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Insight Provided:</w:t>
      </w:r>
      <w:r>
        <w:rPr>
          <w:sz w:val="24"/>
          <w:szCs w:val="24"/>
        </w:rPr>
        <w:t xml:space="preserve"> Visually emphasizes leading food categories within the ecosystem, providing an intuitive comparison of relative demand across menu types.</w:t>
      </w: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47C0D">
      <w:pPr>
        <w:spacing w:before="240" w:after="240"/>
        <w:jc w:val="both"/>
        <w:rPr>
          <w:sz w:val="24"/>
          <w:szCs w:val="24"/>
        </w:rPr>
      </w:pPr>
      <w:r w:rsidRPr="00B47C0D">
        <w:rPr>
          <w:sz w:val="24"/>
          <w:szCs w:val="24"/>
        </w:rPr>
        <w:drawing>
          <wp:inline distT="0" distB="0" distL="0" distR="0" wp14:anchorId="3C30636F" wp14:editId="15049B3B">
            <wp:extent cx="5943600" cy="31750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AB64D5">
      <w:pPr>
        <w:pStyle w:val="Heading4"/>
        <w:keepNext w:val="0"/>
        <w:keepLines w:val="0"/>
        <w:spacing w:before="240" w:after="40"/>
        <w:jc w:val="both"/>
        <w:rPr>
          <w:b/>
          <w:bCs/>
          <w:color w:val="000000"/>
        </w:rPr>
      </w:pPr>
      <w:bookmarkStart w:id="13" w:name="_nuif9nprveud" w:colFirst="0" w:colLast="0"/>
      <w:bookmarkEnd w:id="13"/>
      <w:r>
        <w:rPr>
          <w:b/>
          <w:bCs/>
          <w:color w:val="000000"/>
        </w:rPr>
        <w:lastRenderedPageBreak/>
        <w:t>Q7: How do consumer order counts fluctuate under different weather conditions (Rainy vs. Non-Rainy) combined</w:t>
      </w:r>
      <w:r>
        <w:rPr>
          <w:b/>
          <w:bCs/>
          <w:color w:val="000000"/>
        </w:rPr>
        <w:t xml:space="preserve"> with customer moods?</w:t>
      </w:r>
    </w:p>
    <w:p w:rsidR="00BC72C0" w:rsidRDefault="00AB64D5">
      <w:pPr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Visualization:</w:t>
      </w:r>
      <w:r>
        <w:rPr>
          <w:sz w:val="24"/>
          <w:szCs w:val="24"/>
        </w:rPr>
        <w:t xml:space="preserve"> A comparative Bar Chart mapping order frequency across mood categories split by rainy weather status.</w:t>
      </w:r>
    </w:p>
    <w:p w:rsidR="00BC72C0" w:rsidRDefault="00AB64D5">
      <w:pPr>
        <w:numPr>
          <w:ilvl w:val="0"/>
          <w:numId w:val="2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Insight Provided:</w:t>
      </w:r>
      <w:r>
        <w:rPr>
          <w:sz w:val="24"/>
          <w:szCs w:val="24"/>
        </w:rPr>
        <w:t xml:space="preserve"> Uncovers environmental and psychological drivers of food delivery demand, demonstrating how weather shifts influence ordering volume during specific moods (e.g., Stressed or Celebrating).</w:t>
      </w: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47C0D">
      <w:pPr>
        <w:spacing w:before="240" w:after="240"/>
        <w:jc w:val="both"/>
        <w:rPr>
          <w:sz w:val="24"/>
          <w:szCs w:val="24"/>
        </w:rPr>
      </w:pPr>
      <w:r w:rsidRPr="00B47C0D">
        <w:rPr>
          <w:sz w:val="24"/>
          <w:szCs w:val="24"/>
        </w:rPr>
        <w:drawing>
          <wp:inline distT="0" distB="0" distL="0" distR="0" wp14:anchorId="4A71F7B4" wp14:editId="079345B0">
            <wp:extent cx="5943600" cy="31534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AB64D5">
      <w:pPr>
        <w:pStyle w:val="Heading4"/>
        <w:keepNext w:val="0"/>
        <w:keepLines w:val="0"/>
        <w:spacing w:before="240" w:after="40"/>
        <w:jc w:val="both"/>
        <w:rPr>
          <w:b/>
          <w:bCs/>
          <w:color w:val="000000"/>
        </w:rPr>
      </w:pPr>
      <w:bookmarkStart w:id="14" w:name="_ry4u73wzpvv3" w:colFirst="0" w:colLast="0"/>
      <w:bookmarkEnd w:id="14"/>
      <w:r>
        <w:rPr>
          <w:b/>
          <w:bCs/>
          <w:color w:val="000000"/>
        </w:rPr>
        <w:lastRenderedPageBreak/>
        <w:t>Q8: How does cuisine-wise revenue or order distribution sh</w:t>
      </w:r>
      <w:r>
        <w:rPr>
          <w:b/>
          <w:bCs/>
          <w:color w:val="000000"/>
        </w:rPr>
        <w:t>ift when evaluated against selectable custom parameters?</w:t>
      </w:r>
    </w:p>
    <w:p w:rsidR="00BC72C0" w:rsidRDefault="00AB64D5">
      <w:pPr>
        <w:numPr>
          <w:ilvl w:val="0"/>
          <w:numId w:val="6"/>
        </w:numPr>
        <w:spacing w:before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Visualization:</w:t>
      </w:r>
      <w:r>
        <w:rPr>
          <w:sz w:val="24"/>
          <w:szCs w:val="24"/>
        </w:rPr>
        <w:t xml:space="preserve"> A dynamic Bar Chart mapping cuisines against a selectable measure parameter (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CNT(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select measure)</w:t>
      </w:r>
      <w:r>
        <w:rPr>
          <w:sz w:val="24"/>
          <w:szCs w:val="24"/>
        </w:rPr>
        <w:t xml:space="preserve"> / Revenue).</w:t>
      </w:r>
    </w:p>
    <w:p w:rsidR="00BC72C0" w:rsidRDefault="00AB64D5">
      <w:pPr>
        <w:numPr>
          <w:ilvl w:val="0"/>
          <w:numId w:val="6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Insight Provided:</w:t>
      </w:r>
      <w:r>
        <w:rPr>
          <w:sz w:val="24"/>
          <w:szCs w:val="24"/>
        </w:rPr>
        <w:t xml:space="preserve"> Offers flexibility for analysts to dynamically toggle per</w:t>
      </w:r>
      <w:r>
        <w:rPr>
          <w:sz w:val="24"/>
          <w:szCs w:val="24"/>
        </w:rPr>
        <w:t>formance metrics across food categories to evaluate revenue generation versus order frequency.</w:t>
      </w: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416BE4">
      <w:pPr>
        <w:spacing w:before="240" w:after="240"/>
        <w:jc w:val="both"/>
        <w:rPr>
          <w:sz w:val="24"/>
          <w:szCs w:val="24"/>
        </w:rPr>
      </w:pPr>
      <w:r w:rsidRPr="00416BE4">
        <w:rPr>
          <w:sz w:val="24"/>
          <w:szCs w:val="24"/>
        </w:rPr>
        <w:drawing>
          <wp:inline distT="0" distB="0" distL="0" distR="0" wp14:anchorId="5AE0B41C" wp14:editId="2A122016">
            <wp:extent cx="5943600" cy="31610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  <w:bookmarkStart w:id="15" w:name="_GoBack"/>
      <w:bookmarkEnd w:id="15"/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AB64D5">
      <w:pPr>
        <w:pStyle w:val="Heading4"/>
        <w:keepNext w:val="0"/>
        <w:keepLines w:val="0"/>
        <w:spacing w:before="240" w:after="40"/>
        <w:jc w:val="both"/>
        <w:rPr>
          <w:b/>
          <w:bCs/>
          <w:color w:val="000000"/>
        </w:rPr>
      </w:pPr>
      <w:bookmarkStart w:id="16" w:name="_d11k5qmqlwjd" w:colFirst="0" w:colLast="0"/>
      <w:bookmarkEnd w:id="16"/>
      <w:r>
        <w:rPr>
          <w:b/>
          <w:bCs/>
          <w:color w:val="000000"/>
        </w:rPr>
        <w:lastRenderedPageBreak/>
        <w:t>Q9: What is the distribution pattern of decision-making time taken by users before placing an order across different cities and meal types?</w:t>
      </w:r>
    </w:p>
    <w:p w:rsidR="00BC72C0" w:rsidRDefault="00AB64D5">
      <w:pPr>
        <w:numPr>
          <w:ilvl w:val="0"/>
          <w:numId w:val="4"/>
        </w:numPr>
        <w:spacing w:before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Visualization:</w:t>
      </w:r>
      <w:r>
        <w:rPr>
          <w:sz w:val="24"/>
          <w:szCs w:val="24"/>
        </w:rPr>
        <w:t xml:space="preserve"> A distribution Bar Chart illustrating the count of orders binned by the time taken to order.</w:t>
      </w:r>
    </w:p>
    <w:p w:rsidR="00BC72C0" w:rsidRDefault="00AB64D5">
      <w:pPr>
        <w:numPr>
          <w:ilvl w:val="0"/>
          <w:numId w:val="4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Insight Provided:</w:t>
      </w:r>
      <w:r>
        <w:rPr>
          <w:sz w:val="24"/>
          <w:szCs w:val="24"/>
        </w:rPr>
        <w:t xml:space="preserve"> Helps operations teams understand user browsing behavior and decision friction, optimizing app interface responsiveness and recomm</w:t>
      </w:r>
      <w:r>
        <w:rPr>
          <w:sz w:val="24"/>
          <w:szCs w:val="24"/>
        </w:rPr>
        <w:t>endation speed.</w:t>
      </w:r>
    </w:p>
    <w:p w:rsidR="00BC72C0" w:rsidRDefault="00AB64D5">
      <w:pPr>
        <w:spacing w:before="240" w:after="240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114300" distB="114300" distL="114300" distR="114300">
            <wp:extent cx="6305550" cy="3064714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0647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>
      <w:pPr>
        <w:spacing w:before="240" w:after="240"/>
        <w:jc w:val="both"/>
        <w:rPr>
          <w:sz w:val="24"/>
          <w:szCs w:val="24"/>
        </w:rPr>
      </w:pPr>
    </w:p>
    <w:p w:rsidR="00BC72C0" w:rsidRDefault="00BC72C0"/>
    <w:sectPr w:rsidR="00BC72C0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64D5" w:rsidRDefault="00AB64D5">
      <w:pPr>
        <w:spacing w:line="240" w:lineRule="auto"/>
      </w:pPr>
      <w:r>
        <w:separator/>
      </w:r>
    </w:p>
  </w:endnote>
  <w:endnote w:type="continuationSeparator" w:id="0">
    <w:p w:rsidR="00AB64D5" w:rsidRDefault="00AB64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1058946B-4B70-4491-9A5A-AB0E922F63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02C2BD-7314-45BC-BD09-67560770E0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35127A1-6EC3-481C-914E-E26A55F98BA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64D5" w:rsidRDefault="00AB64D5">
      <w:pPr>
        <w:spacing w:line="240" w:lineRule="auto"/>
      </w:pPr>
      <w:r>
        <w:separator/>
      </w:r>
    </w:p>
  </w:footnote>
  <w:footnote w:type="continuationSeparator" w:id="0">
    <w:p w:rsidR="00AB64D5" w:rsidRDefault="00AB64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2C0" w:rsidRDefault="00AB64D5">
    <w:r>
      <w:rPr>
        <w:noProof/>
        <w:lang w:val="en-IN"/>
      </w:rPr>
      <w:drawing>
        <wp:inline distT="114300" distB="114300" distL="114300" distR="114300">
          <wp:extent cx="2200275" cy="95250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0275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D0305"/>
    <w:multiLevelType w:val="multilevel"/>
    <w:tmpl w:val="2DEAE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FC6C8D"/>
    <w:multiLevelType w:val="multilevel"/>
    <w:tmpl w:val="64DCE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B32726"/>
    <w:multiLevelType w:val="multilevel"/>
    <w:tmpl w:val="153CF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3C52F4"/>
    <w:multiLevelType w:val="multilevel"/>
    <w:tmpl w:val="3454C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601563"/>
    <w:multiLevelType w:val="multilevel"/>
    <w:tmpl w:val="3AAE9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E908F4"/>
    <w:multiLevelType w:val="multilevel"/>
    <w:tmpl w:val="2E6C4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A85A59"/>
    <w:multiLevelType w:val="multilevel"/>
    <w:tmpl w:val="A3069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D31DBE"/>
    <w:multiLevelType w:val="multilevel"/>
    <w:tmpl w:val="919A3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10677A"/>
    <w:multiLevelType w:val="multilevel"/>
    <w:tmpl w:val="EB022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8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2C0"/>
    <w:rsid w:val="00416BE4"/>
    <w:rsid w:val="00AB64D5"/>
    <w:rsid w:val="00B47C0D"/>
    <w:rsid w:val="00BC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77BA69D-6701-468D-9AC2-0B14AE3B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2026-07-31T10:18:00Z</dcterms:created>
  <dcterms:modified xsi:type="dcterms:W3CDTF">2026-07-31T10:18:00Z</dcterms:modified>
</cp:coreProperties>
</file>