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EA6" w:rsidRDefault="006A3D95">
      <w:pPr>
        <w:spacing w:after="160"/>
        <w:jc w:val="center"/>
        <w:rPr>
          <w:b/>
          <w:bCs/>
          <w:sz w:val="28"/>
          <w:szCs w:val="28"/>
        </w:rPr>
      </w:pPr>
      <w:r>
        <w:rPr>
          <w:sz w:val="30"/>
          <w:szCs w:val="30"/>
        </w:rPr>
        <w:t>Dashboard Design</w:t>
      </w:r>
      <w:r>
        <w:rPr>
          <w:b/>
          <w:bCs/>
          <w:sz w:val="28"/>
          <w:szCs w:val="28"/>
        </w:rPr>
        <w:t xml:space="preserve"> </w:t>
      </w:r>
    </w:p>
    <w:tbl>
      <w:tblPr>
        <w:tblStyle w:val="a"/>
        <w:tblW w:w="9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755"/>
      </w:tblGrid>
      <w:tr w:rsidR="00A65EA6">
        <w:trPr>
          <w:trHeight w:val="480"/>
        </w:trPr>
        <w:tc>
          <w:tcPr>
            <w:tcW w:w="4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5EA6" w:rsidRDefault="006A3D95">
            <w:pPr>
              <w:ind w:left="1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</w:t>
            </w:r>
          </w:p>
        </w:tc>
        <w:tc>
          <w:tcPr>
            <w:tcW w:w="47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5EA6" w:rsidRDefault="006A3D95">
            <w:pPr>
              <w:ind w:left="1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 July 2026</w:t>
            </w:r>
          </w:p>
        </w:tc>
      </w:tr>
      <w:tr w:rsidR="00A65EA6">
        <w:trPr>
          <w:trHeight w:val="480"/>
        </w:trPr>
        <w:tc>
          <w:tcPr>
            <w:tcW w:w="46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5EA6" w:rsidRDefault="006A3D95">
            <w:pPr>
              <w:ind w:left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Team ID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5EA6" w:rsidRDefault="006A3D95">
            <w:pPr>
              <w:ind w:left="1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Sharmishtha</w:t>
            </w:r>
            <w:proofErr w:type="spellEnd"/>
            <w:r>
              <w:rPr>
                <w:sz w:val="26"/>
                <w:szCs w:val="26"/>
              </w:rPr>
              <w:t xml:space="preserve"> Mishra</w:t>
            </w:r>
          </w:p>
        </w:tc>
      </w:tr>
      <w:tr w:rsidR="00A65EA6">
        <w:trPr>
          <w:trHeight w:val="480"/>
        </w:trPr>
        <w:tc>
          <w:tcPr>
            <w:tcW w:w="46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5EA6" w:rsidRDefault="006A3D95">
            <w:pPr>
              <w:ind w:left="1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 Name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5EA6" w:rsidRDefault="006A3D95">
            <w:pPr>
              <w:ind w:left="14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HeartScope</w:t>
            </w:r>
            <w:proofErr w:type="spellEnd"/>
          </w:p>
        </w:tc>
      </w:tr>
      <w:tr w:rsidR="00A65EA6">
        <w:trPr>
          <w:trHeight w:val="480"/>
        </w:trPr>
        <w:tc>
          <w:tcPr>
            <w:tcW w:w="46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5EA6" w:rsidRDefault="006A3D95">
            <w:pPr>
              <w:ind w:left="14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Maximum Marks</w:t>
            </w:r>
          </w:p>
        </w:tc>
        <w:tc>
          <w:tcPr>
            <w:tcW w:w="47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5EA6" w:rsidRDefault="006A3D95">
            <w:pPr>
              <w:ind w:left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  Marks</w:t>
            </w:r>
          </w:p>
        </w:tc>
      </w:tr>
    </w:tbl>
    <w:p w:rsidR="00A65EA6" w:rsidRDefault="006A3D9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A65EA6" w:rsidRDefault="006A3D95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</w:rPr>
      </w:pPr>
      <w:bookmarkStart w:id="0" w:name="_uvbn4b3qcp75" w:colFirst="0" w:colLast="0"/>
      <w:bookmarkEnd w:id="0"/>
      <w:r>
        <w:rPr>
          <w:b/>
          <w:bCs/>
          <w:color w:val="000000"/>
          <w:sz w:val="26"/>
          <w:szCs w:val="26"/>
        </w:rPr>
        <w:t>Activity 1: Interactive and Visually Appealing Dashboards</w:t>
      </w:r>
    </w:p>
    <w:p w:rsidR="00A65EA6" w:rsidRDefault="00A65EA6"/>
    <w:p w:rsidR="00ED05AC" w:rsidRDefault="00ED05AC">
      <w:pPr>
        <w:spacing w:after="160"/>
        <w:jc w:val="center"/>
        <w:rPr>
          <w:sz w:val="30"/>
          <w:szCs w:val="30"/>
        </w:rPr>
      </w:pPr>
    </w:p>
    <w:p w:rsidR="00ED05AC" w:rsidRDefault="00ED05AC">
      <w:pPr>
        <w:spacing w:after="160"/>
        <w:jc w:val="center"/>
        <w:rPr>
          <w:sz w:val="30"/>
          <w:szCs w:val="30"/>
        </w:rPr>
      </w:pPr>
      <w:r w:rsidRPr="00ED05AC">
        <w:rPr>
          <w:sz w:val="30"/>
          <w:szCs w:val="30"/>
        </w:rPr>
        <w:drawing>
          <wp:inline distT="0" distB="0" distL="0" distR="0" wp14:anchorId="5AF66975" wp14:editId="3A388D0A">
            <wp:extent cx="6591300" cy="3947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5AC" w:rsidRDefault="00ED05AC">
      <w:pPr>
        <w:spacing w:after="160"/>
        <w:jc w:val="center"/>
        <w:rPr>
          <w:sz w:val="30"/>
          <w:szCs w:val="30"/>
        </w:rPr>
      </w:pPr>
    </w:p>
    <w:p w:rsidR="00ED05AC" w:rsidRDefault="00ED05AC">
      <w:pPr>
        <w:spacing w:after="160"/>
        <w:jc w:val="center"/>
        <w:rPr>
          <w:sz w:val="30"/>
          <w:szCs w:val="30"/>
        </w:rPr>
      </w:pPr>
    </w:p>
    <w:p w:rsidR="00ED05AC" w:rsidRDefault="00ED05AC">
      <w:pPr>
        <w:spacing w:after="160"/>
        <w:jc w:val="center"/>
        <w:rPr>
          <w:sz w:val="30"/>
          <w:szCs w:val="30"/>
        </w:rPr>
      </w:pPr>
      <w:r w:rsidRPr="00ED05AC">
        <w:rPr>
          <w:sz w:val="30"/>
          <w:szCs w:val="30"/>
        </w:rPr>
        <w:drawing>
          <wp:inline distT="0" distB="0" distL="0" distR="0" wp14:anchorId="7B78D249" wp14:editId="65283E17">
            <wp:extent cx="5943600" cy="3218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A6" w:rsidRDefault="00A65EA6">
      <w:pPr>
        <w:spacing w:after="160"/>
        <w:jc w:val="center"/>
        <w:rPr>
          <w:sz w:val="30"/>
          <w:szCs w:val="30"/>
        </w:rPr>
      </w:pPr>
    </w:p>
    <w:p w:rsidR="00A65EA6" w:rsidRDefault="00ED05AC">
      <w:pPr>
        <w:spacing w:after="160"/>
        <w:jc w:val="center"/>
        <w:rPr>
          <w:sz w:val="30"/>
          <w:szCs w:val="30"/>
        </w:rPr>
      </w:pPr>
      <w:r w:rsidRPr="00ED05AC">
        <w:rPr>
          <w:sz w:val="30"/>
          <w:szCs w:val="30"/>
        </w:rPr>
        <w:drawing>
          <wp:inline distT="0" distB="0" distL="0" distR="0" wp14:anchorId="0ABFA0FF" wp14:editId="31E36C08">
            <wp:extent cx="5943600" cy="3528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A6" w:rsidRDefault="00A65EA6">
      <w:pPr>
        <w:spacing w:after="160"/>
        <w:jc w:val="center"/>
        <w:rPr>
          <w:sz w:val="30"/>
          <w:szCs w:val="30"/>
        </w:rPr>
      </w:pPr>
    </w:p>
    <w:p w:rsidR="00A65EA6" w:rsidRDefault="00ED05AC">
      <w:pPr>
        <w:spacing w:after="160"/>
        <w:jc w:val="center"/>
        <w:rPr>
          <w:sz w:val="30"/>
          <w:szCs w:val="30"/>
        </w:rPr>
      </w:pPr>
      <w:r w:rsidRPr="00ED05AC">
        <w:rPr>
          <w:sz w:val="30"/>
          <w:szCs w:val="30"/>
        </w:rPr>
        <w:drawing>
          <wp:inline distT="0" distB="0" distL="0" distR="0" wp14:anchorId="65E7E1C1" wp14:editId="0BCCA8DF">
            <wp:extent cx="5943600" cy="32137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A6" w:rsidRDefault="00A65EA6">
      <w:pPr>
        <w:spacing w:after="160"/>
        <w:jc w:val="center"/>
        <w:rPr>
          <w:sz w:val="30"/>
          <w:szCs w:val="30"/>
        </w:rPr>
      </w:pPr>
    </w:p>
    <w:p w:rsidR="00A65EA6" w:rsidRDefault="00ED05AC">
      <w:pPr>
        <w:spacing w:after="160"/>
        <w:jc w:val="center"/>
        <w:rPr>
          <w:sz w:val="30"/>
          <w:szCs w:val="30"/>
        </w:rPr>
      </w:pPr>
      <w:r w:rsidRPr="00ED05AC">
        <w:rPr>
          <w:sz w:val="30"/>
          <w:szCs w:val="30"/>
        </w:rPr>
        <w:drawing>
          <wp:inline distT="0" distB="0" distL="0" distR="0" wp14:anchorId="69D23C1D" wp14:editId="41590D96">
            <wp:extent cx="5943600" cy="3133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A6" w:rsidRDefault="00A65EA6">
      <w:pPr>
        <w:spacing w:after="160"/>
        <w:jc w:val="center"/>
        <w:rPr>
          <w:sz w:val="30"/>
          <w:szCs w:val="30"/>
        </w:rPr>
      </w:pPr>
    </w:p>
    <w:p w:rsidR="00A65EA6" w:rsidRDefault="00ED05AC">
      <w:pPr>
        <w:spacing w:after="160"/>
        <w:jc w:val="center"/>
        <w:rPr>
          <w:sz w:val="30"/>
          <w:szCs w:val="30"/>
        </w:rPr>
      </w:pPr>
      <w:r w:rsidRPr="00ED05AC">
        <w:rPr>
          <w:sz w:val="30"/>
          <w:szCs w:val="30"/>
        </w:rPr>
        <w:lastRenderedPageBreak/>
        <w:drawing>
          <wp:inline distT="0" distB="0" distL="0" distR="0" wp14:anchorId="591C0283" wp14:editId="6D2BD727">
            <wp:extent cx="5943600" cy="32169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A6" w:rsidRDefault="00A65EA6">
      <w:pPr>
        <w:spacing w:after="160"/>
        <w:jc w:val="center"/>
        <w:rPr>
          <w:sz w:val="30"/>
          <w:szCs w:val="30"/>
        </w:rPr>
      </w:pPr>
    </w:p>
    <w:p w:rsidR="00A65EA6" w:rsidRDefault="00A65EA6">
      <w:pPr>
        <w:spacing w:after="160"/>
        <w:jc w:val="center"/>
        <w:rPr>
          <w:sz w:val="30"/>
          <w:szCs w:val="30"/>
        </w:rPr>
      </w:pPr>
    </w:p>
    <w:p w:rsidR="00A65EA6" w:rsidRDefault="00A65EA6">
      <w:pPr>
        <w:spacing w:after="160"/>
        <w:jc w:val="center"/>
        <w:rPr>
          <w:sz w:val="30"/>
          <w:szCs w:val="30"/>
        </w:rPr>
      </w:pPr>
    </w:p>
    <w:p w:rsidR="00A65EA6" w:rsidRDefault="00ED05AC">
      <w:pPr>
        <w:spacing w:after="160"/>
        <w:jc w:val="center"/>
        <w:rPr>
          <w:sz w:val="30"/>
          <w:szCs w:val="30"/>
        </w:rPr>
      </w:pPr>
      <w:r w:rsidRPr="00ED05AC">
        <w:rPr>
          <w:sz w:val="30"/>
          <w:szCs w:val="30"/>
        </w:rPr>
        <w:drawing>
          <wp:inline distT="0" distB="0" distL="0" distR="0" wp14:anchorId="10AB12E3" wp14:editId="48B5BC8F">
            <wp:extent cx="5943600" cy="3266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A6" w:rsidRDefault="00A65EA6"/>
    <w:p w:rsidR="00ED05AC" w:rsidRDefault="00ED05AC"/>
    <w:p w:rsidR="00ED05AC" w:rsidRDefault="00ED05AC"/>
    <w:p w:rsidR="00ED05AC" w:rsidRDefault="00ED05AC">
      <w:r w:rsidRPr="00ED05AC">
        <w:drawing>
          <wp:inline distT="0" distB="0" distL="0" distR="0" wp14:anchorId="71F197E4" wp14:editId="5848D7E3">
            <wp:extent cx="5943600" cy="32150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5AC" w:rsidRDefault="00ED05AC"/>
    <w:p w:rsidR="00A65EA6" w:rsidRDefault="006A3D95">
      <w:pPr>
        <w:spacing w:before="240" w:after="240"/>
        <w:jc w:val="both"/>
      </w:pPr>
      <w:r>
        <w:t xml:space="preserve">The core design principles—including a Clear and Intuitive Layout, Color and Theming, Interactive Filters, and Responsive Design—have been applied to create the </w:t>
      </w:r>
      <w:proofErr w:type="spellStart"/>
      <w:r>
        <w:t>HeartScope</w:t>
      </w:r>
      <w:proofErr w:type="spellEnd"/>
      <w:r>
        <w:t xml:space="preserve"> Food Delivery Consumer Behavior Analytics Dashboard. Below are the key outcomes and </w:t>
      </w:r>
      <w:r>
        <w:t>insights surfaced by the analytical interface:</w:t>
      </w:r>
    </w:p>
    <w:p w:rsidR="00A65EA6" w:rsidRDefault="006A3D95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>Executive Platform Scale (KPI Demonstration):</w:t>
      </w:r>
      <w:r>
        <w:t xml:space="preserve"> The high-level KPI table aggregates core metrics—showcasing a total delivery fee earning of ₹2.98M, an aggregate order value of ₹27.39M, an average customer rating of 3, and a total order volume of 50,000. This gives stakeholders an immediate summary of o</w:t>
      </w:r>
      <w:r>
        <w:t>verall marketplace scale and revenue generation.</w:t>
      </w:r>
    </w:p>
    <w:p w:rsidR="00A65EA6" w:rsidRDefault="006A3D95">
      <w:pPr>
        <w:numPr>
          <w:ilvl w:val="0"/>
          <w:numId w:val="1"/>
        </w:numPr>
        <w:jc w:val="both"/>
      </w:pPr>
      <w:r>
        <w:rPr>
          <w:b/>
          <w:bCs/>
        </w:rPr>
        <w:t>Demographic &amp; Price Tier Preference (Orders by Age Group and Restaurant Type):</w:t>
      </w:r>
      <w:r>
        <w:t xml:space="preserve"> The grouped bar graph breaks down order volumes across consumer age segments (Adults, Child, Gen Z, Millennial) and restaurant p</w:t>
      </w:r>
      <w:r>
        <w:t>rice tiers (Budget, Mid-range, Premium). It highlights that younger demographics like Gen Z and Millennials drive massive, consistent transaction volumes across all restaurant categories.</w:t>
      </w:r>
    </w:p>
    <w:p w:rsidR="00A65EA6" w:rsidRDefault="006A3D95">
      <w:pPr>
        <w:numPr>
          <w:ilvl w:val="0"/>
          <w:numId w:val="1"/>
        </w:numPr>
        <w:jc w:val="both"/>
      </w:pPr>
      <w:r>
        <w:rPr>
          <w:b/>
          <w:bCs/>
        </w:rPr>
        <w:t>Urban Revenue &amp; Discount Impact (Order Value by City and Discount Us</w:t>
      </w:r>
      <w:r>
        <w:rPr>
          <w:b/>
          <w:bCs/>
        </w:rPr>
        <w:t>age):</w:t>
      </w:r>
      <w:r>
        <w:t xml:space="preserve"> The stacked bar chart maps total order values across metropolitan markets (Bangalore, Chandigarh, Delhi, Hyderabad, Mumbai, Pune) segmented by discount application status. </w:t>
      </w:r>
      <w:r>
        <w:lastRenderedPageBreak/>
        <w:t>It demonstrates uniform regional spending distribution and provides clear visi</w:t>
      </w:r>
      <w:r>
        <w:t>bility into how promotional discounts influence overall transaction value.</w:t>
      </w:r>
    </w:p>
    <w:p w:rsidR="00A65EA6" w:rsidRDefault="006A3D95">
      <w:pPr>
        <w:numPr>
          <w:ilvl w:val="0"/>
          <w:numId w:val="1"/>
        </w:numPr>
        <w:jc w:val="both"/>
      </w:pPr>
      <w:r>
        <w:rPr>
          <w:b/>
          <w:bCs/>
        </w:rPr>
        <w:t>Cuisine Popularity &amp; Demand Share (Cuisine Popularity Bubble Chart):</w:t>
      </w:r>
      <w:r>
        <w:t xml:space="preserve"> The packed bubble visualization illustrates the relative popularity and order distribution among major culinary </w:t>
      </w:r>
      <w:r>
        <w:t>categories (such as Desserts, Fast Food, Chinese, South Indian, Biryani, and North Indian), proving a balanced consumer appetite across menu types.</w:t>
      </w:r>
    </w:p>
    <w:p w:rsidR="00A65EA6" w:rsidRDefault="006A3D95">
      <w:pPr>
        <w:numPr>
          <w:ilvl w:val="0"/>
          <w:numId w:val="1"/>
        </w:numPr>
        <w:jc w:val="both"/>
      </w:pPr>
      <w:r>
        <w:rPr>
          <w:b/>
          <w:bCs/>
        </w:rPr>
        <w:t>Environmental &amp; Psychological Drivers (Order Count by Mood and Rainy Weather):</w:t>
      </w:r>
      <w:r>
        <w:t xml:space="preserve"> The comparative bar chart ana</w:t>
      </w:r>
      <w:r>
        <w:t>lyzes order frequencies under different weather conditions (Rainy vs. Non-Rainy) combined with consumer emotional states (Celebrating, Happy, Lazy, Stressed). This uncovers how environmental shifts and customer moods influence food delivery demand spikes.</w:t>
      </w:r>
    </w:p>
    <w:p w:rsidR="00A65EA6" w:rsidRDefault="006A3D95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Dynamic Cross-Filtering &amp; Custom Parameters:</w:t>
      </w:r>
      <w:r>
        <w:t xml:space="preserve"> By implementing interactive filters and parameters for discount status, rainy weather, select measures, and time taken to order, business analysts can instantly slice the entire dashboard for targeted behavioral</w:t>
      </w:r>
      <w:r>
        <w:t xml:space="preserve"> segmentation and operational optimization.</w:t>
      </w:r>
    </w:p>
    <w:p w:rsidR="00A65EA6" w:rsidRDefault="006A3D95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" w:name="_ttbz469j6wsa" w:colFirst="0" w:colLast="0"/>
      <w:bookmarkEnd w:id="1"/>
      <w:r>
        <w:rPr>
          <w:b/>
          <w:bCs/>
          <w:color w:val="000000"/>
          <w:sz w:val="26"/>
          <w:szCs w:val="26"/>
        </w:rPr>
        <w:t>Activity 2: Live Deployment Link</w:t>
      </w:r>
    </w:p>
    <w:p w:rsidR="00A65EA6" w:rsidRDefault="006A3D95">
      <w:pPr>
        <w:spacing w:before="240" w:after="240"/>
        <w:jc w:val="both"/>
      </w:pPr>
      <w:r>
        <w:t>Below is the verified public access link to the interactive, cloud-hosted visualization story:</w:t>
      </w:r>
    </w:p>
    <w:p w:rsidR="00A65EA6" w:rsidRDefault="006A3D95">
      <w:pPr>
        <w:spacing w:before="240" w:after="24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Tableau Public Dashboard Link:</w:t>
      </w:r>
    </w:p>
    <w:p w:rsidR="00A65EA6" w:rsidRDefault="00B67D99">
      <w:hyperlink r:id="rId15" w:history="1">
        <w:r w:rsidRPr="00B67D99">
          <w:rPr>
            <w:rStyle w:val="Hyperlink"/>
          </w:rPr>
          <w:t>TABLEAU DASHBOARD LINK</w:t>
        </w:r>
      </w:hyperlink>
      <w:bookmarkStart w:id="2" w:name="_GoBack"/>
      <w:bookmarkEnd w:id="2"/>
    </w:p>
    <w:sectPr w:rsidR="00A65EA6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3D95" w:rsidRDefault="006A3D95">
      <w:pPr>
        <w:spacing w:line="240" w:lineRule="auto"/>
      </w:pPr>
      <w:r>
        <w:separator/>
      </w:r>
    </w:p>
  </w:endnote>
  <w:endnote w:type="continuationSeparator" w:id="0">
    <w:p w:rsidR="006A3D95" w:rsidRDefault="006A3D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B6DF12-35FF-4A04-A9B2-26006F4D2A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61D644-063C-4C86-BE82-2699F43A6A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3D95" w:rsidRDefault="006A3D95">
      <w:pPr>
        <w:spacing w:line="240" w:lineRule="auto"/>
      </w:pPr>
      <w:r>
        <w:separator/>
      </w:r>
    </w:p>
  </w:footnote>
  <w:footnote w:type="continuationSeparator" w:id="0">
    <w:p w:rsidR="006A3D95" w:rsidRDefault="006A3D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5EA6" w:rsidRDefault="006A3D95">
    <w:r>
      <w:rPr>
        <w:noProof/>
        <w:lang w:val="en-IN"/>
      </w:rPr>
      <w:drawing>
        <wp:inline distT="114300" distB="114300" distL="114300" distR="114300">
          <wp:extent cx="2200275" cy="952500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01FBF"/>
    <w:multiLevelType w:val="multilevel"/>
    <w:tmpl w:val="15E68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EA6"/>
    <w:rsid w:val="006A3D95"/>
    <w:rsid w:val="00A65EA6"/>
    <w:rsid w:val="00B67D99"/>
    <w:rsid w:val="00ED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822E"/>
  <w15:docId w15:val="{6D713624-B887-48E4-B9E7-379876CF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67D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public.tableau.com/app/profile/chanchal.mittal/viz/FOODORDERINGDASHBOARD1/Dashboard1?publish=ye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2026-07-31T10:24:00Z</dcterms:created>
  <dcterms:modified xsi:type="dcterms:W3CDTF">2026-07-31T10:36:00Z</dcterms:modified>
</cp:coreProperties>
</file>