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Conclusion / Observation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the project structure and data analysis of your food ordering behavior dataset, here are the core conclusions and observations: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wv9oy9gz240t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Market Share &amp; Revenue Drivers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Cuisine Dominance:</w:t>
      </w:r>
      <w:r w:rsidDel="00000000" w:rsidR="00000000" w:rsidRPr="00000000">
        <w:rPr>
          <w:sz w:val="24"/>
          <w:szCs w:val="24"/>
          <w:rtl w:val="0"/>
        </w:rPr>
        <w:t xml:space="preserve"> The market share distribution indicates that certain cuisines capture a significantly higher percentage of orders, making them the primary anchor for transaction volume across cities.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Discount Impact:</w:t>
      </w:r>
      <w:r w:rsidDel="00000000" w:rsidR="00000000" w:rsidRPr="00000000">
        <w:rPr>
          <w:sz w:val="24"/>
          <w:szCs w:val="24"/>
          <w:rtl w:val="0"/>
        </w:rPr>
        <w:t xml:space="preserve"> The stacked bar analysis reveals that promotional discounts play a major role in driving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order_value</w:t>
      </w:r>
      <w:r w:rsidDel="00000000" w:rsidR="00000000" w:rsidRPr="00000000">
        <w:rPr>
          <w:sz w:val="24"/>
          <w:szCs w:val="24"/>
          <w:rtl w:val="0"/>
        </w:rPr>
        <w:t xml:space="preserve"> across various cities, though their effectiveness fluctuates depending on whether it is a weekday or weekend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day_type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z60p5ixhoq2n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Customer Demographics &amp; Behavior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 Group Segmentation:</w:t>
      </w:r>
      <w:r w:rsidDel="00000000" w:rsidR="00000000" w:rsidRPr="00000000">
        <w:rPr>
          <w:sz w:val="24"/>
          <w:szCs w:val="24"/>
          <w:rtl w:val="0"/>
        </w:rPr>
        <w:t xml:space="preserve"> Order counts categorized by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Age Group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Restaurant Type</w:t>
      </w:r>
      <w:r w:rsidDel="00000000" w:rsidR="00000000" w:rsidRPr="00000000">
        <w:rPr>
          <w:sz w:val="24"/>
          <w:szCs w:val="24"/>
          <w:rtl w:val="0"/>
        </w:rPr>
        <w:t xml:space="preserve"> show that younger demographics (such as Gen Z and Millennials) drive the highest volume of transactions, particularly in fast-casual and quick-service settings.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Psychological &amp; Environmental Triggers: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heatmap and bar charts mapping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mood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hunger_level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rainy_weather</w:t>
      </w:r>
      <w:r w:rsidDel="00000000" w:rsidR="00000000" w:rsidRPr="00000000">
        <w:rPr>
          <w:sz w:val="24"/>
          <w:szCs w:val="24"/>
          <w:rtl w:val="0"/>
        </w:rPr>
        <w:t xml:space="preserve"> demonstrate that external weather conditions and emotional states strongly influence both order volume and ratings given. High-hunger states coupled with rainy weather show distinct ordering surges.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Decision-making latency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time_taken_to_order</w:t>
      </w:r>
      <w:r w:rsidDel="00000000" w:rsidR="00000000" w:rsidRPr="00000000">
        <w:rPr>
          <w:sz w:val="24"/>
          <w:szCs w:val="24"/>
          <w:rtl w:val="0"/>
        </w:rPr>
        <w:t xml:space="preserve">) varies notably by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meal_type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city</w:t>
      </w:r>
      <w:r w:rsidDel="00000000" w:rsidR="00000000" w:rsidRPr="00000000">
        <w:rPr>
          <w:sz w:val="24"/>
          <w:szCs w:val="24"/>
          <w:rtl w:val="0"/>
        </w:rPr>
        <w:t xml:space="preserve">, showing how quickly customers finalize their choices depending on the time of day.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bk1finu7awkh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Customer Satisfaction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Ratings vs. State:</w:t>
      </w:r>
      <w:r w:rsidDel="00000000" w:rsidR="00000000" w:rsidRPr="00000000">
        <w:rPr>
          <w:sz w:val="24"/>
          <w:szCs w:val="24"/>
          <w:rtl w:val="0"/>
        </w:rPr>
        <w:t xml:space="preserve"> Customer satisfaction (measured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rating_given</w:t>
      </w:r>
      <w:r w:rsidDel="00000000" w:rsidR="00000000" w:rsidRPr="00000000">
        <w:rPr>
          <w:sz w:val="24"/>
          <w:szCs w:val="24"/>
          <w:rtl w:val="0"/>
        </w:rPr>
        <w:t xml:space="preserve">) fluctuates based on pre-ordering moods and hunger levels, highlighting that user experience is heavily subjective and tied to their immediate psychological context when placing an order.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/>
      <w:drawing>
        <wp:inline distB="114300" distT="114300" distL="114300" distR="114300">
          <wp:extent cx="2200275" cy="9525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0275" cy="952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