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357E" w:sz="8"/>
        </w:pBd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34"/>
          <w:szCs w:val="34"/>
        </w:rPr>
        <w:t xml:space="preserve">Training a 40-Billion-Parameter India-First Model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30"/>
          <w:szCs w:val="30"/>
        </w:rPr>
        <w:t xml:space="preserve">Problem Statement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Train a 40-billion-parameter model, from scratch, that is India-first: as capable as Gemma 4 on general tasks, strong in coding and agentic work, fluent across the top-ten Indian languages, and — the distinctive requirement — able to reason from an Indian perspective.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hard constraint is the supply of native Indic text. AI4Bharat's Sangraha, the largest cleaned natural Indic corpus, holds ~251B tokens; IndicCorp v2 adds ~20.9B — roughly 280B natural tokens against an Indic budget near 1.3T, and skewed heavily toward Hindi. But the naive reading, "five times short, so manufacture the rest," is wrong: Muennighoff et al. (2023) show that repeating high-quality data for up to about four epochs costs almost nothing in loss, so repetition recovers most of the gap. The scarcity is real, but it does not force a synthetic-heavy corpus.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Machine-translated text fragments under English-centric tokenizers (4–8 tokens per Indic word) and carries "translationese," the source language's framing. Native pretraining data keeps a documented 3-to-11-point edge on culturally-loaded tasks even after identical fine-tuning (Velasco &amp; Roque, 2025), and prompting in the local language does not remove a systematic Western-value skew (Naous et al./CAMeL; PNAS Nexus, 2024). Fluency and cultural vantage are dissociable.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30"/>
          <w:szCs w:val="30"/>
        </w:rPr>
        <w:t xml:space="preserve">Research Proposal (Novelty)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Inference-time cultural steering on existing models is now crowded: multiple 2026 papers build contrastive difference-in-means "value directions" and steer them in the residual stream. What none of them do is control the pretraining data and ask what it does to the direction itself; they treat pretraining as a fixed confound.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Everyone treats the perspective vector as an inference knob on a finished model; we treat its geometry as a readout of the training data, in a from-scratch setting where we control that data. To extract the direction cleanly we introduce contrastive-surprisal weighting: perspective-bearing content is rare under a Western-skewed model and therefore high-surprisal, so we localize the framing signal by the surprisal gap between an Indian-framed and Western-framed continuation, rather than averaging over whole passages, which entangles the direction.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30"/>
          <w:szCs w:val="30"/>
        </w:rPr>
        <w:t xml:space="preserve">Proposal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Native-first data with repetition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(so the direction reflects genuine Indian text).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Provenance tagging on every document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(so the causal experiment is possible).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Purpose-built contrastive perspective corpus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(which serves double duty as steering-direction source and evaluation set).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30"/>
          <w:szCs w:val="30"/>
        </w:rPr>
        <w:t xml:space="preserve">Part B — Data Strategy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B.0  Overview and budget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model will train on about 6T tokens. The mixture below is the planned allocation; exact shares will be tuned on proxy models before the full run.</w:t>
      </w:r>
    </w:p>
    <w:tbl>
      <w:tblPr>
        <w:tblW w:type="dxa" w:w="9360"/>
        <w:tblBorders>
          <w:top w:val="single" w:color="C9CBDA" w:sz="2"/>
          <w:left w:val="single" w:color="C9CBDA" w:sz="2"/>
          <w:bottom w:val="single" w:color="C9CBDA" w:sz="2"/>
          <w:right w:val="single" w:color="C9CBDA" w:sz="2"/>
          <w:insideH w:val="single" w:color="C9CBDA" w:sz="2"/>
          <w:insideV w:val="single" w:color="C9CBDA" w:sz="2"/>
        </w:tblBorders>
      </w:tblPr>
      <w:tblGrid>
        <w:gridCol w:w="2900"/>
        <w:gridCol w:w="900"/>
        <w:gridCol w:w="1160"/>
        <w:gridCol w:w="4400"/>
      </w:tblGrid>
      <w:tr>
        <w:trPr>
          <w:tblHeader/>
        </w:trPr>
        <w:tc>
          <w:tcPr>
            <w:tcW w:type="dxa" w:w="29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9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6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44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English (general + reasoning)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40%</w:t>
            </w:r>
          </w:p>
        </w:tc>
        <w:tc>
          <w:tcPr>
            <w:tcW w:type="dxa" w:w="11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2.40T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Capability backbone; India-in-English routed here</w:t>
            </w:r>
          </w:p>
        </w:tc>
      </w:tr>
      <w:tr>
        <w:tc>
          <w:tcPr>
            <w:tcW w:type="dxa" w:w="2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type="dxa" w:w="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1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1.20T</w:t>
            </w:r>
          </w:p>
        </w:tc>
        <w:tc>
          <w:tcPr>
            <w:tcW w:type="dxa" w:w="4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Coding, agentic, reasoning transfer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Indic (10 languages)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22%</w:t>
            </w:r>
          </w:p>
        </w:tc>
        <w:tc>
          <w:tcPr>
            <w:tcW w:type="dxa" w:w="11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1.32T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India-first core</w:t>
            </w:r>
          </w:p>
        </w:tc>
      </w:tr>
      <w:tr>
        <w:tc>
          <w:tcPr>
            <w:tcW w:type="dxa" w:w="2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Math + science</w:t>
            </w:r>
          </w:p>
        </w:tc>
        <w:tc>
          <w:tcPr>
            <w:tcW w:type="dxa" w:w="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12%</w:t>
            </w:r>
          </w:p>
        </w:tc>
        <w:tc>
          <w:tcPr>
            <w:tcW w:type="dxa" w:w="11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0.72T</w:t>
            </w:r>
          </w:p>
        </w:tc>
        <w:tc>
          <w:tcPr>
            <w:tcW w:type="dxa" w:w="4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AIME / GPQA parity</w:t>
            </w:r>
          </w:p>
        </w:tc>
      </w:tr>
      <w:tr>
        <w:tc>
          <w:tcPr>
            <w:tcW w:type="dxa" w:w="2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Other multilingual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6%</w:t>
            </w:r>
          </w:p>
        </w:tc>
        <w:tc>
          <w:tcPr>
            <w:tcW w:type="dxa" w:w="11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0.36T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Cross-lingual transfer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B.1  Pre-training data — provenance-tiered, native-first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Every Indic document is tagged by origin. Tier definitions and the native-first rule follow directly from the repetition result: unique native content is scarce and precious, so we repeat it rather than dilute with manufactured text.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T0 native-verified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human-checked native text: Sangraha verified (curated sites, OCR'd Indic PDFs, transcribed Indic audio/video), native Wikipedia, digitised books.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T1 native-web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native-origin web, perplexity-filtered: Sangraha filtered set + IndicCorp v2.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T2 native-synthetic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generated bottom-up from Indian sources (in the spirit of AI4Bharat's IndicAlign and Microsoft's Updesh), generated once, mixed with real data. Capped.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T3 translated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English→Indic, minimized; only to reach languages whose native corpus is too thin.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Repetition / effective-token accounting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(the ≤4-epoch cap is from Muennighoff et al., 2023):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budget_ℓ  =  e_ℓ · U_ℓ  +  G_ℓ          with   e_ℓ ≤ 4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For a language ℓ: U_ℓ = unique native tokens (T0+T1), e_ℓ = epochs of repetition (capped at ~4, where the loss penalty is still &lt;1%), G_ℓ = manufactured residual (T2+T3) filling the rest. This is where fairness enters the data, not just the tokenizer: Hindi has large U_ℓ and needs few epochs and little G_ℓ; Malayalam and Odia have small U_ℓ, hit the epoch cap sooner, and need proportionally more G_ℓ — which is exactly why they need the closest evaluation.</w:t>
      </w:r>
    </w:p>
    <w:tbl>
      <w:tblPr>
        <w:tblW w:type="dxa" w:w="9360"/>
        <w:tblBorders>
          <w:top w:val="single" w:color="C9CBDA" w:sz="2"/>
          <w:left w:val="single" w:color="C9CBDA" w:sz="2"/>
          <w:bottom w:val="single" w:color="C9CBDA" w:sz="2"/>
          <w:right w:val="single" w:color="C9CBDA" w:sz="2"/>
          <w:insideH w:val="single" w:color="C9CBDA" w:sz="2"/>
          <w:insideV w:val="single" w:color="C9CBDA" w:sz="2"/>
        </w:tblBorders>
      </w:tblPr>
      <w:tblGrid>
        <w:gridCol w:w="1900"/>
        <w:gridCol w:w="2300"/>
        <w:gridCol w:w="1500"/>
        <w:gridCol w:w="1900"/>
        <w:gridCol w:w="1760"/>
      </w:tblGrid>
      <w:tr>
        <w:trPr>
          <w:tblHeader/>
        </w:trPr>
        <w:tc>
          <w:tcPr>
            <w:tcW w:type="dxa" w:w="19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3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Unique native U_ℓ</w:t>
            </w:r>
          </w:p>
        </w:tc>
        <w:tc>
          <w:tcPr>
            <w:tcW w:type="dxa" w:w="15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Epochs e_ℓ</w:t>
            </w:r>
          </w:p>
        </w:tc>
        <w:tc>
          <w:tcPr>
            <w:tcW w:type="dxa" w:w="19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Manufactured G_ℓ</w:t>
            </w:r>
          </w:p>
        </w:tc>
        <w:tc>
          <w:tcPr>
            <w:tcW w:type="dxa" w:w="176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Budget_ℓ</w:t>
            </w:r>
          </w:p>
        </w:tc>
      </w:tr>
      <w:tr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Hindi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~120B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3×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~40B</w:t>
            </w:r>
          </w:p>
        </w:tc>
        <w:tc>
          <w:tcPr>
            <w:tcW w:type="dxa" w:w="17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~400B</w:t>
            </w:r>
          </w:p>
        </w:tc>
      </w:tr>
      <w:tr>
        <w:tc>
          <w:tcPr>
            <w:tcW w:type="dxa" w:w="1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Bengali</w:t>
            </w:r>
          </w:p>
        </w:tc>
        <w:tc>
          <w:tcPr>
            <w:tcW w:type="dxa" w:w="23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~35B</w:t>
            </w:r>
          </w:p>
        </w:tc>
        <w:tc>
          <w:tcPr>
            <w:tcW w:type="dxa" w:w="15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4×</w:t>
            </w:r>
          </w:p>
        </w:tc>
        <w:tc>
          <w:tcPr>
            <w:tcW w:type="dxa" w:w="1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~30B</w:t>
            </w:r>
          </w:p>
        </w:tc>
        <w:tc>
          <w:tcPr>
            <w:tcW w:type="dxa" w:w="17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~170B</w:t>
            </w:r>
          </w:p>
        </w:tc>
      </w:tr>
      <w:tr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Tamil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~20B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4×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~40B</w:t>
            </w:r>
          </w:p>
        </w:tc>
        <w:tc>
          <w:tcPr>
            <w:tcW w:type="dxa" w:w="17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~120B</w:t>
            </w:r>
          </w:p>
        </w:tc>
      </w:tr>
      <w:tr>
        <w:tc>
          <w:tcPr>
            <w:tcW w:type="dxa" w:w="1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Malayalam</w:t>
            </w:r>
          </w:p>
        </w:tc>
        <w:tc>
          <w:tcPr>
            <w:tcW w:type="dxa" w:w="23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~10B</w:t>
            </w:r>
          </w:p>
        </w:tc>
        <w:tc>
          <w:tcPr>
            <w:tcW w:type="dxa" w:w="15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4×</w:t>
            </w:r>
          </w:p>
        </w:tc>
        <w:tc>
          <w:tcPr>
            <w:tcW w:type="dxa" w:w="1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~50B</w:t>
            </w:r>
          </w:p>
        </w:tc>
        <w:tc>
          <w:tcPr>
            <w:tcW w:type="dxa" w:w="17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~90B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Native-provenance instances ≈ 85% of the 1.32T; manufactured ≈ 15%. Unique native content is capped near ~280B regardless — the honest ceiling.</w:t>
      </w:r>
    </w:p>
    <w:tbl>
      <w:tblPr>
        <w:tblW w:type="dxa" w:w="9360"/>
        <w:tblBorders>
          <w:top w:val="single" w:color="C9CBDA" w:sz="2"/>
          <w:left w:val="single" w:color="C9CBDA" w:sz="2"/>
          <w:bottom w:val="single" w:color="C9CBDA" w:sz="2"/>
          <w:right w:val="single" w:color="C9CBDA" w:sz="2"/>
          <w:insideH w:val="single" w:color="C9CBDA" w:sz="2"/>
          <w:insideV w:val="single" w:color="C9CBDA" w:sz="2"/>
        </w:tblBorders>
      </w:tblPr>
      <w:tblGrid>
        <w:gridCol w:w="2100"/>
        <w:gridCol w:w="900"/>
        <w:gridCol w:w="1160"/>
        <w:gridCol w:w="5200"/>
      </w:tblGrid>
      <w:tr>
        <w:trPr>
          <w:tblHeader/>
        </w:trPr>
        <w:tc>
          <w:tcPr>
            <w:tcW w:type="dxa" w:w="21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9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6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Tokens</w:t>
            </w:r>
          </w:p>
        </w:tc>
        <w:tc>
          <w:tcPr>
            <w:tcW w:type="dxa" w:w="52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Native (T0/T1)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85%</w:t>
            </w:r>
          </w:p>
        </w:tc>
        <w:tc>
          <w:tcPr>
            <w:tcW w:type="dxa" w:w="11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~1.12T</w:t>
            </w:r>
          </w:p>
        </w:tc>
        <w:tc>
          <w:tcPr>
            <w:tcW w:type="dxa" w:w="5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Primary signal; 4-epoch repetition of high-quality Indic corpus</w:t>
            </w:r>
          </w:p>
        </w:tc>
      </w:tr>
      <w:tr>
        <w:tc>
          <w:tcPr>
            <w:tcW w:type="dxa" w:w="21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Synthetic (T2)</w:t>
            </w:r>
          </w:p>
        </w:tc>
        <w:tc>
          <w:tcPr>
            <w:tcW w:type="dxa" w:w="9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1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~130B</w:t>
            </w:r>
          </w:p>
        </w:tc>
        <w:tc>
          <w:tcPr>
            <w:tcW w:type="dxa" w:w="52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Bottom-up generation from native seeds to boost logic/reasoning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Translated (T3)</w:t>
            </w:r>
          </w:p>
        </w:tc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5%</w:t>
            </w:r>
          </w:p>
        </w:tc>
        <w:tc>
          <w:tcPr>
            <w:tcW w:type="dxa" w:w="11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~65B</w:t>
            </w:r>
          </w:p>
        </w:tc>
        <w:tc>
          <w:tcPr>
            <w:tcW w:type="dxa" w:w="5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Gap-filler for extremely low-resource languages; minimized</w:t>
            </w:r>
          </w:p>
        </w:tc>
      </w:tr>
    </w:tbl>
    <w:p>
      <w:pP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Illustrative pre-training record</w:t>
      </w:r>
    </w:p>
    <w:p>
      <w:pPr>
        <w:spacing w:after="150" w:before="4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5A5A6E"/>
          <w:sz w:val="17"/>
          <w:szCs w:val="17"/>
        </w:rPr>
        <w:t xml:space="preserve">Schema is the real design; content and surprisal value are illustrative.</w:t>
      </w:r>
    </w:p>
    <w:tbl>
      <w:tblPr>
        <w:tblW w:type="dxa" w:w="9360"/>
        <w:tblBorders>
          <w:top w:val="single" w:color="1B1E38" w:sz="2"/>
          <w:left w:val="single" w:color="1B1E38" w:sz="2"/>
          <w:bottom w:val="single" w:color="1B1E38" w:sz="2"/>
          <w:right w:val="single" w:color="1B1E38" w:sz="2"/>
          <w:insideH w:val="single" w:color="1B1E38" w:sz="2"/>
          <w:insideV w:val="single" w:color="1B1E38" w:sz="2"/>
        </w:tblBorders>
      </w:tblPr>
      <w:tblGrid>
        <w:gridCol w:w="9360"/>
      </w:tblGrid>
      <w:tr>
        <w:tc>
          <w:tcPr>
            <w:tcW w:type="dxa" w:w="9360"/>
            <w:shd w:fill="1B1E3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{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"doc_id":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"san-hi-004921",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"lang":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"hi",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"script":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"Devanagari",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"tier":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"T0_native_verified",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"source":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"Sangraha-Verified / transcribed lecture",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"text":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"स्वदेशी आंदोलन ने विदेशी वस्त्रों का बहिष्कार कर ...",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"mean_surprisal_vs_ref":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95AC"/>
                <w:sz w:val="17"/>
                <w:szCs w:val="17"/>
              </w:rPr>
              <w:t xml:space="preserve">4.7,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// illustrative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"epochs_scheduled":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95AC"/>
                <w:sz w:val="17"/>
                <w:szCs w:val="17"/>
              </w:rPr>
              <w:t xml:space="preserve">3,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"decontam_checked":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95AC"/>
                <w:sz w:val="17"/>
                <w:szCs w:val="17"/>
              </w:rPr>
              <w:t xml:space="preserve">true</w:t>
            </w:r>
          </w:p>
          <w:p>}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mean_surprisal_vs_ref field is not decorative — it feeds both the curriculum (high-signal native docs are annealed late) and the perspective work below.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Phase A (~60% of tokens) high-resource-heavy; Phase B (~30%) ramp Indic + the manufactured top-up; Phase C (~10%) anneal on highest-quality native Indic (the translationese gap-closer, per Doshi et al., 2024).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B.2  Data cleaning — objective-driven filtering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Cleaning strategy: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every stage of the pipeline will serve a defined objective rather than generic hygiene. We will build on AI4Bharat's Setu, a Spark-based pipeline for extraction, cleaning, filtering, and deduplication, and extend it for provenance integrity.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Family-aware language identification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script-sharing languages (Hindi and Marathi both use Devanagari) will be separated with a language-family detector (IndicLID); a mislabelled document corrupts both languages' counts and the per-language repetition budget.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Conservative script normalization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Indic scripts encode the same grapheme several ways; we will canonicalize the encoding without stripping meaningful diacritics or dependent vowels, since over-normalization inflates fertility and damages morphology.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Perplexity-based quality filtering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a CCNet-style n-gram model trained on verified text will score each document; high perplexity flags garbled or mislabelled content.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Deduplication (exact, fuzzy, cross-tier)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MinHash and SemDedup will remove near-duplicates; cross-tier duplicates will be dropped so the provenance tiers stay disjoint. This keeps the repetition accounting valid, since undetected duplicates would push effective epochs past the ~4-epoch cap.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Translationese filtering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machine-translated text shows lower type-token ratio and lower unigram entropy (Velasco &amp; Roque, 2025); a document will enter a native tier only if its translationese score is low, otherwise it is treated as translated. This keeps the native tiers native.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Synthetic-data gating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synthetic text will be generated once, mixed with real data, and never fed back recursively; bland or ungrounded generations will be rejected or demoted to translated.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Toxicity removal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Setu toxicity filtering with Indic word-lists.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Decontamination and perspective-corpus hold-out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evaluation text will be removed and canary strings planted; the contrastive perspective corpus will be strictly excluded from pretraining, so separability measures a learned vantage rather than memorization.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Chauvinism guarding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hostile, us-versus-them framing will be removed from the tiers we repeat and from the chosen side of preference pairs, admitted only as the rejected_B example.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Ordering will be enforced: deduplication precedes repetition accounting, translationese filtering precedes native-tier trust, and decontamination precedes training.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B.3  Tokenizer and fertility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Tokenizer strategy: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we will train a custom tokenizer that treats fertility as a first-class objective and enforces fairness across scripts.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Fertility, the number of subword tokens per word, governs how much linguistic content a fixed token budget yields: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effective words  =  token budget  /  fertility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English-centric tokenizers fragment Indic scripts at 4–8 tokens per word (over 10 on Telugu for Llama-3 and Qwen-2.5); the tokenizer will target 1.4–2.1. At the 1.32T Indic budget, fertility 6 yields 220B word-equivalents while fertility 2 yields 660B, three times the linguistic content for the same compute.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We will minimize the worst-case fertility rather than the mean, so a low Hindi figure cannot be bought at the cost of a high Malayalam one: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standard objective:   minimize   (1/L) · Σ_ℓ fertility(ℓ)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our objective:        minimize   ( max_ℓ fertility(ℓ) )        (parity-aware BPE)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will be parity-aware BPE (Foroutan et al., 2025), extended with morphology-aware pre-tokenization for the Dravidian scripts and an optional Brahmic script-sharing variant for cross-lingual subword transfer.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Per-language targets, anchored to measured Sarvam-30B (262K vocabulary, FLORES-200); worst-case capped at 2.5, floor 2.8:</w:t>
      </w:r>
    </w:p>
    <w:tbl>
      <w:tblPr>
        <w:tblW w:type="dxa" w:w="9360"/>
        <w:tblBorders>
          <w:top w:val="single" w:color="C9CBDA" w:sz="2"/>
          <w:left w:val="single" w:color="C9CBDA" w:sz="2"/>
          <w:bottom w:val="single" w:color="C9CBDA" w:sz="2"/>
          <w:right w:val="single" w:color="C9CBDA" w:sz="2"/>
          <w:insideH w:val="single" w:color="C9CBDA" w:sz="2"/>
          <w:insideV w:val="single" w:color="C9CBDA" w:sz="2"/>
        </w:tblBorders>
      </w:tblPr>
      <w:tblGrid>
        <w:gridCol w:w="2000"/>
        <w:gridCol w:w="2400"/>
        <w:gridCol w:w="2960"/>
        <w:gridCol w:w="2000"/>
      </w:tblGrid>
      <w:tr>
        <w:trPr>
          <w:tblHeader/>
        </w:trPr>
        <w:tc>
          <w:tcPr>
            <w:tcW w:type="dxa" w:w="20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296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Measured (Sarvam-30B)</w:t>
            </w:r>
          </w:p>
        </w:tc>
        <w:tc>
          <w:tcPr>
            <w:tcW w:type="dxa" w:w="20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English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Latin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1.24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Hindi</w:t>
            </w:r>
          </w:p>
        </w:tc>
        <w:tc>
          <w:tcPr>
            <w:tcW w:type="dxa" w:w="2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1.39</w:t>
            </w:r>
          </w:p>
        </w:tc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Punjabi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1.63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1.65</w:t>
            </w:r>
          </w:p>
        </w:tc>
      </w:tr>
      <w:tr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Bengali</w:t>
            </w:r>
          </w:p>
        </w:tc>
        <w:tc>
          <w:tcPr>
            <w:tcW w:type="dxa" w:w="2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1.68</w:t>
            </w:r>
          </w:p>
        </w:tc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Gujarati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1.93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Odia</w:t>
            </w:r>
          </w:p>
        </w:tc>
        <w:tc>
          <w:tcPr>
            <w:tcW w:type="dxa" w:w="2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1.97</w:t>
            </w:r>
          </w:p>
        </w:tc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1.95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Marathi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Indo-Aryan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2.00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Telugu</w:t>
            </w:r>
          </w:p>
        </w:tc>
        <w:tc>
          <w:tcPr>
            <w:tcW w:type="dxa" w:w="2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Dravidian</w:t>
            </w:r>
          </w:p>
        </w:tc>
        <w:tc>
          <w:tcPr>
            <w:tcW w:type="dxa" w:w="29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2.32</w:t>
            </w:r>
          </w:p>
        </w:tc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Tamil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Dravidian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2.36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Kannada</w:t>
            </w:r>
          </w:p>
        </w:tc>
        <w:tc>
          <w:tcPr>
            <w:tcW w:type="dxa" w:w="24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Dravidian</w:t>
            </w:r>
          </w:p>
        </w:tc>
        <w:tc>
          <w:tcPr>
            <w:tcW w:type="dxa" w:w="29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2.56</w:t>
            </w:r>
          </w:p>
        </w:tc>
        <w:tc>
          <w:tcPr>
            <w:tcW w:type="dxa" w:w="20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2.45</w:t>
            </w:r>
          </w:p>
        </w:tc>
      </w:tr>
      <w:tr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Malayalam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Dravidian</w:t>
            </w:r>
          </w:p>
        </w:tc>
        <w:tc>
          <w:tcPr>
            <w:tcW w:type="dxa" w:w="29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2.94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2.50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non-language domains require a unit before fertility is defined:</w:t>
      </w:r>
    </w:p>
    <w:tbl>
      <w:tblPr>
        <w:tblW w:type="dxa" w:w="9360"/>
        <w:tblBorders>
          <w:top w:val="single" w:color="C9CBDA" w:sz="2"/>
          <w:left w:val="single" w:color="C9CBDA" w:sz="2"/>
          <w:bottom w:val="single" w:color="C9CBDA" w:sz="2"/>
          <w:right w:val="single" w:color="C9CBDA" w:sz="2"/>
          <w:insideH w:val="single" w:color="C9CBDA" w:sz="2"/>
          <w:insideV w:val="single" w:color="C9CBDA" w:sz="2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5660"/>
            <w:shd w:fill="2E35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and lever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tokens / line</w:t>
            </w:r>
          </w:p>
        </w:tc>
        <w:tc>
          <w:tcPr>
            <w:tcW w:type="dxa" w:w="56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English-parity efficiency via whitespace-run and keyword/operator tokens</w:t>
            </w:r>
          </w:p>
        </w:tc>
      </w:tr>
      <w:tr>
        <w:tc>
          <w:tcPr>
            <w:tcW w:type="dxa" w:w="15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Math</w:t>
            </w:r>
          </w:p>
        </w:tc>
        <w:tc>
          <w:tcPr>
            <w:tcW w:type="dxa" w:w="22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tokens / number</w:t>
            </w:r>
          </w:p>
        </w:tc>
        <w:tc>
          <w:tcPr>
            <w:tcW w:type="dxa" w:w="56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Single-digit or 3-digit chunking: slightly higher fertility, much better arithmetic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Science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≈ English (1.2–1.4)</w:t>
            </w:r>
          </w:p>
        </w:tc>
        <w:tc>
          <w:tcPr>
            <w:tcW w:type="dxa" w:w="566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coverage of Greek letters, units, and notation</w:t>
            </w:r>
          </w:p>
        </w:tc>
      </w:tr>
      <w:tr>
        <w:tc>
          <w:tcPr>
            <w:tcW w:type="dxa" w:w="15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Agentic</w:t>
            </w:r>
          </w:p>
        </w:tc>
        <w:tc>
          <w:tcPr>
            <w:tcW w:type="dxa" w:w="220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tokens / action</w:t>
            </w:r>
          </w:p>
        </w:tc>
        <w:tc>
          <w:tcPr>
            <w:tcW w:type="dxa" w:w="5660"/>
            <w:shd w:fill="F7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Reserved tokens for tool-call delimiters and common JSON keys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Vocabulary: we will set the vocabulary at 256K (matching Gemma-3, SUTRA, and Sarvam-30B). At a model width near 6,144 the tied embedding is about 1.6B parameters, roughly 4% of the model. The final size will be fixed by the proxy sweep, since past ~256K fertility gains flatten while rare tokens are under-trained. Indicative allocation: ~95K for Latin, code, math, and symbols; ~150K across the nine Indic scripts, weighted toward Dravidian; ~11K reserved for tool-call and structural tokens.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Metrics tracked alongside fertility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ratio of highest to lowest per-language fertility (max/min); closer to 1 is fairer.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Perplexity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PPL(d) = exp( −(1/N) Σ log P_ref(x_t | x_&lt;t) ), for corpus quality filtering.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Type-token ratio and unigram entropy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distinct words over total words, and −Σ p_w log p_w, for translationese detection.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Deduplication overlap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Jaccard J(A,B) = |A ∩ B| / |A ∪ B| on MinHash signatures.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Bits-per-byte and held-out cross-entropy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the tokenizer-independent capability measure used to match arms in the experiment.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B.4  The contrastive perspective corpus — the research-specific data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We will collect and author minimal contrastive pairs on contested, globally-framed topics: same prefix, two continuations that differ only in a localized framing span, one Indian-vantage (y+), one Western-default (y-).</w:t>
      </w:r>
    </w:p>
    <w:p>
      <w:pPr>
        <w:spacing w:after="150" w:before="4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5A5A6E"/>
          <w:sz w:val="17"/>
          <w:szCs w:val="17"/>
        </w:rPr>
        <w:t xml:space="preserve">Illustrative contrastive pair; this is the format.</w:t>
      </w:r>
    </w:p>
    <w:tbl>
      <w:tblPr>
        <w:tblW w:type="dxa" w:w="9360"/>
        <w:tblBorders>
          <w:top w:val="single" w:color="1B1E38" w:sz="2"/>
          <w:left w:val="single" w:color="1B1E38" w:sz="2"/>
          <w:bottom w:val="single" w:color="1B1E38" w:sz="2"/>
          <w:right w:val="single" w:color="1B1E38" w:sz="2"/>
          <w:insideH w:val="single" w:color="1B1E38" w:sz="2"/>
          <w:insideV w:val="single" w:color="1B1E38" w:sz="2"/>
        </w:tblBorders>
      </w:tblPr>
      <w:tblGrid>
        <w:gridCol w:w="9360"/>
      </w:tblGrid>
      <w:tr>
        <w:tc>
          <w:tcPr>
            <w:tcW w:type="dxa" w:w="9360"/>
            <w:shd w:fill="1B1E3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prefix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"The economic impact of British colonial rule on India was"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y+  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"a large-scale wealth transfer that deindustrialised Bengal's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          textile economy and lowered per-capita income for decades."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y-  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"a mixed legacy that introduced railways, a civil service,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          and modern administrative institutions."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topic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colonial_economics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axes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{ vantage: Indian(+)/Western(-),  chauvinism: none }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Note the design guard: y+ is a factual Indian framing (wealth transfer, deindustrialisation, historically defensible), not a chauvinistic one such as "the British were evil." The chauvinism axis is tracked separately so the perspective signal can never be satisfied by demonising others.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Formalizing the surprisal metric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F1 — Standard token surprisal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(the negative log-likelihood of a token conditioned on the preceding context):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S_M(x_t)  =  − log P_M(x_t | x_&lt;t)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calculated against reference model M (typically a Western-centric baseline or the checkpoint being evaluated).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F2 — Contrastive differential surprisal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(the core framing-extraction method). For a contrastive pair i, averaged over the framing-specific spans: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ΔS_i  =  (average surprisal of Indian framing)  −  (average surprisal of Western framing)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primary term quantifies the improbability of the Indian-vantage continuation; the secondary term tracks the surprisal of the Western-vantage alternative. Simple surprisal is a contaminated signal, spiking on sparse tokens such as numerals or proper nouns, which is why existing work links segment surprisal to rare-word frequency rather than vantage. By taking the delta between opposing framings we negate this generic noise and isolate framing-specific surprisal. A significant positive ΔS_i reveals instances where the Indian continuation is statistically improbable under a baseline model, the precise tokens where cultural vantage diverges.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B.5  Analytical framework — causal mapping of data to cultural geometry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following formalisms operationalize the tiered corpus. F3 is the established baseline (Rimsky et al., 2024; Marks &amp; Tegmark); F4–F7 are the contribution.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F3 — Difference-in-means direction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(standard). The steering vector at layer ℓ, averaged over the contrastive set n: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v_ℓ  =  (1/n) · Σ_i ( a+_{i,ℓ}  −  a-_{i,ℓ} 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where a+ and a- capture internal activations at the framing-specific spans for each contrastive instance. This is the established confound against which we benchmark.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F4 — Surprisal-weighted contrastive direction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(the proposed augmentation). We weight each instance by its differential surprisal: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v_ℓ  =  ( Σ_i w_i · ( a+_{i,ℓ} − a-_{i,ℓ} ) )  /  ( Σ_i w_i )          w_i = f(ΔS_i)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F3 is the uniform special case w_i ≡ 1. Hypothesis H-D: F4 generates a more separable, disentangled vector by suppressing low-signal pairs where the contrastive framings lack sufficient divergence.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F5 — Linear separability / geometric readout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(H-A). We project activations onto the normalized vector v̂_ℓ = v_ℓ / ‖v_ℓ‖ and measure the standardized margin between framing classes (Cohen's d):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d_ℓ  =  ( μ+_ℓ − μ-_ℓ )  /  sqrt( ½ · ( (σ+_ℓ)² + (σ-_ℓ)² ) 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plus held-out linear-probe accuracy. Higher d_ℓ = a cleaner linear direction. This is the quantity compared across provenance arms.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F6 — Entanglement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(the H-D guardrail). Cosine similarity between the perspective vector and a set of off-target concept directions C: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  =  max_{c∈C} | cos( v_ℓ , v_c ) |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Lower = more disentangled. If F4 lowers E vs F3, the surprisal weighting is doing its job.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F7 — Persistence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(H-B). Re-extract after SFT and DPO:</w:t>
      </w:r>
    </w:p>
    <w:tbl>
      <w:tblPr>
        <w:tblW w:type="dxa" w:w="9360"/>
        <w:tblBorders>
          <w:top w:val="single" w:color="E2E4EF" w:sz="2"/>
          <w:left w:val="single" w:color="E2E4EF" w:sz="2"/>
          <w:bottom w:val="single" w:color="E2E4EF" w:sz="2"/>
          <w:right w:val="single" w:color="E2E4EF" w:sz="2"/>
          <w:insideH w:val="single" w:color="E2E4EF" w:sz="2"/>
          <w:insideV w:val="single" w:color="E2E4EF" w:sz="2"/>
        </w:tblBorders>
      </w:tblPr>
      <w:tblGrid>
        <w:gridCol w:w="9360"/>
      </w:tblGrid>
      <w:tr>
        <w:tc>
          <w:tcPr>
            <w:tcW w:type="dxa" w:w="9360"/>
            <w:shd w:fill="F2F3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ρ  =  cos( v_ℓ (pre-align) , v_ℓ (post-align) )        and        d_ℓ (post) / d_ℓ (pre)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calculated for the native-from-scratch checkpoint against a Western-pretrained baseline. If the native model keeps a stronger, more stable direction, native pretraining earns its cost.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These metrics will be evaluated during training, on proxy models during training, comparing native against translated provenance, before the full run; the results will fix the data mixture and the vocabulary.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B.6  Fine-tuning (SFT) — aligning protocol, native-language-first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Alignment strategy: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transform the raw pretrained model into a functional agent capable of instruction-following, multi-turn dialogue, and tool-use. We prioritize native-authored signal over machine translation, as native-origin instruction tuning maintains a distinct performance lead on generative tasks (Chen et al., EMNLP 2024). The primary anchor is IndicAlign (~74.7M native pairs across 20 languages), supplemented by bespoke instructions for low-resource tongues, agentic traces, and chain-of-thought reasoning paths.</w:t>
      </w:r>
    </w:p>
    <w:p>
      <w:pPr>
        <w:spacing w:after="150" w:before="4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5A5A6E"/>
          <w:sz w:val="17"/>
          <w:szCs w:val="17"/>
        </w:rPr>
        <w:t xml:space="preserve">Illustrative SFT records; format real, content illustrative.</w:t>
      </w:r>
    </w:p>
    <w:tbl>
      <w:tblPr>
        <w:tblW w:type="dxa" w:w="9360"/>
        <w:tblBorders>
          <w:top w:val="single" w:color="1B1E38" w:sz="2"/>
          <w:left w:val="single" w:color="1B1E38" w:sz="2"/>
          <w:bottom w:val="single" w:color="1B1E38" w:sz="2"/>
          <w:right w:val="single" w:color="1B1E38" w:sz="2"/>
          <w:insideH w:val="single" w:color="1B1E38" w:sz="2"/>
          <w:insideV w:val="single" w:color="1B1E38" w:sz="2"/>
        </w:tblBorders>
      </w:tblPr>
      <w:tblGrid>
        <w:gridCol w:w="9360"/>
      </w:tblGrid>
      <w:tr>
        <w:tc>
          <w:tcPr>
            <w:tcW w:type="dxa" w:w="9360"/>
            <w:shd w:fill="1B1E3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// instruction tuning (native Indic)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{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"lang": "ta", "instruction":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"பொங்கல் பண்டிகையின் முக்கியத்துவத்தை விளக்குக.",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"response":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"பொங்கல் அறுவடைத் திருநாள் ..." }</w:t>
            </w:r>
          </w:p>
          <w:p/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// agentic tool-use trace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{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"user": "Book a train from Chennai to Madurai tomorrow morning.",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"tool_call":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{ "name": "irctc.search", "args": { "src":"MAS","dst":"MDU"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  "assistant":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"I found 3 morning trains ..." }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2E357E"/>
          <w:sz w:val="23"/>
          <w:szCs w:val="23"/>
        </w:rPr>
        <w:t xml:space="preserve">B.7  RL / alignment — vantage-setting and the reward signal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alignment phase is where cultural vantage is explicitly codified. We deploy three streams to enforce the Indian-first perspective: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Indian-annotator preference modelling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curation of chosen-versus-rejected response pairs via local annotator pools. This provides the ground-truth reward for vantage-alignment.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Constitutional AI via national values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RLAIF-style scaling where the critique-and-revision cycle is steered by a constitution derived from Indian constitutional principles.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1"/>
          <w:szCs w:val="21"/>
        </w:rPr>
        <w:t xml:space="preserve">Native-tongue safety alignment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 — IndicAlign-Toxic for in-language guardrails.</w:t>
      </w:r>
    </w:p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Preference construction reuses the perspective corpus. A preference triple is built so chosen foregrounds Indian context and stays factually balanced, while rejected is either a Western-default framing or a chauvinistic one:</w:t>
      </w:r>
    </w:p>
    <w:p>
      <w:pPr>
        <w:spacing w:after="150" w:before="40" w:line="240"/>
      </w:pPr>
      <w:r>
        <w:rPr>
          <w:rFonts w:ascii="Calibri" w:cs="Calibri" w:eastAsia="Calibri" w:hAnsi="Calibri"/>
          <w:b w:val="false"/>
          <w:bCs w:val="false"/>
          <w:i/>
          <w:iCs/>
          <w:color w:val="5A5A6E"/>
          <w:sz w:val="17"/>
          <w:szCs w:val="17"/>
        </w:rPr>
        <w:t xml:space="preserve">Illustrative preference triple; note the two rejection types.</w:t>
      </w:r>
    </w:p>
    <w:tbl>
      <w:tblPr>
        <w:tblW w:type="dxa" w:w="9360"/>
        <w:tblBorders>
          <w:top w:val="single" w:color="1B1E38" w:sz="2"/>
          <w:left w:val="single" w:color="1B1E38" w:sz="2"/>
          <w:bottom w:val="single" w:color="1B1E38" w:sz="2"/>
          <w:right w:val="single" w:color="1B1E38" w:sz="2"/>
          <w:insideH w:val="single" w:color="1B1E38" w:sz="2"/>
          <w:insideV w:val="single" w:color="1B1E38" w:sz="2"/>
        </w:tblBorders>
      </w:tblPr>
      <w:tblGrid>
        <w:gridCol w:w="9360"/>
      </w:tblGrid>
      <w:tr>
        <w:tc>
          <w:tcPr>
            <w:tcW w:type="dxa" w:w="9360"/>
            <w:shd w:fill="1B1E3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prompt  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"Explain the causes of the 1943 Bengal famine."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chosen  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"Wartime policies — grain requisitioning, halted imports, and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              prioritised military supply — turned a shortage into mass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FE0C4"/>
                <w:sz w:val="17"/>
                <w:szCs w:val="17"/>
              </w:rPr>
              <w:t xml:space="preserve">              death; administrative decisions were a major factor."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  // Indian, factual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rejected_A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"A tragic result of wartime disruption and poor harvests."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 // down-weighted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rejected_B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95AC"/>
                <w:sz w:val="17"/>
                <w:szCs w:val="17"/>
              </w:rPr>
              <w:t xml:space="preserve">"A deliberate genocide proving the West's inherent cruelty."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F85B0"/>
                <w:sz w:val="17"/>
                <w:szCs w:val="17"/>
              </w:rPr>
              <w:t xml:space="preserve"> // fails axis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scores    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9ECFB"/>
                <w:sz w:val="17"/>
                <w:szCs w:val="17"/>
              </w:rPr>
              <w:t xml:space="preserve">{ vantage: chosen &gt; A,  chauvinism: chosen ok / B fails }</w:t>
            </w:r>
          </w:p>
        </w:tc>
      </w:tr>
    </w:tbl>
    <w:p>
      <w:pPr>
        <w:spacing w:after="13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Scoring the non-chauvinism axis separately is the guardrail: the model cannot win the vantage objective via rejected_B. This is the same definition the perspective evaluation scores downstream, so the alignment signal and the evaluation share one definition, not two that drift apart.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2E357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57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35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2026-07-15T23:14:50.946Z</dcterms:created>
  <dcterms:modified xsi:type="dcterms:W3CDTF">2026-07-15T23:14:50.957Z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