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88" w:rsidRDefault="00DC0F88" w:rsidP="00324BBA">
      <w:pPr>
        <w:jc w:val="center"/>
        <w:rPr>
          <w:rFonts w:ascii="Calibri" w:hAnsi="Calibri"/>
          <w:b/>
          <w:color w:val="1F497D"/>
          <w:u w:val="single"/>
        </w:rPr>
      </w:pPr>
    </w:p>
    <w:p w:rsidR="00DC0F88" w:rsidRDefault="00DC0F88" w:rsidP="00324BBA">
      <w:pPr>
        <w:jc w:val="center"/>
        <w:rPr>
          <w:rFonts w:ascii="Calibri" w:hAnsi="Calibri"/>
          <w:b/>
          <w:color w:val="1F497D"/>
          <w:u w:val="single"/>
        </w:rPr>
      </w:pPr>
    </w:p>
    <w:p w:rsidR="00DC0F88" w:rsidRDefault="00DC0F88" w:rsidP="00324BBA">
      <w:pPr>
        <w:jc w:val="center"/>
        <w:rPr>
          <w:rFonts w:ascii="Calibri" w:hAnsi="Calibri"/>
          <w:b/>
          <w:color w:val="1F497D"/>
          <w:sz w:val="40"/>
        </w:rPr>
      </w:pPr>
      <w:r w:rsidRPr="00DC0F88">
        <w:rPr>
          <w:rFonts w:ascii="Calibri" w:hAnsi="Calibri"/>
          <w:b/>
          <w:color w:val="1F497D"/>
          <w:sz w:val="40"/>
        </w:rPr>
        <w:t>KPI Dashboard</w:t>
      </w:r>
    </w:p>
    <w:p w:rsidR="000C2B93" w:rsidRDefault="000C2B93" w:rsidP="00324BBA">
      <w:pPr>
        <w:jc w:val="center"/>
        <w:rPr>
          <w:rFonts w:ascii="Calibri" w:hAnsi="Calibri"/>
          <w:b/>
          <w:color w:val="1F497D"/>
          <w:sz w:val="40"/>
        </w:rPr>
      </w:pPr>
      <w:r w:rsidRPr="000C2B93">
        <w:rPr>
          <w:rFonts w:ascii="Calibri" w:hAnsi="Calibri"/>
          <w:b/>
          <w:color w:val="FF0000"/>
          <w:sz w:val="32"/>
        </w:rPr>
        <w:t>Vodafone Hutchison Australia</w:t>
      </w:r>
    </w:p>
    <w:p w:rsidR="000C2B93" w:rsidRPr="00DC0F88" w:rsidRDefault="000C2B93" w:rsidP="00324BBA">
      <w:pPr>
        <w:jc w:val="center"/>
        <w:rPr>
          <w:rFonts w:ascii="Calibri" w:hAnsi="Calibri"/>
          <w:b/>
          <w:color w:val="1F497D"/>
        </w:rPr>
      </w:pPr>
    </w:p>
    <w:p w:rsidR="00DC0F88" w:rsidRDefault="00DC0F88" w:rsidP="00324BBA">
      <w:pPr>
        <w:jc w:val="center"/>
        <w:rPr>
          <w:rFonts w:ascii="Calibri" w:hAnsi="Calibri"/>
          <w:b/>
          <w:color w:val="1F497D"/>
          <w:u w:val="single"/>
        </w:rPr>
      </w:pPr>
    </w:p>
    <w:p w:rsidR="000C2B93" w:rsidRDefault="000C2B93" w:rsidP="00324BBA">
      <w:pPr>
        <w:jc w:val="center"/>
        <w:rPr>
          <w:rFonts w:ascii="Calibri" w:hAnsi="Calibri"/>
          <w:b/>
          <w:color w:val="1F497D"/>
          <w:u w:val="single"/>
        </w:rPr>
      </w:pPr>
    </w:p>
    <w:p w:rsidR="000C2B93" w:rsidRDefault="000C2B93" w:rsidP="00324BBA">
      <w:pPr>
        <w:jc w:val="center"/>
        <w:rPr>
          <w:rFonts w:ascii="Calibri" w:hAnsi="Calibri"/>
          <w:b/>
          <w:color w:val="1F497D"/>
          <w:u w:val="single"/>
        </w:rPr>
      </w:pPr>
    </w:p>
    <w:p w:rsidR="00DC0F88" w:rsidRDefault="00DC0F88" w:rsidP="00324BBA">
      <w:pPr>
        <w:jc w:val="center"/>
        <w:rPr>
          <w:rFonts w:ascii="Calibri" w:hAnsi="Calibri"/>
          <w:b/>
          <w:color w:val="1F497D"/>
          <w:u w:val="single"/>
        </w:rPr>
      </w:pPr>
      <w:r>
        <w:rPr>
          <w:noProof/>
          <w:color w:val="2F5496"/>
        </w:rPr>
        <w:drawing>
          <wp:inline distT="0" distB="0" distL="0" distR="0">
            <wp:extent cx="1762826" cy="812800"/>
            <wp:effectExtent l="0" t="0" r="8890" b="6350"/>
            <wp:docPr id="1" name="Picture 1" descr="img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res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433" cy="81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88" w:rsidRDefault="00DC0F88" w:rsidP="00324BBA">
      <w:pPr>
        <w:jc w:val="center"/>
        <w:rPr>
          <w:rFonts w:ascii="Calibri" w:hAnsi="Calibri"/>
          <w:b/>
          <w:color w:val="1F497D"/>
          <w:u w:val="single"/>
        </w:rPr>
      </w:pPr>
    </w:p>
    <w:p w:rsidR="00DC0F88" w:rsidRDefault="00DC0F88" w:rsidP="00324BBA">
      <w:pPr>
        <w:jc w:val="center"/>
        <w:rPr>
          <w:rFonts w:ascii="Calibri" w:hAnsi="Calibri"/>
          <w:b/>
          <w:color w:val="1F497D"/>
          <w:u w:val="single"/>
        </w:rPr>
      </w:pPr>
    </w:p>
    <w:p w:rsidR="00DC0F88" w:rsidRPr="00DC0F88" w:rsidRDefault="00DC0F88" w:rsidP="00DC0F88">
      <w:pPr>
        <w:pStyle w:val="DocumentInfoHeading"/>
        <w:ind w:left="-142"/>
        <w:rPr>
          <w:color w:val="1F4E79" w:themeColor="accent1" w:themeShade="80"/>
        </w:rPr>
      </w:pPr>
      <w:bookmarkStart w:id="0" w:name="_Toc398534183"/>
      <w:r w:rsidRPr="00DC0F88">
        <w:rPr>
          <w:color w:val="1F4E79" w:themeColor="accent1" w:themeShade="80"/>
        </w:rPr>
        <w:t>Document Change History</w:t>
      </w:r>
      <w:bookmarkEnd w:id="0"/>
    </w:p>
    <w:tbl>
      <w:tblPr>
        <w:tblW w:w="8931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1440"/>
        <w:gridCol w:w="4143"/>
        <w:gridCol w:w="2268"/>
      </w:tblGrid>
      <w:tr w:rsidR="00DC0F88" w:rsidRPr="00DC0F88" w:rsidTr="00DC0F88">
        <w:trPr>
          <w:tblHeader/>
        </w:trPr>
        <w:tc>
          <w:tcPr>
            <w:tcW w:w="1080" w:type="dxa"/>
            <w:shd w:val="clear" w:color="auto" w:fill="B3B3B3"/>
          </w:tcPr>
          <w:p w:rsidR="00DC0F88" w:rsidRPr="00DC0F88" w:rsidRDefault="00DC0F88" w:rsidP="00F26131">
            <w:pPr>
              <w:pStyle w:val="TableHeading"/>
              <w:rPr>
                <w:color w:val="1F4E79" w:themeColor="accent1" w:themeShade="80"/>
              </w:rPr>
            </w:pPr>
            <w:r w:rsidRPr="00DC0F88">
              <w:rPr>
                <w:color w:val="1F4E79" w:themeColor="accent1" w:themeShade="80"/>
              </w:rPr>
              <w:t>Version</w:t>
            </w:r>
          </w:p>
        </w:tc>
        <w:tc>
          <w:tcPr>
            <w:tcW w:w="1440" w:type="dxa"/>
            <w:shd w:val="clear" w:color="auto" w:fill="B3B3B3"/>
          </w:tcPr>
          <w:p w:rsidR="00DC0F88" w:rsidRPr="00DC0F88" w:rsidRDefault="00DC0F88" w:rsidP="00F26131">
            <w:pPr>
              <w:pStyle w:val="TableHeading"/>
              <w:rPr>
                <w:color w:val="1F4E79" w:themeColor="accent1" w:themeShade="80"/>
              </w:rPr>
            </w:pPr>
            <w:r w:rsidRPr="00DC0F88">
              <w:rPr>
                <w:color w:val="1F4E79" w:themeColor="accent1" w:themeShade="80"/>
              </w:rPr>
              <w:t>Date</w:t>
            </w:r>
          </w:p>
        </w:tc>
        <w:tc>
          <w:tcPr>
            <w:tcW w:w="4143" w:type="dxa"/>
            <w:shd w:val="clear" w:color="auto" w:fill="B3B3B3"/>
          </w:tcPr>
          <w:p w:rsidR="00DC0F88" w:rsidRPr="00DC0F88" w:rsidRDefault="00DC0F88" w:rsidP="00F26131">
            <w:pPr>
              <w:pStyle w:val="TableHeading"/>
              <w:rPr>
                <w:color w:val="1F4E79" w:themeColor="accent1" w:themeShade="80"/>
              </w:rPr>
            </w:pPr>
            <w:r w:rsidRPr="00DC0F88">
              <w:rPr>
                <w:color w:val="1F4E79" w:themeColor="accent1" w:themeShade="80"/>
              </w:rPr>
              <w:t>Description</w:t>
            </w:r>
          </w:p>
        </w:tc>
        <w:tc>
          <w:tcPr>
            <w:tcW w:w="2268" w:type="dxa"/>
            <w:shd w:val="clear" w:color="auto" w:fill="B3B3B3"/>
          </w:tcPr>
          <w:p w:rsidR="00DC0F88" w:rsidRPr="00DC0F88" w:rsidRDefault="00DC0F88" w:rsidP="00F26131">
            <w:pPr>
              <w:pStyle w:val="TableHeading"/>
              <w:rPr>
                <w:color w:val="1F4E79" w:themeColor="accent1" w:themeShade="80"/>
              </w:rPr>
            </w:pPr>
            <w:r w:rsidRPr="00DC0F88">
              <w:rPr>
                <w:color w:val="1F4E79" w:themeColor="accent1" w:themeShade="80"/>
              </w:rPr>
              <w:t>Author</w:t>
            </w:r>
          </w:p>
        </w:tc>
      </w:tr>
      <w:tr w:rsidR="00DC0F88" w:rsidRPr="00DC0F88" w:rsidTr="00DC0F88">
        <w:tc>
          <w:tcPr>
            <w:tcW w:w="1080" w:type="dxa"/>
          </w:tcPr>
          <w:p w:rsidR="00DC0F88" w:rsidRPr="00DC0F88" w:rsidRDefault="00DC0F88" w:rsidP="00F26131">
            <w:pPr>
              <w:pStyle w:val="Tabletext"/>
              <w:jc w:val="center"/>
              <w:rPr>
                <w:color w:val="1F4E79" w:themeColor="accent1" w:themeShade="80"/>
              </w:rPr>
            </w:pPr>
            <w:r w:rsidRPr="00DC0F88">
              <w:rPr>
                <w:color w:val="1F4E79" w:themeColor="accent1" w:themeShade="80"/>
              </w:rPr>
              <w:t>0.1</w:t>
            </w:r>
          </w:p>
        </w:tc>
        <w:tc>
          <w:tcPr>
            <w:tcW w:w="1440" w:type="dxa"/>
          </w:tcPr>
          <w:p w:rsidR="00DC0F88" w:rsidRPr="00DC0F88" w:rsidRDefault="00DC0F88" w:rsidP="00F26131">
            <w:pPr>
              <w:pStyle w:val="Tabletext"/>
              <w:jc w:val="center"/>
              <w:rPr>
                <w:color w:val="1F4E79" w:themeColor="accent1" w:themeShade="80"/>
              </w:rPr>
            </w:pPr>
            <w:r w:rsidRPr="00DC0F88">
              <w:rPr>
                <w:color w:val="1F4E79" w:themeColor="accent1" w:themeShade="80"/>
              </w:rPr>
              <w:t>12/05/2016</w:t>
            </w:r>
          </w:p>
        </w:tc>
        <w:tc>
          <w:tcPr>
            <w:tcW w:w="4143" w:type="dxa"/>
          </w:tcPr>
          <w:p w:rsidR="00DC0F88" w:rsidRPr="00DC0F88" w:rsidRDefault="00DC0F88" w:rsidP="00F26131">
            <w:pPr>
              <w:pStyle w:val="Tabletext"/>
              <w:jc w:val="center"/>
              <w:rPr>
                <w:color w:val="1F4E79" w:themeColor="accent1" w:themeShade="80"/>
              </w:rPr>
            </w:pPr>
            <w:r w:rsidRPr="00DC0F88">
              <w:rPr>
                <w:color w:val="1F4E79" w:themeColor="accent1" w:themeShade="80"/>
              </w:rPr>
              <w:t>Initial draft version</w:t>
            </w:r>
          </w:p>
        </w:tc>
        <w:tc>
          <w:tcPr>
            <w:tcW w:w="2268" w:type="dxa"/>
          </w:tcPr>
          <w:p w:rsidR="00DC0F88" w:rsidRPr="00DC0F88" w:rsidRDefault="00DC0F88" w:rsidP="00F26131">
            <w:pPr>
              <w:pStyle w:val="Tabletext"/>
              <w:jc w:val="center"/>
              <w:rPr>
                <w:color w:val="1F4E79" w:themeColor="accent1" w:themeShade="80"/>
              </w:rPr>
            </w:pPr>
            <w:r w:rsidRPr="00DC0F88">
              <w:rPr>
                <w:color w:val="1F4E79" w:themeColor="accent1" w:themeShade="80"/>
              </w:rPr>
              <w:t>Rini Kar</w:t>
            </w:r>
          </w:p>
        </w:tc>
      </w:tr>
      <w:tr w:rsidR="00DC0F88" w:rsidRPr="00DC0F88" w:rsidTr="00DC0F88">
        <w:tc>
          <w:tcPr>
            <w:tcW w:w="1080" w:type="dxa"/>
          </w:tcPr>
          <w:p w:rsidR="00DC0F88" w:rsidRPr="00DC0F88" w:rsidRDefault="00DC0F88" w:rsidP="00F26131">
            <w:pPr>
              <w:pStyle w:val="Tabletext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440" w:type="dxa"/>
          </w:tcPr>
          <w:p w:rsidR="00DC0F88" w:rsidRPr="00DC0F88" w:rsidRDefault="00DC0F88" w:rsidP="00F26131">
            <w:pPr>
              <w:pStyle w:val="Tabletext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4143" w:type="dxa"/>
          </w:tcPr>
          <w:p w:rsidR="00DC0F88" w:rsidRPr="00DC0F88" w:rsidRDefault="00DC0F88" w:rsidP="00F26131">
            <w:pPr>
              <w:pStyle w:val="Tabletext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268" w:type="dxa"/>
          </w:tcPr>
          <w:p w:rsidR="00DC0F88" w:rsidRPr="00DC0F88" w:rsidRDefault="00DC0F88" w:rsidP="00F26131">
            <w:pPr>
              <w:pStyle w:val="Tabletext"/>
              <w:jc w:val="center"/>
              <w:rPr>
                <w:color w:val="1F4E79" w:themeColor="accent1" w:themeShade="80"/>
              </w:rPr>
            </w:pPr>
          </w:p>
        </w:tc>
      </w:tr>
      <w:tr w:rsidR="00DC0F88" w:rsidRPr="00DC0F88" w:rsidTr="00DC0F88">
        <w:tc>
          <w:tcPr>
            <w:tcW w:w="1080" w:type="dxa"/>
          </w:tcPr>
          <w:p w:rsidR="00DC0F88" w:rsidRDefault="00DC0F88" w:rsidP="00F26131">
            <w:pPr>
              <w:pStyle w:val="Tabletext"/>
              <w:jc w:val="center"/>
              <w:rPr>
                <w:color w:val="1F4E79" w:themeColor="accent1" w:themeShade="80"/>
              </w:rPr>
            </w:pPr>
          </w:p>
          <w:p w:rsidR="00DC0F88" w:rsidRPr="00DC0F88" w:rsidRDefault="00DC0F88" w:rsidP="00F26131">
            <w:pPr>
              <w:pStyle w:val="Tabletext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440" w:type="dxa"/>
          </w:tcPr>
          <w:p w:rsidR="00DC0F88" w:rsidRPr="00DC0F88" w:rsidRDefault="00DC0F88" w:rsidP="00F26131">
            <w:pPr>
              <w:pStyle w:val="Tabletext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4143" w:type="dxa"/>
          </w:tcPr>
          <w:p w:rsidR="00DC0F88" w:rsidRPr="00DC0F88" w:rsidRDefault="00DC0F88" w:rsidP="00F26131">
            <w:pPr>
              <w:pStyle w:val="Tabletext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268" w:type="dxa"/>
          </w:tcPr>
          <w:p w:rsidR="00DC0F88" w:rsidRPr="00DC0F88" w:rsidRDefault="00DC0F88" w:rsidP="00F26131">
            <w:pPr>
              <w:pStyle w:val="Tabletext"/>
              <w:jc w:val="center"/>
              <w:rPr>
                <w:color w:val="1F4E79" w:themeColor="accent1" w:themeShade="80"/>
              </w:rPr>
            </w:pPr>
          </w:p>
        </w:tc>
      </w:tr>
    </w:tbl>
    <w:p w:rsidR="00DC0F88" w:rsidRDefault="00DC0F88" w:rsidP="00324BBA">
      <w:pPr>
        <w:jc w:val="center"/>
        <w:rPr>
          <w:rFonts w:ascii="Calibri" w:hAnsi="Calibri"/>
          <w:b/>
          <w:color w:val="1F497D"/>
          <w:u w:val="single"/>
        </w:rPr>
      </w:pPr>
    </w:p>
    <w:p w:rsidR="00DC0F88" w:rsidRDefault="00DC0F88" w:rsidP="00DC0F88">
      <w:r>
        <w:br w:type="page"/>
      </w:r>
    </w:p>
    <w:p w:rsidR="00BF1CC8" w:rsidRDefault="00BF1CC8" w:rsidP="00324BBA">
      <w:pPr>
        <w:jc w:val="center"/>
        <w:rPr>
          <w:rFonts w:ascii="Calibri" w:hAnsi="Calibri"/>
          <w:b/>
          <w:color w:val="1F497D"/>
          <w:u w:val="single"/>
        </w:rPr>
      </w:pPr>
    </w:p>
    <w:p w:rsidR="00BF1CC8" w:rsidRDefault="00BF1CC8" w:rsidP="00324BBA">
      <w:pPr>
        <w:jc w:val="center"/>
        <w:rPr>
          <w:rFonts w:ascii="Calibri" w:hAnsi="Calibri"/>
          <w:b/>
          <w:color w:val="1F497D"/>
          <w:u w:val="single"/>
        </w:rPr>
      </w:pPr>
    </w:p>
    <w:p w:rsidR="00BF1CC8" w:rsidRDefault="00BF1CC8" w:rsidP="00324BBA">
      <w:pPr>
        <w:jc w:val="center"/>
        <w:rPr>
          <w:rFonts w:ascii="Calibri" w:hAnsi="Calibri"/>
          <w:b/>
          <w:color w:val="1F497D"/>
          <w:u w:val="single"/>
        </w:rPr>
      </w:pPr>
    </w:p>
    <w:p w:rsidR="00163465" w:rsidRDefault="00194165" w:rsidP="00324BBA">
      <w:pPr>
        <w:jc w:val="center"/>
        <w:rPr>
          <w:rFonts w:ascii="Calibri" w:hAnsi="Calibri"/>
          <w:b/>
          <w:color w:val="1F497D"/>
          <w:sz w:val="36"/>
          <w:u w:val="single"/>
        </w:rPr>
      </w:pPr>
      <w:r w:rsidRPr="00DC0F88">
        <w:rPr>
          <w:rFonts w:ascii="Calibri" w:hAnsi="Calibri"/>
          <w:b/>
          <w:color w:val="1F497D"/>
          <w:sz w:val="36"/>
          <w:u w:val="single"/>
        </w:rPr>
        <w:t>KPI Dashboard</w:t>
      </w:r>
    </w:p>
    <w:p w:rsidR="00DC0F88" w:rsidRDefault="00DC0F88" w:rsidP="00194165">
      <w:pPr>
        <w:rPr>
          <w:rFonts w:ascii="Calibri" w:hAnsi="Calibri"/>
          <w:color w:val="1F497D"/>
        </w:rPr>
      </w:pPr>
    </w:p>
    <w:p w:rsidR="00194165" w:rsidRPr="00324BBA" w:rsidRDefault="00DC0F88" w:rsidP="00194165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KPI </w:t>
      </w:r>
      <w:r w:rsidR="00194165" w:rsidRPr="00324BBA">
        <w:rPr>
          <w:rFonts w:ascii="Calibri" w:hAnsi="Calibri"/>
          <w:color w:val="1F497D"/>
        </w:rPr>
        <w:t>Dashboard is pu</w:t>
      </w:r>
      <w:r>
        <w:rPr>
          <w:rFonts w:ascii="Calibri" w:hAnsi="Calibri"/>
          <w:color w:val="1F497D"/>
        </w:rPr>
        <w:t xml:space="preserve">blished in regular intervals for </w:t>
      </w:r>
      <w:r w:rsidR="00194165" w:rsidRPr="00324BBA">
        <w:rPr>
          <w:rFonts w:ascii="Calibri" w:hAnsi="Calibri"/>
          <w:color w:val="1F497D"/>
        </w:rPr>
        <w:t>internal</w:t>
      </w:r>
      <w:r>
        <w:rPr>
          <w:rFonts w:ascii="Calibri" w:hAnsi="Calibri"/>
          <w:color w:val="1F497D"/>
        </w:rPr>
        <w:t xml:space="preserve"> review of the project performance and also to provide VHA the status of the</w:t>
      </w:r>
      <w:r w:rsidR="00194165" w:rsidRPr="00324BBA">
        <w:rPr>
          <w:rFonts w:ascii="Calibri" w:hAnsi="Calibri"/>
          <w:color w:val="1F497D"/>
        </w:rPr>
        <w:t xml:space="preserve"> </w:t>
      </w:r>
      <w:r>
        <w:rPr>
          <w:rFonts w:ascii="Calibri" w:hAnsi="Calibri"/>
          <w:color w:val="1F497D"/>
        </w:rPr>
        <w:t>account heath</w:t>
      </w:r>
      <w:r w:rsidR="00194165" w:rsidRPr="00324BBA">
        <w:rPr>
          <w:rFonts w:ascii="Calibri" w:hAnsi="Calibri"/>
          <w:color w:val="1F497D"/>
        </w:rPr>
        <w:t xml:space="preserve">. </w:t>
      </w:r>
    </w:p>
    <w:p w:rsidR="00194165" w:rsidRPr="00324BBA" w:rsidRDefault="00194165" w:rsidP="00194165">
      <w:pPr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>Currently, there are two types of Dashboards available:</w:t>
      </w:r>
    </w:p>
    <w:p w:rsidR="00194165" w:rsidRPr="00324BBA" w:rsidRDefault="00194165" w:rsidP="008245B6">
      <w:pPr>
        <w:pStyle w:val="ListParagraph"/>
        <w:numPr>
          <w:ilvl w:val="0"/>
          <w:numId w:val="2"/>
        </w:numPr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>Weekly Dashboard- For the ongoing projects</w:t>
      </w:r>
    </w:p>
    <w:p w:rsidR="00194165" w:rsidRDefault="00194165" w:rsidP="00194165">
      <w:pPr>
        <w:pStyle w:val="ListParagraph"/>
        <w:numPr>
          <w:ilvl w:val="0"/>
          <w:numId w:val="2"/>
        </w:numPr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>Monthly Dashboard- Performance of the completed projects</w:t>
      </w:r>
    </w:p>
    <w:p w:rsidR="001A7A10" w:rsidRDefault="001A7A10" w:rsidP="001A7A10">
      <w:pPr>
        <w:pStyle w:val="ListParagraph"/>
        <w:rPr>
          <w:rFonts w:ascii="Calibri" w:hAnsi="Calibri"/>
          <w:color w:val="1F497D"/>
        </w:rPr>
      </w:pPr>
    </w:p>
    <w:p w:rsidR="001A7A10" w:rsidRPr="001A7A10" w:rsidRDefault="001A7A10" w:rsidP="001A7A10">
      <w:pPr>
        <w:pStyle w:val="ListParagraph"/>
        <w:ind w:left="0"/>
        <w:rPr>
          <w:rFonts w:ascii="Calibri" w:hAnsi="Calibri"/>
          <w:b/>
          <w:color w:val="1F497D"/>
          <w:u w:val="single"/>
        </w:rPr>
      </w:pPr>
      <w:r w:rsidRPr="001A7A10">
        <w:rPr>
          <w:rFonts w:ascii="Calibri" w:hAnsi="Calibri"/>
          <w:b/>
          <w:color w:val="1F497D"/>
          <w:u w:val="single"/>
        </w:rP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713"/>
      </w:tblGrid>
      <w:tr w:rsidR="00E93DA9" w:rsidRPr="00324BBA" w:rsidTr="00BF1CC8">
        <w:tc>
          <w:tcPr>
            <w:tcW w:w="846" w:type="dxa"/>
          </w:tcPr>
          <w:p w:rsidR="00E93DA9" w:rsidRPr="00324BBA" w:rsidRDefault="00324BBA" w:rsidP="008245B6">
            <w:pPr>
              <w:rPr>
                <w:rFonts w:ascii="Calibri" w:hAnsi="Calibri"/>
                <w:color w:val="1F497D"/>
              </w:rPr>
            </w:pPr>
            <w:r>
              <w:rPr>
                <w:rFonts w:ascii="Calibri" w:hAnsi="Calibri"/>
                <w:color w:val="1F497D"/>
              </w:rPr>
              <w:t>RAG</w:t>
            </w:r>
          </w:p>
        </w:tc>
        <w:tc>
          <w:tcPr>
            <w:tcW w:w="2713" w:type="dxa"/>
          </w:tcPr>
          <w:p w:rsidR="00E93DA9" w:rsidRPr="00324BBA" w:rsidRDefault="00324BBA" w:rsidP="008245B6">
            <w:pPr>
              <w:rPr>
                <w:rFonts w:ascii="Calibri" w:hAnsi="Calibri"/>
                <w:color w:val="1F497D"/>
              </w:rPr>
            </w:pPr>
            <w:r>
              <w:rPr>
                <w:rFonts w:ascii="Calibri" w:hAnsi="Calibri"/>
                <w:color w:val="1F497D"/>
              </w:rPr>
              <w:t>Red Amber Green</w:t>
            </w:r>
          </w:p>
        </w:tc>
      </w:tr>
      <w:tr w:rsidR="00E93DA9" w:rsidRPr="00324BBA" w:rsidTr="00BF1CC8">
        <w:tc>
          <w:tcPr>
            <w:tcW w:w="846" w:type="dxa"/>
          </w:tcPr>
          <w:p w:rsidR="00E93DA9" w:rsidRPr="00324BBA" w:rsidRDefault="00E93DA9" w:rsidP="008245B6">
            <w:pPr>
              <w:rPr>
                <w:rFonts w:ascii="Calibri" w:hAnsi="Calibri"/>
                <w:color w:val="1F497D"/>
              </w:rPr>
            </w:pPr>
            <w:r w:rsidRPr="00324BBA">
              <w:rPr>
                <w:rFonts w:ascii="Calibri" w:hAnsi="Calibri"/>
                <w:color w:val="1F497D"/>
              </w:rPr>
              <w:t>KPI</w:t>
            </w:r>
          </w:p>
        </w:tc>
        <w:tc>
          <w:tcPr>
            <w:tcW w:w="2713" w:type="dxa"/>
          </w:tcPr>
          <w:p w:rsidR="00E93DA9" w:rsidRPr="00324BBA" w:rsidRDefault="00E93DA9" w:rsidP="008245B6">
            <w:pPr>
              <w:rPr>
                <w:rFonts w:ascii="Calibri" w:hAnsi="Calibri"/>
                <w:color w:val="1F497D"/>
              </w:rPr>
            </w:pPr>
            <w:r w:rsidRPr="00324BBA">
              <w:rPr>
                <w:rFonts w:ascii="Calibri" w:hAnsi="Calibri"/>
                <w:color w:val="1F497D"/>
              </w:rPr>
              <w:t>Key Performance Indicator</w:t>
            </w:r>
          </w:p>
        </w:tc>
      </w:tr>
      <w:tr w:rsidR="00B91A6E" w:rsidRPr="00324BBA" w:rsidTr="00BF1CC8">
        <w:tc>
          <w:tcPr>
            <w:tcW w:w="846" w:type="dxa"/>
          </w:tcPr>
          <w:p w:rsidR="00B91A6E" w:rsidRPr="00324BBA" w:rsidRDefault="00B91A6E" w:rsidP="008245B6">
            <w:pPr>
              <w:rPr>
                <w:rFonts w:ascii="Calibri" w:hAnsi="Calibri"/>
                <w:color w:val="1F497D"/>
              </w:rPr>
            </w:pPr>
            <w:r>
              <w:rPr>
                <w:rFonts w:ascii="Calibri" w:hAnsi="Calibri"/>
                <w:color w:val="1F497D"/>
              </w:rPr>
              <w:t>SLA</w:t>
            </w:r>
          </w:p>
        </w:tc>
        <w:tc>
          <w:tcPr>
            <w:tcW w:w="2713" w:type="dxa"/>
          </w:tcPr>
          <w:p w:rsidR="00B91A6E" w:rsidRPr="00324BBA" w:rsidRDefault="00B91A6E" w:rsidP="008245B6">
            <w:pPr>
              <w:rPr>
                <w:rFonts w:ascii="Calibri" w:hAnsi="Calibri"/>
                <w:color w:val="1F497D"/>
              </w:rPr>
            </w:pPr>
            <w:r>
              <w:rPr>
                <w:rFonts w:ascii="Calibri" w:hAnsi="Calibri"/>
                <w:color w:val="1F497D"/>
              </w:rPr>
              <w:t>Service Level Agreement</w:t>
            </w:r>
          </w:p>
        </w:tc>
      </w:tr>
      <w:tr w:rsidR="00E93DA9" w:rsidRPr="00324BBA" w:rsidTr="00BF1CC8">
        <w:tc>
          <w:tcPr>
            <w:tcW w:w="846" w:type="dxa"/>
          </w:tcPr>
          <w:p w:rsidR="00E93DA9" w:rsidRPr="00324BBA" w:rsidRDefault="00E93DA9" w:rsidP="008245B6">
            <w:pPr>
              <w:rPr>
                <w:rFonts w:ascii="Calibri" w:hAnsi="Calibri"/>
                <w:color w:val="1F497D"/>
              </w:rPr>
            </w:pPr>
            <w:r w:rsidRPr="00324BBA">
              <w:rPr>
                <w:rFonts w:ascii="Calibri" w:hAnsi="Calibri"/>
                <w:color w:val="1F497D"/>
              </w:rPr>
              <w:t>ITSM</w:t>
            </w:r>
          </w:p>
        </w:tc>
        <w:tc>
          <w:tcPr>
            <w:tcW w:w="2713" w:type="dxa"/>
          </w:tcPr>
          <w:p w:rsidR="00E93DA9" w:rsidRPr="00324BBA" w:rsidRDefault="00E93DA9" w:rsidP="008245B6">
            <w:pPr>
              <w:rPr>
                <w:rFonts w:ascii="Calibri" w:hAnsi="Calibri"/>
                <w:color w:val="1F497D"/>
              </w:rPr>
            </w:pPr>
            <w:r w:rsidRPr="00324BBA">
              <w:rPr>
                <w:rFonts w:ascii="Calibri" w:hAnsi="Calibri"/>
                <w:color w:val="1F497D"/>
              </w:rPr>
              <w:t>IT Service Management</w:t>
            </w:r>
          </w:p>
        </w:tc>
      </w:tr>
      <w:tr w:rsidR="00324BBA" w:rsidRPr="00324BBA" w:rsidTr="00BF1CC8">
        <w:tc>
          <w:tcPr>
            <w:tcW w:w="846" w:type="dxa"/>
          </w:tcPr>
          <w:p w:rsidR="00324BBA" w:rsidRPr="00324BBA" w:rsidRDefault="00324BBA" w:rsidP="008245B6">
            <w:pPr>
              <w:rPr>
                <w:rFonts w:ascii="Calibri" w:hAnsi="Calibri"/>
                <w:color w:val="1F497D"/>
              </w:rPr>
            </w:pPr>
            <w:r>
              <w:rPr>
                <w:rFonts w:ascii="Calibri" w:hAnsi="Calibri"/>
                <w:color w:val="1F497D"/>
              </w:rPr>
              <w:t>SIT</w:t>
            </w:r>
          </w:p>
        </w:tc>
        <w:tc>
          <w:tcPr>
            <w:tcW w:w="2713" w:type="dxa"/>
          </w:tcPr>
          <w:p w:rsidR="00324BBA" w:rsidRPr="00324BBA" w:rsidRDefault="00324BBA" w:rsidP="008245B6">
            <w:pPr>
              <w:rPr>
                <w:rFonts w:ascii="Calibri" w:hAnsi="Calibri"/>
                <w:color w:val="1F497D"/>
              </w:rPr>
            </w:pPr>
            <w:r>
              <w:rPr>
                <w:rFonts w:ascii="Calibri" w:hAnsi="Calibri"/>
                <w:color w:val="1F497D"/>
              </w:rPr>
              <w:t>System Integration Testing</w:t>
            </w:r>
          </w:p>
        </w:tc>
      </w:tr>
      <w:tr w:rsidR="00324BBA" w:rsidRPr="00324BBA" w:rsidTr="00BF1CC8">
        <w:tc>
          <w:tcPr>
            <w:tcW w:w="846" w:type="dxa"/>
          </w:tcPr>
          <w:p w:rsidR="00324BBA" w:rsidRDefault="00324BBA" w:rsidP="008245B6">
            <w:pPr>
              <w:rPr>
                <w:rFonts w:ascii="Calibri" w:hAnsi="Calibri"/>
                <w:color w:val="1F497D"/>
              </w:rPr>
            </w:pPr>
            <w:r>
              <w:rPr>
                <w:rFonts w:ascii="Calibri" w:hAnsi="Calibri"/>
                <w:color w:val="1F497D"/>
              </w:rPr>
              <w:t>ST</w:t>
            </w:r>
          </w:p>
        </w:tc>
        <w:tc>
          <w:tcPr>
            <w:tcW w:w="2713" w:type="dxa"/>
          </w:tcPr>
          <w:p w:rsidR="00324BBA" w:rsidRDefault="00324BBA" w:rsidP="008245B6">
            <w:pPr>
              <w:rPr>
                <w:rFonts w:ascii="Calibri" w:hAnsi="Calibri"/>
                <w:color w:val="1F497D"/>
              </w:rPr>
            </w:pPr>
            <w:r>
              <w:rPr>
                <w:rFonts w:ascii="Calibri" w:hAnsi="Calibri"/>
                <w:color w:val="1F497D"/>
              </w:rPr>
              <w:t>System Testing</w:t>
            </w:r>
          </w:p>
        </w:tc>
      </w:tr>
      <w:tr w:rsidR="00E93DA9" w:rsidRPr="00324BBA" w:rsidTr="00BF1CC8">
        <w:tc>
          <w:tcPr>
            <w:tcW w:w="846" w:type="dxa"/>
          </w:tcPr>
          <w:p w:rsidR="00E93DA9" w:rsidRPr="00324BBA" w:rsidRDefault="00324BBA" w:rsidP="008245B6">
            <w:pPr>
              <w:rPr>
                <w:rFonts w:ascii="Calibri" w:hAnsi="Calibri"/>
                <w:color w:val="1F497D"/>
              </w:rPr>
            </w:pPr>
            <w:r>
              <w:rPr>
                <w:rFonts w:ascii="Calibri" w:hAnsi="Calibri"/>
                <w:color w:val="1F497D"/>
              </w:rPr>
              <w:t>UAT</w:t>
            </w:r>
          </w:p>
        </w:tc>
        <w:tc>
          <w:tcPr>
            <w:tcW w:w="2713" w:type="dxa"/>
          </w:tcPr>
          <w:p w:rsidR="00E93DA9" w:rsidRPr="00324BBA" w:rsidRDefault="00324BBA" w:rsidP="008245B6">
            <w:pPr>
              <w:rPr>
                <w:rFonts w:ascii="Calibri" w:hAnsi="Calibri"/>
                <w:color w:val="1F497D"/>
              </w:rPr>
            </w:pPr>
            <w:r>
              <w:rPr>
                <w:rFonts w:ascii="Calibri" w:hAnsi="Calibri"/>
                <w:color w:val="1F497D"/>
              </w:rPr>
              <w:t>User Acceptance Testing</w:t>
            </w:r>
          </w:p>
        </w:tc>
      </w:tr>
    </w:tbl>
    <w:p w:rsidR="008245B6" w:rsidRDefault="008245B6" w:rsidP="008245B6">
      <w:pPr>
        <w:rPr>
          <w:rFonts w:ascii="Calibri" w:hAnsi="Calibri"/>
          <w:color w:val="1F497D"/>
        </w:rPr>
      </w:pPr>
    </w:p>
    <w:p w:rsidR="001A7A10" w:rsidRPr="001A7A10" w:rsidRDefault="001A7A10" w:rsidP="008245B6">
      <w:pPr>
        <w:rPr>
          <w:rFonts w:ascii="Calibri" w:hAnsi="Calibri"/>
          <w:b/>
          <w:color w:val="1F497D"/>
          <w:u w:val="single"/>
        </w:rPr>
      </w:pPr>
      <w:r w:rsidRPr="001A7A10">
        <w:rPr>
          <w:rFonts w:ascii="Calibri" w:hAnsi="Calibri"/>
          <w:b/>
          <w:color w:val="1F497D"/>
          <w:u w:val="single"/>
        </w:rPr>
        <w:t>Definition</w:t>
      </w:r>
    </w:p>
    <w:p w:rsidR="00B91A6E" w:rsidRDefault="00E93DA9" w:rsidP="008245B6">
      <w:pPr>
        <w:rPr>
          <w:rFonts w:ascii="Calibri" w:hAnsi="Calibri"/>
          <w:b/>
          <w:color w:val="1F497D"/>
        </w:rPr>
      </w:pPr>
      <w:r w:rsidRPr="001A7A10">
        <w:rPr>
          <w:rFonts w:ascii="Calibri" w:hAnsi="Calibri"/>
          <w:b/>
          <w:color w:val="1F497D"/>
        </w:rPr>
        <w:t>KPI</w:t>
      </w:r>
      <w:r w:rsidR="001A7A10" w:rsidRPr="001A7A10">
        <w:rPr>
          <w:rFonts w:ascii="Calibri" w:hAnsi="Calibri"/>
          <w:b/>
          <w:color w:val="1F497D"/>
        </w:rPr>
        <w:t xml:space="preserve">: </w:t>
      </w:r>
      <w:r w:rsidR="00B91A6E" w:rsidRPr="00B91A6E">
        <w:rPr>
          <w:rFonts w:ascii="Calibri" w:hAnsi="Calibri"/>
          <w:color w:val="1F497D"/>
        </w:rPr>
        <w:t>Key performance indicator is a measurable value that demonstrates how effectively Organization if achieving key business objectives.</w:t>
      </w:r>
      <w:r w:rsidR="00B91A6E">
        <w:rPr>
          <w:rFonts w:ascii="Calibri" w:hAnsi="Calibri"/>
          <w:b/>
          <w:color w:val="1F497D"/>
        </w:rPr>
        <w:t xml:space="preserve"> </w:t>
      </w:r>
    </w:p>
    <w:p w:rsidR="00B91A6E" w:rsidRDefault="00B91A6E" w:rsidP="008245B6">
      <w:pPr>
        <w:rPr>
          <w:rFonts w:ascii="Calibri" w:hAnsi="Calibri"/>
          <w:b/>
          <w:color w:val="1F497D"/>
        </w:rPr>
      </w:pPr>
      <w:r>
        <w:rPr>
          <w:rFonts w:ascii="Calibri" w:hAnsi="Calibri"/>
          <w:b/>
          <w:color w:val="1F497D"/>
        </w:rPr>
        <w:t>SLA</w:t>
      </w:r>
      <w:r w:rsidR="000A029A">
        <w:rPr>
          <w:rFonts w:ascii="Calibri" w:hAnsi="Calibri"/>
          <w:b/>
          <w:color w:val="1F497D"/>
        </w:rPr>
        <w:t xml:space="preserve"> Target</w:t>
      </w:r>
      <w:r>
        <w:rPr>
          <w:rFonts w:ascii="Calibri" w:hAnsi="Calibri"/>
          <w:b/>
          <w:color w:val="1F497D"/>
        </w:rPr>
        <w:t xml:space="preserve">: </w:t>
      </w:r>
      <w:r w:rsidRPr="00B91A6E">
        <w:rPr>
          <w:rFonts w:ascii="Calibri" w:hAnsi="Calibri"/>
          <w:color w:val="1F497D"/>
        </w:rPr>
        <w:t xml:space="preserve">Service Level Agreement is the </w:t>
      </w:r>
      <w:r w:rsidR="000A029A">
        <w:rPr>
          <w:rFonts w:ascii="Calibri" w:hAnsi="Calibri"/>
          <w:color w:val="1F497D"/>
        </w:rPr>
        <w:t xml:space="preserve">agreement </w:t>
      </w:r>
      <w:r w:rsidRPr="00B91A6E">
        <w:rPr>
          <w:rFonts w:ascii="Calibri" w:hAnsi="Calibri"/>
          <w:color w:val="1F497D"/>
        </w:rPr>
        <w:t xml:space="preserve">on the expected level of </w:t>
      </w:r>
      <w:r w:rsidR="000A029A">
        <w:rPr>
          <w:rFonts w:ascii="Calibri" w:hAnsi="Calibri"/>
          <w:color w:val="1F497D"/>
        </w:rPr>
        <w:t>service which service provider is expected</w:t>
      </w:r>
      <w:r w:rsidR="00806A3B">
        <w:rPr>
          <w:rFonts w:ascii="Calibri" w:hAnsi="Calibri"/>
          <w:color w:val="1F497D"/>
        </w:rPr>
        <w:t xml:space="preserve"> to </w:t>
      </w:r>
      <w:r w:rsidR="000A029A">
        <w:rPr>
          <w:rFonts w:ascii="Calibri" w:hAnsi="Calibri"/>
          <w:color w:val="1F497D"/>
        </w:rPr>
        <w:t>maintain</w:t>
      </w:r>
    </w:p>
    <w:p w:rsidR="00E93DA9" w:rsidRPr="00B91A6E" w:rsidRDefault="00E93DA9" w:rsidP="008245B6">
      <w:pPr>
        <w:rPr>
          <w:rFonts w:ascii="Calibri" w:hAnsi="Calibri"/>
          <w:color w:val="1F497D"/>
        </w:rPr>
      </w:pPr>
      <w:r w:rsidRPr="001A7A10">
        <w:rPr>
          <w:rFonts w:ascii="Calibri" w:hAnsi="Calibri"/>
          <w:b/>
          <w:color w:val="1F497D"/>
        </w:rPr>
        <w:t>Actual</w:t>
      </w:r>
      <w:r w:rsidR="001A7A10" w:rsidRPr="001A7A10">
        <w:rPr>
          <w:rFonts w:ascii="Calibri" w:hAnsi="Calibri"/>
          <w:b/>
          <w:color w:val="1F497D"/>
        </w:rPr>
        <w:t>:</w:t>
      </w:r>
      <w:r w:rsidR="00B91A6E">
        <w:rPr>
          <w:rFonts w:ascii="Calibri" w:hAnsi="Calibri"/>
          <w:b/>
          <w:color w:val="1F497D"/>
        </w:rPr>
        <w:t xml:space="preserve"> </w:t>
      </w:r>
      <w:r w:rsidR="00B91A6E" w:rsidRPr="00B91A6E">
        <w:rPr>
          <w:rFonts w:ascii="Calibri" w:hAnsi="Calibri"/>
          <w:color w:val="1F497D"/>
        </w:rPr>
        <w:t xml:space="preserve">Indicates the </w:t>
      </w:r>
      <w:r w:rsidR="000A029A">
        <w:rPr>
          <w:rFonts w:ascii="Calibri" w:hAnsi="Calibri"/>
          <w:color w:val="1F497D"/>
        </w:rPr>
        <w:t>project</w:t>
      </w:r>
      <w:r w:rsidR="000D29A9">
        <w:rPr>
          <w:rFonts w:ascii="Calibri" w:hAnsi="Calibri"/>
          <w:color w:val="1F497D"/>
        </w:rPr>
        <w:t xml:space="preserve"> </w:t>
      </w:r>
      <w:r w:rsidR="00806A3B">
        <w:rPr>
          <w:rFonts w:ascii="Calibri" w:hAnsi="Calibri"/>
          <w:color w:val="1F497D"/>
        </w:rPr>
        <w:t xml:space="preserve">and account </w:t>
      </w:r>
      <w:r w:rsidR="000D29A9">
        <w:rPr>
          <w:rFonts w:ascii="Calibri" w:hAnsi="Calibri"/>
          <w:color w:val="1F497D"/>
        </w:rPr>
        <w:t xml:space="preserve">level </w:t>
      </w:r>
      <w:r w:rsidR="00B91A6E">
        <w:rPr>
          <w:rFonts w:ascii="Calibri" w:hAnsi="Calibri"/>
          <w:color w:val="1F497D"/>
        </w:rPr>
        <w:t>performance</w:t>
      </w:r>
      <w:r w:rsidR="000D29A9">
        <w:rPr>
          <w:rFonts w:ascii="Calibri" w:hAnsi="Calibri"/>
          <w:color w:val="1F497D"/>
        </w:rPr>
        <w:t xml:space="preserve"> on the KPIs for</w:t>
      </w:r>
      <w:r w:rsidR="00B91A6E" w:rsidRPr="00B91A6E">
        <w:rPr>
          <w:rFonts w:ascii="Calibri" w:hAnsi="Calibri"/>
          <w:color w:val="1F497D"/>
        </w:rPr>
        <w:t xml:space="preserve"> specific time period</w:t>
      </w:r>
    </w:p>
    <w:p w:rsidR="00E93DA9" w:rsidRPr="000D29A9" w:rsidRDefault="00E93DA9" w:rsidP="008245B6">
      <w:pPr>
        <w:rPr>
          <w:rFonts w:ascii="Calibri" w:hAnsi="Calibri"/>
          <w:color w:val="1F497D"/>
        </w:rPr>
      </w:pPr>
      <w:r w:rsidRPr="001A7A10">
        <w:rPr>
          <w:rFonts w:ascii="Calibri" w:hAnsi="Calibri"/>
          <w:b/>
          <w:color w:val="1F497D"/>
        </w:rPr>
        <w:t>RAG</w:t>
      </w:r>
      <w:r w:rsidR="001A7A10" w:rsidRPr="001A7A10">
        <w:rPr>
          <w:rFonts w:ascii="Calibri" w:hAnsi="Calibri"/>
          <w:b/>
          <w:color w:val="1F497D"/>
        </w:rPr>
        <w:t>:</w:t>
      </w:r>
      <w:r w:rsidR="00B91A6E">
        <w:rPr>
          <w:rFonts w:ascii="Calibri" w:hAnsi="Calibri"/>
          <w:b/>
          <w:color w:val="1F497D"/>
        </w:rPr>
        <w:t xml:space="preserve"> </w:t>
      </w:r>
      <w:r w:rsidR="00783CD7">
        <w:rPr>
          <w:rFonts w:ascii="Calibri" w:hAnsi="Calibri"/>
          <w:color w:val="1F497D"/>
        </w:rPr>
        <w:t>Red</w:t>
      </w:r>
      <w:r w:rsidR="000D29A9" w:rsidRPr="000D29A9">
        <w:rPr>
          <w:rFonts w:ascii="Calibri" w:hAnsi="Calibri"/>
          <w:color w:val="1F497D"/>
        </w:rPr>
        <w:t>, Amber, Green are the visual representation of the performance where Green indicated ‘SLA met’ and Red indicates ‘missed’. Amber is not being used currently.</w:t>
      </w:r>
    </w:p>
    <w:p w:rsidR="00E93DA9" w:rsidRPr="001A7A10" w:rsidRDefault="00E93DA9" w:rsidP="008245B6">
      <w:pPr>
        <w:rPr>
          <w:rFonts w:ascii="Calibri" w:hAnsi="Calibri"/>
          <w:b/>
          <w:color w:val="1F497D"/>
        </w:rPr>
      </w:pPr>
      <w:r w:rsidRPr="001A7A10">
        <w:rPr>
          <w:rFonts w:ascii="Calibri" w:hAnsi="Calibri"/>
          <w:b/>
          <w:color w:val="1F497D"/>
        </w:rPr>
        <w:t>Cause:</w:t>
      </w:r>
      <w:r w:rsidR="000D29A9">
        <w:rPr>
          <w:rFonts w:ascii="Calibri" w:hAnsi="Calibri"/>
          <w:b/>
          <w:color w:val="1F497D"/>
        </w:rPr>
        <w:t xml:space="preserve"> </w:t>
      </w:r>
      <w:r w:rsidR="00AC01F3">
        <w:rPr>
          <w:rFonts w:ascii="Calibri" w:hAnsi="Calibri"/>
          <w:color w:val="1F497D"/>
        </w:rPr>
        <w:t>This field provides explanation of why a KPI failed to meet the target.</w:t>
      </w:r>
    </w:p>
    <w:p w:rsidR="00692FE9" w:rsidRDefault="00E93DA9" w:rsidP="008245B6">
      <w:pPr>
        <w:rPr>
          <w:rFonts w:ascii="Calibri" w:hAnsi="Calibri"/>
          <w:color w:val="1F497D"/>
        </w:rPr>
      </w:pPr>
      <w:r w:rsidRPr="001A7A10">
        <w:rPr>
          <w:rFonts w:ascii="Calibri" w:hAnsi="Calibri"/>
          <w:b/>
          <w:color w:val="1F497D"/>
        </w:rPr>
        <w:t xml:space="preserve">Action: </w:t>
      </w:r>
      <w:r w:rsidR="00AC01F3">
        <w:rPr>
          <w:rFonts w:ascii="Calibri" w:hAnsi="Calibri"/>
          <w:color w:val="1F497D"/>
        </w:rPr>
        <w:t>This</w:t>
      </w:r>
      <w:r w:rsidR="000D29A9" w:rsidRPr="000D29A9">
        <w:rPr>
          <w:rFonts w:ascii="Calibri" w:hAnsi="Calibri"/>
          <w:color w:val="1F497D"/>
        </w:rPr>
        <w:t xml:space="preserve"> field </w:t>
      </w:r>
      <w:r w:rsidR="00806A3B">
        <w:rPr>
          <w:rFonts w:ascii="Calibri" w:hAnsi="Calibri"/>
          <w:color w:val="1F497D"/>
        </w:rPr>
        <w:t>provide</w:t>
      </w:r>
      <w:r w:rsidR="00AC01F3">
        <w:rPr>
          <w:rFonts w:ascii="Calibri" w:hAnsi="Calibri"/>
          <w:color w:val="1F497D"/>
        </w:rPr>
        <w:t>s</w:t>
      </w:r>
      <w:r w:rsidR="000D29A9" w:rsidRPr="000D29A9">
        <w:rPr>
          <w:rFonts w:ascii="Calibri" w:hAnsi="Calibri"/>
          <w:color w:val="1F497D"/>
        </w:rPr>
        <w:t xml:space="preserve"> details of the plan of action </w:t>
      </w:r>
      <w:r w:rsidR="00AC01F3">
        <w:rPr>
          <w:rFonts w:ascii="Calibri" w:hAnsi="Calibri"/>
          <w:color w:val="1F497D"/>
        </w:rPr>
        <w:t xml:space="preserve">for the KPI that missed the target to </w:t>
      </w:r>
      <w:r w:rsidR="00783CD7">
        <w:rPr>
          <w:rFonts w:ascii="Calibri" w:hAnsi="Calibri"/>
          <w:color w:val="1F497D"/>
        </w:rPr>
        <w:t>avoid recurrence.</w:t>
      </w:r>
    </w:p>
    <w:p w:rsidR="00692FE9" w:rsidRDefault="00692FE9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br w:type="page"/>
      </w:r>
    </w:p>
    <w:p w:rsidR="00324BBA" w:rsidRDefault="00324BBA" w:rsidP="008245B6">
      <w:pPr>
        <w:rPr>
          <w:rFonts w:ascii="Calibri" w:hAnsi="Calibri"/>
          <w:color w:val="1F497D"/>
        </w:rPr>
      </w:pPr>
    </w:p>
    <w:p w:rsidR="009E5423" w:rsidRPr="00324BBA" w:rsidRDefault="005E62B7" w:rsidP="003E0B10">
      <w:pPr>
        <w:rPr>
          <w:rFonts w:ascii="Calibri" w:hAnsi="Calibri"/>
          <w:color w:val="1F497D"/>
        </w:rPr>
      </w:pPr>
      <w:bookmarkStart w:id="1" w:name="_GoBack"/>
      <w:bookmarkEnd w:id="1"/>
      <w:r>
        <w:rPr>
          <w:rFonts w:ascii="Calibri" w:hAnsi="Calibri"/>
          <w:color w:val="1F497D"/>
        </w:rPr>
        <w:t xml:space="preserve">Following is the set of </w:t>
      </w:r>
      <w:r w:rsidR="009E5423">
        <w:rPr>
          <w:rFonts w:ascii="Calibri" w:hAnsi="Calibri"/>
          <w:color w:val="1F497D"/>
        </w:rPr>
        <w:t>20 KPIs which are included in the Dashboard</w:t>
      </w:r>
      <w:r>
        <w:rPr>
          <w:rFonts w:ascii="Calibri" w:hAnsi="Calibri"/>
          <w:color w:val="1F497D"/>
        </w:rPr>
        <w:t xml:space="preserve"> today</w:t>
      </w:r>
      <w:r w:rsidR="009E5423">
        <w:rPr>
          <w:rFonts w:ascii="Calibri" w:hAnsi="Calibri"/>
          <w:color w:val="1F497D"/>
        </w:rPr>
        <w:t>. Some of the KPIs are calculated based on the data taken from the QC database, others are collected from the delivery managers</w:t>
      </w:r>
      <w:r>
        <w:rPr>
          <w:rFonts w:ascii="Calibri" w:hAnsi="Calibri"/>
          <w:color w:val="1F497D"/>
        </w:rPr>
        <w:t xml:space="preserve"> and other sources.</w:t>
      </w:r>
    </w:p>
    <w:p w:rsidR="008245B6" w:rsidRDefault="00E91CDB" w:rsidP="005C7837">
      <w:pPr>
        <w:spacing w:after="0"/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 xml:space="preserve">1. </w:t>
      </w:r>
      <w:r w:rsidR="00806A3B">
        <w:rPr>
          <w:rFonts w:ascii="Calibri" w:hAnsi="Calibri"/>
          <w:color w:val="1F497D"/>
        </w:rPr>
        <w:t xml:space="preserve">  </w:t>
      </w:r>
      <w:r w:rsidRPr="00324BBA">
        <w:rPr>
          <w:rFonts w:ascii="Calibri" w:hAnsi="Calibri"/>
          <w:color w:val="1F497D"/>
        </w:rPr>
        <w:t>Delivery Slippage</w:t>
      </w:r>
    </w:p>
    <w:p w:rsidR="00806A3B" w:rsidRDefault="00806A3B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Definition:</w:t>
      </w:r>
      <w:r>
        <w:rPr>
          <w:rFonts w:ascii="Calibri" w:hAnsi="Calibri"/>
          <w:color w:val="1F497D"/>
        </w:rPr>
        <w:t xml:space="preserve"> </w:t>
      </w:r>
      <w:r w:rsidRPr="00806A3B">
        <w:rPr>
          <w:rFonts w:ascii="Calibri" w:hAnsi="Calibri"/>
          <w:color w:val="1F497D"/>
        </w:rPr>
        <w:t>Number of Slipped Production Deliveries due to TCS = Number of Prod deliveries made in the month where actual delivery date is greater than expected delivery date</w:t>
      </w:r>
    </w:p>
    <w:p w:rsidR="00806A3B" w:rsidRPr="00806A3B" w:rsidRDefault="00806A3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Scope:</w:t>
      </w:r>
      <w:r>
        <w:rPr>
          <w:rFonts w:ascii="Calibri" w:hAnsi="Calibri"/>
          <w:color w:val="1F497D"/>
        </w:rPr>
        <w:t xml:space="preserve"> </w:t>
      </w:r>
      <w:r w:rsidRPr="00806A3B">
        <w:rPr>
          <w:rFonts w:ascii="Calibri" w:hAnsi="Calibri"/>
          <w:color w:val="1F497D"/>
        </w:rPr>
        <w:t>Measured when the scope of project is Development and Testing</w:t>
      </w:r>
    </w:p>
    <w:p w:rsidR="00806A3B" w:rsidRDefault="00806A3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Data Source:</w:t>
      </w:r>
      <w:r w:rsidRPr="00806A3B">
        <w:rPr>
          <w:rFonts w:ascii="Calibri" w:hAnsi="Calibri"/>
          <w:color w:val="1F497D"/>
        </w:rPr>
        <w:t xml:space="preserve"> </w:t>
      </w:r>
      <w:r w:rsidR="00B5639B" w:rsidRPr="00B5639B">
        <w:rPr>
          <w:rFonts w:ascii="Calibri" w:hAnsi="Calibri"/>
          <w:color w:val="1F497D"/>
        </w:rPr>
        <w:t>Information is received from the Delivery Managers</w:t>
      </w:r>
    </w:p>
    <w:p w:rsidR="00692FE9" w:rsidRDefault="00134DC6" w:rsidP="005C7837">
      <w:pPr>
        <w:spacing w:after="0"/>
        <w:ind w:firstLine="720"/>
        <w:rPr>
          <w:rFonts w:ascii="Calibri" w:hAnsi="Calibri"/>
          <w:color w:val="1F497D"/>
        </w:rPr>
      </w:pPr>
      <w:r w:rsidRPr="00134DC6">
        <w:rPr>
          <w:rFonts w:ascii="Calibri" w:hAnsi="Calibri"/>
          <w:b/>
          <w:color w:val="1F497D"/>
        </w:rPr>
        <w:t>SLA Target:</w:t>
      </w:r>
      <w:r>
        <w:rPr>
          <w:rFonts w:ascii="Calibri" w:hAnsi="Calibri"/>
          <w:b/>
          <w:color w:val="1F497D"/>
        </w:rPr>
        <w:t xml:space="preserve"> </w:t>
      </w:r>
      <w:r w:rsidRPr="00134DC6">
        <w:rPr>
          <w:rFonts w:ascii="Calibri" w:hAnsi="Calibri"/>
          <w:color w:val="1F497D"/>
        </w:rPr>
        <w:t>&lt;=5%</w:t>
      </w:r>
    </w:p>
    <w:p w:rsidR="005C7837" w:rsidRPr="00134DC6" w:rsidRDefault="005C7837" w:rsidP="00692FE9">
      <w:pPr>
        <w:rPr>
          <w:rFonts w:ascii="Calibri" w:hAnsi="Calibri"/>
          <w:b/>
          <w:color w:val="1F497D"/>
        </w:rPr>
      </w:pPr>
    </w:p>
    <w:p w:rsidR="00E91CDB" w:rsidRDefault="00E91CDB" w:rsidP="005C7837">
      <w:pPr>
        <w:spacing w:after="0"/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 xml:space="preserve">2. </w:t>
      </w:r>
      <w:r w:rsidR="00806A3B">
        <w:rPr>
          <w:rFonts w:ascii="Calibri" w:hAnsi="Calibri"/>
          <w:color w:val="1F497D"/>
        </w:rPr>
        <w:t xml:space="preserve">  </w:t>
      </w:r>
      <w:r w:rsidRPr="00324BBA">
        <w:rPr>
          <w:rFonts w:ascii="Calibri" w:hAnsi="Calibri"/>
          <w:color w:val="1F497D"/>
        </w:rPr>
        <w:t>Defect free deliveries (P1 and P2)</w:t>
      </w:r>
    </w:p>
    <w:p w:rsidR="00891890" w:rsidRDefault="00891890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Definition:</w:t>
      </w:r>
      <w:r>
        <w:rPr>
          <w:rFonts w:ascii="Calibri" w:hAnsi="Calibri"/>
          <w:color w:val="1F497D"/>
        </w:rPr>
        <w:t xml:space="preserve"> </w:t>
      </w:r>
      <w:r w:rsidR="00B5639B" w:rsidRPr="00B5639B">
        <w:rPr>
          <w:rFonts w:ascii="Calibri" w:hAnsi="Calibri"/>
          <w:color w:val="1F497D"/>
        </w:rPr>
        <w:t>(Number of deliveries with zero defects (P1 and P2) in acceptance * 100) / Total number of deliveries (Exception on NFR related incidents)</w:t>
      </w:r>
    </w:p>
    <w:p w:rsidR="00B5639B" w:rsidRDefault="00891890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Scope:</w:t>
      </w:r>
      <w:r>
        <w:rPr>
          <w:rFonts w:ascii="Calibri" w:hAnsi="Calibri"/>
          <w:color w:val="1F497D"/>
        </w:rPr>
        <w:t xml:space="preserve"> </w:t>
      </w:r>
      <w:r w:rsidR="00B5639B" w:rsidRPr="00B5639B">
        <w:rPr>
          <w:rFonts w:ascii="Calibri" w:hAnsi="Calibri"/>
          <w:color w:val="1F497D"/>
        </w:rPr>
        <w:t xml:space="preserve">Measured when the scope of project is Development </w:t>
      </w:r>
    </w:p>
    <w:p w:rsidR="00891890" w:rsidRDefault="00891890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Data Source:</w:t>
      </w:r>
      <w:r w:rsidRPr="00806A3B">
        <w:rPr>
          <w:rFonts w:ascii="Calibri" w:hAnsi="Calibri"/>
          <w:color w:val="1F497D"/>
        </w:rPr>
        <w:t xml:space="preserve"> </w:t>
      </w:r>
      <w:r w:rsidR="00B5639B" w:rsidRPr="00B5639B">
        <w:rPr>
          <w:rFonts w:ascii="Calibri" w:hAnsi="Calibri"/>
          <w:color w:val="1F497D"/>
        </w:rPr>
        <w:t>Information is received from the Delivery Managers</w:t>
      </w:r>
    </w:p>
    <w:p w:rsidR="00891890" w:rsidRDefault="000850B1" w:rsidP="005C7837">
      <w:pPr>
        <w:spacing w:after="0"/>
        <w:ind w:firstLine="720"/>
        <w:rPr>
          <w:rFonts w:ascii="Calibri" w:hAnsi="Calibri"/>
          <w:color w:val="1F497D"/>
        </w:rPr>
      </w:pPr>
      <w:r w:rsidRPr="00134DC6">
        <w:rPr>
          <w:rFonts w:ascii="Calibri" w:hAnsi="Calibri"/>
          <w:b/>
          <w:color w:val="1F497D"/>
        </w:rPr>
        <w:t>SLA Target:</w:t>
      </w:r>
      <w:r>
        <w:rPr>
          <w:rFonts w:ascii="Calibri" w:hAnsi="Calibri"/>
          <w:b/>
          <w:color w:val="1F497D"/>
        </w:rPr>
        <w:t xml:space="preserve"> </w:t>
      </w:r>
      <w:r w:rsidRPr="000850B1">
        <w:rPr>
          <w:rFonts w:ascii="Calibri" w:hAnsi="Calibri"/>
          <w:color w:val="1F497D"/>
        </w:rPr>
        <w:t>100%</w:t>
      </w:r>
    </w:p>
    <w:p w:rsidR="005C7837" w:rsidRPr="00324BBA" w:rsidRDefault="005C7837" w:rsidP="005C7837">
      <w:pPr>
        <w:spacing w:after="0"/>
        <w:ind w:firstLine="720"/>
        <w:rPr>
          <w:rFonts w:ascii="Calibri" w:hAnsi="Calibri"/>
          <w:color w:val="1F497D"/>
        </w:rPr>
      </w:pPr>
    </w:p>
    <w:p w:rsidR="00E91CDB" w:rsidRDefault="00E91CDB" w:rsidP="005C7837">
      <w:pPr>
        <w:spacing w:after="0"/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 xml:space="preserve">3. </w:t>
      </w:r>
      <w:r w:rsidR="00806A3B">
        <w:rPr>
          <w:rFonts w:ascii="Calibri" w:hAnsi="Calibri"/>
          <w:color w:val="1F497D"/>
        </w:rPr>
        <w:t xml:space="preserve">  </w:t>
      </w:r>
      <w:r w:rsidRPr="00324BBA">
        <w:rPr>
          <w:rFonts w:ascii="Calibri" w:hAnsi="Calibri"/>
          <w:color w:val="1F497D"/>
        </w:rPr>
        <w:t>No. of Defect (P3 and P4)</w:t>
      </w:r>
    </w:p>
    <w:p w:rsidR="00B5639B" w:rsidRDefault="00B5639B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Definition:</w:t>
      </w:r>
      <w:r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># of Defects (P3 and P4) per Release (Exception on NFR related incidents)</w:t>
      </w:r>
    </w:p>
    <w:p w:rsidR="00B5639B" w:rsidRPr="00806A3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Scope:</w:t>
      </w:r>
      <w:r>
        <w:rPr>
          <w:rFonts w:ascii="Calibri" w:hAnsi="Calibri"/>
          <w:color w:val="1F497D"/>
        </w:rPr>
        <w:t xml:space="preserve"> </w:t>
      </w:r>
      <w:r w:rsidRPr="00891890">
        <w:rPr>
          <w:rFonts w:ascii="Calibri" w:hAnsi="Calibri"/>
          <w:color w:val="1F497D"/>
        </w:rPr>
        <w:t>Measured when the scope of project is Development</w:t>
      </w:r>
    </w:p>
    <w:p w:rsidR="00B5639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Data Source:</w:t>
      </w:r>
      <w:r w:rsidRPr="00806A3B"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>Information is received from the Delivery Managers</w:t>
      </w:r>
    </w:p>
    <w:p w:rsidR="000850B1" w:rsidRPr="00134DC6" w:rsidRDefault="000850B1" w:rsidP="005C7837">
      <w:pPr>
        <w:spacing w:after="0"/>
        <w:ind w:firstLine="720"/>
        <w:rPr>
          <w:rFonts w:ascii="Calibri" w:hAnsi="Calibri"/>
          <w:b/>
          <w:color w:val="1F497D"/>
        </w:rPr>
      </w:pPr>
      <w:r w:rsidRPr="00134DC6">
        <w:rPr>
          <w:rFonts w:ascii="Calibri" w:hAnsi="Calibri"/>
          <w:b/>
          <w:color w:val="1F497D"/>
        </w:rPr>
        <w:t>SLA Target:</w:t>
      </w:r>
      <w:r>
        <w:rPr>
          <w:rFonts w:ascii="Calibri" w:hAnsi="Calibri"/>
          <w:b/>
          <w:color w:val="1F497D"/>
        </w:rPr>
        <w:t xml:space="preserve"> </w:t>
      </w:r>
      <w:r>
        <w:rPr>
          <w:rFonts w:ascii="Calibri" w:hAnsi="Calibri"/>
          <w:color w:val="1F497D"/>
        </w:rPr>
        <w:t>&lt;=1</w:t>
      </w:r>
      <w:r w:rsidRPr="00134DC6">
        <w:rPr>
          <w:rFonts w:ascii="Calibri" w:hAnsi="Calibri"/>
          <w:color w:val="1F497D"/>
        </w:rPr>
        <w:t>%</w:t>
      </w:r>
    </w:p>
    <w:p w:rsidR="005C7837" w:rsidRDefault="005C7837" w:rsidP="005C7837">
      <w:pPr>
        <w:spacing w:after="0"/>
        <w:rPr>
          <w:rFonts w:ascii="Calibri" w:hAnsi="Calibri"/>
          <w:color w:val="1F497D"/>
        </w:rPr>
      </w:pPr>
    </w:p>
    <w:p w:rsidR="00E91CDB" w:rsidRDefault="00E91CDB" w:rsidP="005C7837">
      <w:pPr>
        <w:spacing w:after="0"/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 xml:space="preserve">4. </w:t>
      </w:r>
      <w:r w:rsidR="00806A3B">
        <w:rPr>
          <w:rFonts w:ascii="Calibri" w:hAnsi="Calibri"/>
          <w:color w:val="1F497D"/>
        </w:rPr>
        <w:t xml:space="preserve">  </w:t>
      </w:r>
      <w:r w:rsidRPr="00324BBA">
        <w:rPr>
          <w:rFonts w:ascii="Calibri" w:hAnsi="Calibri"/>
          <w:color w:val="1F497D"/>
        </w:rPr>
        <w:t>Total Defect Containment Effectiveness (TDCE)</w:t>
      </w:r>
    </w:p>
    <w:p w:rsidR="00B5639B" w:rsidRDefault="00B5639B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Definition:</w:t>
      </w:r>
      <w:r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>TDCE = (Number of pre-delivery defects * 100) / (Number of pre-de</w:t>
      </w:r>
      <w:r>
        <w:rPr>
          <w:rFonts w:ascii="Calibri" w:hAnsi="Calibri"/>
          <w:color w:val="1F497D"/>
        </w:rPr>
        <w:t>livery defects + Number of post-</w:t>
      </w:r>
      <w:r w:rsidRPr="00B5639B">
        <w:rPr>
          <w:rFonts w:ascii="Calibri" w:hAnsi="Calibri"/>
          <w:color w:val="1F497D"/>
        </w:rPr>
        <w:t>delivery defects)</w:t>
      </w:r>
      <w:r>
        <w:rPr>
          <w:rFonts w:ascii="Calibri" w:hAnsi="Calibri"/>
          <w:color w:val="1F497D"/>
        </w:rPr>
        <w:t xml:space="preserve">  </w:t>
      </w:r>
    </w:p>
    <w:p w:rsidR="00B5639B" w:rsidRDefault="00B5639B" w:rsidP="005C7837">
      <w:pPr>
        <w:spacing w:after="0"/>
        <w:ind w:left="72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***</w:t>
      </w:r>
      <w:r w:rsidRPr="00B5639B">
        <w:rPr>
          <w:rFonts w:ascii="Calibri" w:hAnsi="Calibri"/>
          <w:color w:val="1F497D"/>
        </w:rPr>
        <w:t>Exc</w:t>
      </w:r>
      <w:r>
        <w:rPr>
          <w:rFonts w:ascii="Calibri" w:hAnsi="Calibri"/>
          <w:color w:val="1F497D"/>
        </w:rPr>
        <w:t>eption on NFR related incidents***</w:t>
      </w:r>
    </w:p>
    <w:p w:rsidR="00B5639B" w:rsidRPr="00806A3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Scope:</w:t>
      </w:r>
      <w:r>
        <w:rPr>
          <w:rFonts w:ascii="Calibri" w:hAnsi="Calibri"/>
          <w:color w:val="1F497D"/>
        </w:rPr>
        <w:t xml:space="preserve"> </w:t>
      </w:r>
      <w:r w:rsidRPr="00891890">
        <w:rPr>
          <w:rFonts w:ascii="Calibri" w:hAnsi="Calibri"/>
          <w:color w:val="1F497D"/>
        </w:rPr>
        <w:t>Measured when the scope of project is Development</w:t>
      </w:r>
    </w:p>
    <w:p w:rsidR="00B5639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Data Source:</w:t>
      </w:r>
      <w:r w:rsidRPr="00806A3B"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>Pre Production defects: QC database, Post production defects: Delivery</w:t>
      </w:r>
    </w:p>
    <w:p w:rsidR="000850B1" w:rsidRDefault="000850B1" w:rsidP="005C7837">
      <w:pPr>
        <w:spacing w:after="0"/>
        <w:ind w:firstLine="720"/>
        <w:rPr>
          <w:rFonts w:ascii="Calibri" w:hAnsi="Calibri"/>
          <w:color w:val="1F497D"/>
        </w:rPr>
      </w:pPr>
      <w:r w:rsidRPr="00134DC6">
        <w:rPr>
          <w:rFonts w:ascii="Calibri" w:hAnsi="Calibri"/>
          <w:b/>
          <w:color w:val="1F497D"/>
        </w:rPr>
        <w:t>SLA Target:</w:t>
      </w:r>
      <w:r>
        <w:rPr>
          <w:rFonts w:ascii="Calibri" w:hAnsi="Calibri"/>
          <w:b/>
          <w:color w:val="1F497D"/>
        </w:rPr>
        <w:t xml:space="preserve"> </w:t>
      </w:r>
      <w:r>
        <w:rPr>
          <w:rFonts w:ascii="Calibri" w:hAnsi="Calibri"/>
          <w:color w:val="1F497D"/>
        </w:rPr>
        <w:t>&gt;97</w:t>
      </w:r>
      <w:r w:rsidRPr="00134DC6">
        <w:rPr>
          <w:rFonts w:ascii="Calibri" w:hAnsi="Calibri"/>
          <w:color w:val="1F497D"/>
        </w:rPr>
        <w:t>%</w:t>
      </w:r>
    </w:p>
    <w:p w:rsidR="005C7837" w:rsidRDefault="005C7837" w:rsidP="005C7837">
      <w:pPr>
        <w:spacing w:after="0"/>
        <w:ind w:firstLine="720"/>
        <w:rPr>
          <w:rFonts w:ascii="Calibri" w:hAnsi="Calibri"/>
          <w:color w:val="1F497D"/>
        </w:rPr>
      </w:pPr>
    </w:p>
    <w:p w:rsidR="00E91CDB" w:rsidRDefault="00E91CDB" w:rsidP="005C7837">
      <w:pPr>
        <w:spacing w:after="0"/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>5.</w:t>
      </w:r>
      <w:r w:rsidR="00806A3B">
        <w:rPr>
          <w:rFonts w:ascii="Calibri" w:hAnsi="Calibri"/>
          <w:color w:val="1F497D"/>
        </w:rPr>
        <w:t xml:space="preserve"> </w:t>
      </w:r>
      <w:r w:rsidRPr="00324BBA">
        <w:rPr>
          <w:rFonts w:ascii="Calibri" w:hAnsi="Calibri"/>
          <w:color w:val="1F497D"/>
        </w:rPr>
        <w:t xml:space="preserve"> </w:t>
      </w:r>
      <w:r w:rsidR="00806A3B">
        <w:rPr>
          <w:rFonts w:ascii="Calibri" w:hAnsi="Calibri"/>
          <w:color w:val="1F497D"/>
        </w:rPr>
        <w:t xml:space="preserve"> </w:t>
      </w:r>
      <w:r w:rsidRPr="00324BBA">
        <w:rPr>
          <w:rFonts w:ascii="Calibri" w:hAnsi="Calibri"/>
          <w:color w:val="1F497D"/>
        </w:rPr>
        <w:t>Automation</w:t>
      </w:r>
    </w:p>
    <w:p w:rsidR="00B5639B" w:rsidRDefault="00B5639B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Definition:</w:t>
      </w:r>
      <w:r>
        <w:rPr>
          <w:rFonts w:ascii="Calibri" w:hAnsi="Calibri"/>
          <w:color w:val="1F497D"/>
        </w:rPr>
        <w:t xml:space="preserve"> </w:t>
      </w:r>
      <w:r w:rsidR="0006448C" w:rsidRPr="0006448C">
        <w:rPr>
          <w:rFonts w:ascii="Calibri" w:hAnsi="Calibri"/>
          <w:color w:val="1F497D"/>
        </w:rPr>
        <w:t>% of automated test cases = no. of test cases executed using automation/ total no. of executed test cases (For completed projects only)</w:t>
      </w:r>
    </w:p>
    <w:p w:rsidR="00B5639B" w:rsidRPr="00B5639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Scope:</w:t>
      </w:r>
      <w:r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 xml:space="preserve">Measured when the scope of project is </w:t>
      </w:r>
      <w:proofErr w:type="gramStart"/>
      <w:r w:rsidRPr="00B5639B">
        <w:rPr>
          <w:rFonts w:ascii="Calibri" w:hAnsi="Calibri"/>
          <w:color w:val="1F497D"/>
        </w:rPr>
        <w:t>Testing</w:t>
      </w:r>
      <w:proofErr w:type="gramEnd"/>
    </w:p>
    <w:p w:rsidR="00B5639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Data Source:</w:t>
      </w:r>
      <w:r w:rsidRPr="00806A3B"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>QC database</w:t>
      </w:r>
    </w:p>
    <w:p w:rsidR="000850B1" w:rsidRDefault="000850B1" w:rsidP="005C7837">
      <w:pPr>
        <w:spacing w:after="0"/>
        <w:ind w:firstLine="720"/>
        <w:rPr>
          <w:rFonts w:ascii="Calibri" w:hAnsi="Calibri"/>
          <w:color w:val="1F497D"/>
        </w:rPr>
      </w:pPr>
      <w:r w:rsidRPr="00134DC6">
        <w:rPr>
          <w:rFonts w:ascii="Calibri" w:hAnsi="Calibri"/>
          <w:b/>
          <w:color w:val="1F497D"/>
        </w:rPr>
        <w:t>SLA Target:</w:t>
      </w:r>
      <w:r>
        <w:rPr>
          <w:rFonts w:ascii="Calibri" w:hAnsi="Calibri"/>
          <w:b/>
          <w:color w:val="1F497D"/>
        </w:rPr>
        <w:t xml:space="preserve"> </w:t>
      </w:r>
      <w:r>
        <w:rPr>
          <w:rFonts w:ascii="Calibri" w:hAnsi="Calibri"/>
          <w:color w:val="1F497D"/>
        </w:rPr>
        <w:t>&gt;= 30</w:t>
      </w:r>
      <w:r w:rsidRPr="00134DC6">
        <w:rPr>
          <w:rFonts w:ascii="Calibri" w:hAnsi="Calibri"/>
          <w:color w:val="1F497D"/>
        </w:rPr>
        <w:t>%</w:t>
      </w:r>
    </w:p>
    <w:p w:rsidR="005C7837" w:rsidRDefault="005C7837" w:rsidP="005C7837">
      <w:pPr>
        <w:spacing w:after="0"/>
        <w:ind w:firstLine="720"/>
        <w:rPr>
          <w:rFonts w:ascii="Calibri" w:hAnsi="Calibri"/>
          <w:color w:val="1F497D"/>
        </w:rPr>
      </w:pPr>
    </w:p>
    <w:p w:rsidR="00E91CDB" w:rsidRDefault="00E91CDB" w:rsidP="005C7837">
      <w:pPr>
        <w:spacing w:after="0"/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 xml:space="preserve">6. </w:t>
      </w:r>
      <w:r w:rsidR="00806A3B">
        <w:rPr>
          <w:rFonts w:ascii="Calibri" w:hAnsi="Calibri"/>
          <w:color w:val="1F497D"/>
        </w:rPr>
        <w:t xml:space="preserve">  </w:t>
      </w:r>
      <w:r w:rsidRPr="00324BBA">
        <w:rPr>
          <w:rFonts w:ascii="Calibri" w:hAnsi="Calibri"/>
          <w:color w:val="1F497D"/>
        </w:rPr>
        <w:t>Effectiveness of Test Process</w:t>
      </w:r>
    </w:p>
    <w:p w:rsidR="00B5639B" w:rsidRDefault="00B5639B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Definition:</w:t>
      </w:r>
      <w:r>
        <w:rPr>
          <w:rFonts w:ascii="Calibri" w:hAnsi="Calibri"/>
          <w:color w:val="1F497D"/>
        </w:rPr>
        <w:t xml:space="preserve"> </w:t>
      </w:r>
      <w:r w:rsidR="0006448C" w:rsidRPr="0006448C">
        <w:rPr>
          <w:rFonts w:ascii="Calibri" w:hAnsi="Calibri"/>
          <w:color w:val="1F497D"/>
        </w:rPr>
        <w:t>% of rejected/withdrawn defects = no. of defects rejected or withdrawn / total no. of defects raised - to measure knowledge/understan</w:t>
      </w:r>
      <w:r w:rsidR="0006448C">
        <w:rPr>
          <w:rFonts w:ascii="Calibri" w:hAnsi="Calibri"/>
          <w:color w:val="1F497D"/>
        </w:rPr>
        <w:t>d</w:t>
      </w:r>
      <w:r w:rsidR="0006448C" w:rsidRPr="0006448C">
        <w:rPr>
          <w:rFonts w:ascii="Calibri" w:hAnsi="Calibri"/>
          <w:color w:val="1F497D"/>
        </w:rPr>
        <w:t>ing of the requirements and test processes</w:t>
      </w:r>
    </w:p>
    <w:p w:rsidR="0006448C" w:rsidRPr="00B5639B" w:rsidRDefault="0006448C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Scope:</w:t>
      </w:r>
      <w:r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 xml:space="preserve">Measured when the scope of project is </w:t>
      </w:r>
      <w:proofErr w:type="gramStart"/>
      <w:r w:rsidRPr="00B5639B">
        <w:rPr>
          <w:rFonts w:ascii="Calibri" w:hAnsi="Calibri"/>
          <w:color w:val="1F497D"/>
        </w:rPr>
        <w:t>Testing</w:t>
      </w:r>
      <w:proofErr w:type="gramEnd"/>
    </w:p>
    <w:p w:rsidR="0006448C" w:rsidRDefault="0006448C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Data Source:</w:t>
      </w:r>
      <w:r w:rsidRPr="00806A3B"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>QC database</w:t>
      </w:r>
    </w:p>
    <w:p w:rsidR="005C7837" w:rsidRDefault="000850B1" w:rsidP="005C7837">
      <w:pPr>
        <w:spacing w:after="0"/>
        <w:ind w:firstLine="720"/>
        <w:rPr>
          <w:rFonts w:ascii="Calibri" w:hAnsi="Calibri"/>
          <w:color w:val="1F497D"/>
        </w:rPr>
      </w:pPr>
      <w:r w:rsidRPr="00134DC6">
        <w:rPr>
          <w:rFonts w:ascii="Calibri" w:hAnsi="Calibri"/>
          <w:b/>
          <w:color w:val="1F497D"/>
        </w:rPr>
        <w:t>SLA Target:</w:t>
      </w:r>
      <w:r>
        <w:rPr>
          <w:rFonts w:ascii="Calibri" w:hAnsi="Calibri"/>
          <w:b/>
          <w:color w:val="1F497D"/>
        </w:rPr>
        <w:t xml:space="preserve"> </w:t>
      </w:r>
      <w:r w:rsidRPr="00134DC6">
        <w:rPr>
          <w:rFonts w:ascii="Calibri" w:hAnsi="Calibri"/>
          <w:color w:val="1F497D"/>
        </w:rPr>
        <w:t>&lt;=</w:t>
      </w:r>
      <w:r w:rsidR="00A45900">
        <w:rPr>
          <w:rFonts w:ascii="Calibri" w:hAnsi="Calibri"/>
          <w:color w:val="1F497D"/>
        </w:rPr>
        <w:t xml:space="preserve"> 1</w:t>
      </w:r>
      <w:r w:rsidRPr="00134DC6">
        <w:rPr>
          <w:rFonts w:ascii="Calibri" w:hAnsi="Calibri"/>
          <w:color w:val="1F497D"/>
        </w:rPr>
        <w:t>5%</w:t>
      </w:r>
    </w:p>
    <w:p w:rsidR="00E91CDB" w:rsidRDefault="00E91CDB" w:rsidP="005C7837">
      <w:pPr>
        <w:spacing w:after="0"/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>7.</w:t>
      </w:r>
      <w:r w:rsidR="00806A3B">
        <w:rPr>
          <w:rFonts w:ascii="Calibri" w:hAnsi="Calibri"/>
          <w:color w:val="1F497D"/>
        </w:rPr>
        <w:t xml:space="preserve"> </w:t>
      </w:r>
      <w:r w:rsidRPr="00324BBA">
        <w:rPr>
          <w:rFonts w:ascii="Calibri" w:hAnsi="Calibri"/>
          <w:color w:val="1F497D"/>
        </w:rPr>
        <w:t xml:space="preserve"> </w:t>
      </w:r>
      <w:r w:rsidR="00806A3B">
        <w:rPr>
          <w:rFonts w:ascii="Calibri" w:hAnsi="Calibri"/>
          <w:color w:val="1F497D"/>
        </w:rPr>
        <w:t xml:space="preserve"> </w:t>
      </w:r>
      <w:r w:rsidRPr="00324BBA">
        <w:rPr>
          <w:rFonts w:ascii="Calibri" w:hAnsi="Calibri"/>
          <w:color w:val="1F497D"/>
        </w:rPr>
        <w:t>Reusability</w:t>
      </w:r>
    </w:p>
    <w:p w:rsidR="00B5639B" w:rsidRDefault="00B5639B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lastRenderedPageBreak/>
        <w:t>Definition:</w:t>
      </w:r>
      <w:r>
        <w:rPr>
          <w:rFonts w:ascii="Calibri" w:hAnsi="Calibri"/>
          <w:color w:val="1F497D"/>
        </w:rPr>
        <w:t xml:space="preserve"> </w:t>
      </w:r>
      <w:r w:rsidR="0006448C">
        <w:rPr>
          <w:rFonts w:ascii="Calibri" w:hAnsi="Calibri"/>
          <w:color w:val="1F497D"/>
        </w:rPr>
        <w:t>% of reusable test cases = no. of reus</w:t>
      </w:r>
      <w:r w:rsidR="0006448C" w:rsidRPr="0006448C">
        <w:rPr>
          <w:rFonts w:ascii="Calibri" w:hAnsi="Calibri"/>
          <w:color w:val="1F497D"/>
        </w:rPr>
        <w:t>able test cases / total no. of test cases - trend over time with</w:t>
      </w:r>
      <w:r w:rsidR="0006448C">
        <w:rPr>
          <w:rFonts w:ascii="Calibri" w:hAnsi="Calibri"/>
          <w:color w:val="1F497D"/>
        </w:rPr>
        <w:t xml:space="preserve"> target to reduce effort</w:t>
      </w:r>
    </w:p>
    <w:p w:rsidR="00B5639B" w:rsidRPr="00806A3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Scope:</w:t>
      </w:r>
      <w:r>
        <w:rPr>
          <w:rFonts w:ascii="Calibri" w:hAnsi="Calibri"/>
          <w:color w:val="1F497D"/>
        </w:rPr>
        <w:t xml:space="preserve"> </w:t>
      </w:r>
      <w:r w:rsidRPr="00891890">
        <w:rPr>
          <w:rFonts w:ascii="Calibri" w:hAnsi="Calibri"/>
          <w:color w:val="1F497D"/>
        </w:rPr>
        <w:t>Measured when the scope of project is Development</w:t>
      </w:r>
    </w:p>
    <w:p w:rsidR="00B5639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Data Source:</w:t>
      </w:r>
      <w:r w:rsidRPr="00806A3B"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>Information is received from the Delivery Managers</w:t>
      </w:r>
    </w:p>
    <w:p w:rsidR="00692FE9" w:rsidRDefault="000850B1" w:rsidP="00692FE9">
      <w:pPr>
        <w:spacing w:after="0"/>
        <w:ind w:firstLine="720"/>
        <w:rPr>
          <w:rFonts w:ascii="Calibri" w:hAnsi="Calibri"/>
          <w:color w:val="1F497D"/>
        </w:rPr>
      </w:pPr>
      <w:r w:rsidRPr="00134DC6">
        <w:rPr>
          <w:rFonts w:ascii="Calibri" w:hAnsi="Calibri"/>
          <w:b/>
          <w:color w:val="1F497D"/>
        </w:rPr>
        <w:t>SLA Target:</w:t>
      </w:r>
      <w:r>
        <w:rPr>
          <w:rFonts w:ascii="Calibri" w:hAnsi="Calibri"/>
          <w:b/>
          <w:color w:val="1F497D"/>
        </w:rPr>
        <w:t xml:space="preserve"> </w:t>
      </w:r>
      <w:r w:rsidR="00A45900">
        <w:rPr>
          <w:rFonts w:ascii="Calibri" w:hAnsi="Calibri"/>
          <w:b/>
          <w:color w:val="1F497D"/>
        </w:rPr>
        <w:t>&gt;</w:t>
      </w:r>
      <w:r w:rsidRPr="00134DC6">
        <w:rPr>
          <w:rFonts w:ascii="Calibri" w:hAnsi="Calibri"/>
          <w:color w:val="1F497D"/>
        </w:rPr>
        <w:t>=</w:t>
      </w:r>
      <w:r w:rsidR="00A45900">
        <w:rPr>
          <w:rFonts w:ascii="Calibri" w:hAnsi="Calibri"/>
          <w:color w:val="1F497D"/>
        </w:rPr>
        <w:t>2</w:t>
      </w:r>
      <w:r w:rsidRPr="00134DC6">
        <w:rPr>
          <w:rFonts w:ascii="Calibri" w:hAnsi="Calibri"/>
          <w:color w:val="1F497D"/>
        </w:rPr>
        <w:t>5%</w:t>
      </w:r>
    </w:p>
    <w:p w:rsidR="001C728D" w:rsidRDefault="001C728D" w:rsidP="00692FE9">
      <w:pPr>
        <w:spacing w:after="0"/>
        <w:ind w:firstLine="720"/>
        <w:rPr>
          <w:rFonts w:ascii="Calibri" w:hAnsi="Calibri"/>
          <w:color w:val="1F497D"/>
        </w:rPr>
      </w:pPr>
      <w:r w:rsidRPr="001C728D">
        <w:rPr>
          <w:rFonts w:ascii="Calibri" w:hAnsi="Calibri"/>
          <w:b/>
          <w:color w:val="1F497D"/>
        </w:rPr>
        <w:t>Notes</w:t>
      </w:r>
      <w:r>
        <w:rPr>
          <w:rFonts w:ascii="Calibri" w:hAnsi="Calibri"/>
          <w:color w:val="1F497D"/>
        </w:rPr>
        <w:t xml:space="preserve">: Reusability % is decided at the time of estimation </w:t>
      </w:r>
    </w:p>
    <w:p w:rsidR="005C7837" w:rsidRDefault="005C7837" w:rsidP="005C7837">
      <w:pPr>
        <w:spacing w:after="0"/>
        <w:ind w:firstLine="720"/>
        <w:rPr>
          <w:rFonts w:ascii="Calibri" w:hAnsi="Calibri"/>
          <w:color w:val="1F497D"/>
        </w:rPr>
      </w:pPr>
    </w:p>
    <w:p w:rsidR="00E91CDB" w:rsidRDefault="00E91CDB" w:rsidP="005C7837">
      <w:pPr>
        <w:spacing w:after="0"/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>8.</w:t>
      </w:r>
      <w:r w:rsidR="00806A3B">
        <w:rPr>
          <w:rFonts w:ascii="Calibri" w:hAnsi="Calibri"/>
          <w:color w:val="1F497D"/>
        </w:rPr>
        <w:t xml:space="preserve"> </w:t>
      </w:r>
      <w:r w:rsidRPr="00324BBA">
        <w:rPr>
          <w:rFonts w:ascii="Calibri" w:hAnsi="Calibri"/>
          <w:color w:val="1F497D"/>
        </w:rPr>
        <w:t xml:space="preserve"> </w:t>
      </w:r>
      <w:r w:rsidR="00806A3B">
        <w:rPr>
          <w:rFonts w:ascii="Calibri" w:hAnsi="Calibri"/>
          <w:color w:val="1F497D"/>
        </w:rPr>
        <w:t xml:space="preserve"> </w:t>
      </w:r>
      <w:r w:rsidRPr="00324BBA">
        <w:rPr>
          <w:rFonts w:ascii="Calibri" w:hAnsi="Calibri"/>
          <w:color w:val="1F497D"/>
        </w:rPr>
        <w:t>Intake process</w:t>
      </w:r>
    </w:p>
    <w:p w:rsidR="00B5639B" w:rsidRDefault="00B5639B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Definition:</w:t>
      </w:r>
      <w:r>
        <w:rPr>
          <w:rFonts w:ascii="Calibri" w:hAnsi="Calibri"/>
          <w:color w:val="1F497D"/>
        </w:rPr>
        <w:t xml:space="preserve"> </w:t>
      </w:r>
      <w:r w:rsidR="0006448C" w:rsidRPr="0006448C">
        <w:rPr>
          <w:rFonts w:ascii="Calibri" w:hAnsi="Calibri"/>
          <w:color w:val="1F497D"/>
        </w:rPr>
        <w:t>Turn-around time from engagement to Gate 1 estimates</w:t>
      </w:r>
    </w:p>
    <w:p w:rsidR="00B5639B" w:rsidRPr="00806A3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Scope:</w:t>
      </w:r>
      <w:r>
        <w:rPr>
          <w:rFonts w:ascii="Calibri" w:hAnsi="Calibri"/>
          <w:color w:val="1F497D"/>
        </w:rPr>
        <w:t xml:space="preserve"> </w:t>
      </w:r>
      <w:r w:rsidRPr="00891890">
        <w:rPr>
          <w:rFonts w:ascii="Calibri" w:hAnsi="Calibri"/>
          <w:color w:val="1F497D"/>
        </w:rPr>
        <w:t>Measured when the scope of project is Development</w:t>
      </w:r>
    </w:p>
    <w:p w:rsidR="00B5639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Data Source:</w:t>
      </w:r>
      <w:r w:rsidRPr="00806A3B"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>Information is received from the Delivery Managers</w:t>
      </w:r>
    </w:p>
    <w:p w:rsidR="000850B1" w:rsidRDefault="000850B1" w:rsidP="005C7837">
      <w:pPr>
        <w:spacing w:after="0"/>
        <w:ind w:firstLine="720"/>
        <w:rPr>
          <w:rFonts w:ascii="Calibri" w:hAnsi="Calibri"/>
          <w:color w:val="1F497D"/>
        </w:rPr>
      </w:pPr>
      <w:r w:rsidRPr="00134DC6">
        <w:rPr>
          <w:rFonts w:ascii="Calibri" w:hAnsi="Calibri"/>
          <w:b/>
          <w:color w:val="1F497D"/>
        </w:rPr>
        <w:t>SLA Target:</w:t>
      </w:r>
      <w:r>
        <w:rPr>
          <w:rFonts w:ascii="Calibri" w:hAnsi="Calibri"/>
          <w:b/>
          <w:color w:val="1F497D"/>
        </w:rPr>
        <w:t xml:space="preserve"> </w:t>
      </w:r>
      <w:r w:rsidR="00A45900">
        <w:rPr>
          <w:rFonts w:ascii="Calibri" w:hAnsi="Calibri"/>
          <w:color w:val="1F497D"/>
        </w:rPr>
        <w:t>100</w:t>
      </w:r>
      <w:r w:rsidRPr="00134DC6">
        <w:rPr>
          <w:rFonts w:ascii="Calibri" w:hAnsi="Calibri"/>
          <w:color w:val="1F497D"/>
        </w:rPr>
        <w:t>%</w:t>
      </w:r>
    </w:p>
    <w:p w:rsidR="005C7837" w:rsidRPr="00134DC6" w:rsidRDefault="005C7837" w:rsidP="005C7837">
      <w:pPr>
        <w:spacing w:after="0"/>
        <w:ind w:firstLine="720"/>
        <w:rPr>
          <w:rFonts w:ascii="Calibri" w:hAnsi="Calibri"/>
          <w:b/>
          <w:color w:val="1F497D"/>
        </w:rPr>
      </w:pPr>
    </w:p>
    <w:p w:rsidR="00E91CDB" w:rsidRDefault="00E91CDB" w:rsidP="005C7837">
      <w:pPr>
        <w:spacing w:after="0"/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 xml:space="preserve">9. </w:t>
      </w:r>
      <w:r w:rsidR="00806A3B">
        <w:rPr>
          <w:rFonts w:ascii="Calibri" w:hAnsi="Calibri"/>
          <w:color w:val="1F497D"/>
        </w:rPr>
        <w:t xml:space="preserve">  </w:t>
      </w:r>
      <w:r w:rsidRPr="00324BBA">
        <w:rPr>
          <w:rFonts w:ascii="Calibri" w:hAnsi="Calibri"/>
          <w:color w:val="1F497D"/>
        </w:rPr>
        <w:t>Quality of Estimation</w:t>
      </w:r>
    </w:p>
    <w:p w:rsidR="0006448C" w:rsidRDefault="00B5639B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Definition:</w:t>
      </w:r>
      <w:r>
        <w:rPr>
          <w:rFonts w:ascii="Calibri" w:hAnsi="Calibri"/>
          <w:color w:val="1F497D"/>
        </w:rPr>
        <w:t xml:space="preserve"> </w:t>
      </w:r>
      <w:r w:rsidR="0006448C" w:rsidRPr="0006448C">
        <w:rPr>
          <w:rFonts w:ascii="Calibri" w:hAnsi="Calibri"/>
          <w:color w:val="1F497D"/>
        </w:rPr>
        <w:t>Variance between TCS Gate 1 and Gate 2 estimates</w:t>
      </w:r>
    </w:p>
    <w:p w:rsidR="00B5639B" w:rsidRPr="00806A3B" w:rsidRDefault="00B5639B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Scope:</w:t>
      </w:r>
      <w:r>
        <w:rPr>
          <w:rFonts w:ascii="Calibri" w:hAnsi="Calibri"/>
          <w:color w:val="1F497D"/>
        </w:rPr>
        <w:t xml:space="preserve"> </w:t>
      </w:r>
      <w:r w:rsidRPr="00891890">
        <w:rPr>
          <w:rFonts w:ascii="Calibri" w:hAnsi="Calibri"/>
          <w:color w:val="1F497D"/>
        </w:rPr>
        <w:t>Measured when the scope of project is Development</w:t>
      </w:r>
    </w:p>
    <w:p w:rsidR="00B5639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Data Source:</w:t>
      </w:r>
      <w:r w:rsidRPr="00806A3B"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>Information is received from the Delivery Managers</w:t>
      </w:r>
    </w:p>
    <w:p w:rsidR="000850B1" w:rsidRDefault="000850B1" w:rsidP="005C7837">
      <w:pPr>
        <w:spacing w:after="0"/>
        <w:ind w:firstLine="720"/>
        <w:rPr>
          <w:rFonts w:ascii="Calibri" w:hAnsi="Calibri"/>
          <w:color w:val="1F497D"/>
        </w:rPr>
      </w:pPr>
      <w:r w:rsidRPr="00134DC6">
        <w:rPr>
          <w:rFonts w:ascii="Calibri" w:hAnsi="Calibri"/>
          <w:b/>
          <w:color w:val="1F497D"/>
        </w:rPr>
        <w:t>SLA Target:</w:t>
      </w:r>
      <w:r>
        <w:rPr>
          <w:rFonts w:ascii="Calibri" w:hAnsi="Calibri"/>
          <w:b/>
          <w:color w:val="1F497D"/>
        </w:rPr>
        <w:t xml:space="preserve"> </w:t>
      </w:r>
      <w:r w:rsidR="00A45900" w:rsidRPr="00A45900">
        <w:rPr>
          <w:rFonts w:ascii="Calibri" w:hAnsi="Calibri"/>
          <w:color w:val="1F497D"/>
        </w:rPr>
        <w:t>100</w:t>
      </w:r>
      <w:r w:rsidRPr="00A45900">
        <w:rPr>
          <w:rFonts w:ascii="Calibri" w:hAnsi="Calibri"/>
          <w:color w:val="1F497D"/>
        </w:rPr>
        <w:t>%</w:t>
      </w:r>
    </w:p>
    <w:p w:rsidR="005C7837" w:rsidRPr="00134DC6" w:rsidRDefault="005C7837" w:rsidP="005C7837">
      <w:pPr>
        <w:spacing w:after="0"/>
        <w:ind w:firstLine="720"/>
        <w:rPr>
          <w:rFonts w:ascii="Calibri" w:hAnsi="Calibri"/>
          <w:b/>
          <w:color w:val="1F497D"/>
        </w:rPr>
      </w:pPr>
    </w:p>
    <w:p w:rsidR="00E91CDB" w:rsidRDefault="00E91CDB" w:rsidP="005C7837">
      <w:pPr>
        <w:spacing w:after="0"/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>10.</w:t>
      </w:r>
      <w:r w:rsidR="00806A3B">
        <w:rPr>
          <w:rFonts w:ascii="Calibri" w:hAnsi="Calibri"/>
          <w:color w:val="1F497D"/>
        </w:rPr>
        <w:t xml:space="preserve"> </w:t>
      </w:r>
      <w:r w:rsidRPr="00324BBA">
        <w:rPr>
          <w:rFonts w:ascii="Calibri" w:hAnsi="Calibri"/>
          <w:color w:val="1F497D"/>
        </w:rPr>
        <w:t>ST Automation</w:t>
      </w:r>
    </w:p>
    <w:p w:rsidR="0006448C" w:rsidRDefault="00B5639B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Definition:</w:t>
      </w:r>
      <w:r>
        <w:rPr>
          <w:rFonts w:ascii="Calibri" w:hAnsi="Calibri"/>
          <w:color w:val="1F497D"/>
        </w:rPr>
        <w:t xml:space="preserve"> </w:t>
      </w:r>
      <w:r w:rsidR="0006448C" w:rsidRPr="0006448C">
        <w:rPr>
          <w:rFonts w:ascii="Calibri" w:hAnsi="Calibri"/>
          <w:color w:val="1F497D"/>
        </w:rPr>
        <w:t>ST Effectiveness - Code coverage in ST from automation – to be a project level metric to be added in ST TSR.</w:t>
      </w:r>
    </w:p>
    <w:p w:rsidR="00B5639B" w:rsidRPr="00806A3B" w:rsidRDefault="00B5639B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Scope:</w:t>
      </w:r>
      <w:r>
        <w:rPr>
          <w:rFonts w:ascii="Calibri" w:hAnsi="Calibri"/>
          <w:color w:val="1F497D"/>
        </w:rPr>
        <w:t xml:space="preserve"> </w:t>
      </w:r>
      <w:r w:rsidRPr="00891890">
        <w:rPr>
          <w:rFonts w:ascii="Calibri" w:hAnsi="Calibri"/>
          <w:color w:val="1F497D"/>
        </w:rPr>
        <w:t>Measured when the scope of project is Development</w:t>
      </w:r>
    </w:p>
    <w:p w:rsidR="00B5639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Data Source:</w:t>
      </w:r>
      <w:r w:rsidRPr="00806A3B"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>Information is received from the Delivery Managers</w:t>
      </w:r>
    </w:p>
    <w:p w:rsidR="000850B1" w:rsidRDefault="000850B1" w:rsidP="005C7837">
      <w:pPr>
        <w:spacing w:after="0"/>
        <w:ind w:firstLine="720"/>
        <w:rPr>
          <w:rFonts w:ascii="Calibri" w:hAnsi="Calibri"/>
          <w:color w:val="1F497D"/>
        </w:rPr>
      </w:pPr>
      <w:r w:rsidRPr="00134DC6">
        <w:rPr>
          <w:rFonts w:ascii="Calibri" w:hAnsi="Calibri"/>
          <w:b/>
          <w:color w:val="1F497D"/>
        </w:rPr>
        <w:t>SLA Target:</w:t>
      </w:r>
      <w:r>
        <w:rPr>
          <w:rFonts w:ascii="Calibri" w:hAnsi="Calibri"/>
          <w:b/>
          <w:color w:val="1F497D"/>
        </w:rPr>
        <w:t xml:space="preserve"> </w:t>
      </w:r>
      <w:r w:rsidR="00A45900">
        <w:rPr>
          <w:rFonts w:ascii="Calibri" w:hAnsi="Calibri"/>
          <w:color w:val="1F497D"/>
        </w:rPr>
        <w:t>&gt;=10</w:t>
      </w:r>
      <w:r w:rsidRPr="00134DC6">
        <w:rPr>
          <w:rFonts w:ascii="Calibri" w:hAnsi="Calibri"/>
          <w:color w:val="1F497D"/>
        </w:rPr>
        <w:t>%</w:t>
      </w:r>
    </w:p>
    <w:p w:rsidR="005C7837" w:rsidRDefault="005C7837" w:rsidP="005C7837">
      <w:pPr>
        <w:spacing w:after="0"/>
        <w:ind w:firstLine="720"/>
        <w:rPr>
          <w:rFonts w:ascii="Calibri" w:hAnsi="Calibri"/>
          <w:color w:val="1F497D"/>
        </w:rPr>
      </w:pPr>
    </w:p>
    <w:p w:rsidR="00E91CDB" w:rsidRDefault="00E91CDB" w:rsidP="005C7837">
      <w:pPr>
        <w:spacing w:after="0"/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>11. Production Test Accounts</w:t>
      </w:r>
    </w:p>
    <w:p w:rsidR="00B5639B" w:rsidRDefault="00B5639B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Definition:</w:t>
      </w:r>
      <w:r>
        <w:rPr>
          <w:rFonts w:ascii="Calibri" w:hAnsi="Calibri"/>
          <w:color w:val="1F497D"/>
        </w:rPr>
        <w:t xml:space="preserve"> </w:t>
      </w:r>
      <w:r w:rsidR="0006448C" w:rsidRPr="0006448C">
        <w:rPr>
          <w:rFonts w:ascii="Calibri" w:hAnsi="Calibri"/>
          <w:color w:val="1F497D"/>
        </w:rPr>
        <w:t>% of compliant production test accounts = no. of compliant production test accounts / total no. of production test ac</w:t>
      </w:r>
      <w:r w:rsidR="000850B1">
        <w:rPr>
          <w:rFonts w:ascii="Calibri" w:hAnsi="Calibri"/>
          <w:color w:val="1F497D"/>
        </w:rPr>
        <w:t>c</w:t>
      </w:r>
      <w:r w:rsidR="0006448C" w:rsidRPr="0006448C">
        <w:rPr>
          <w:rFonts w:ascii="Calibri" w:hAnsi="Calibri"/>
          <w:color w:val="1F497D"/>
        </w:rPr>
        <w:t>ounts created</w:t>
      </w:r>
    </w:p>
    <w:p w:rsidR="00B5639B" w:rsidRPr="00806A3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Scope:</w:t>
      </w:r>
      <w:r>
        <w:rPr>
          <w:rFonts w:ascii="Calibri" w:hAnsi="Calibri"/>
          <w:color w:val="1F497D"/>
        </w:rPr>
        <w:t xml:space="preserve"> </w:t>
      </w:r>
      <w:r w:rsidRPr="00891890">
        <w:rPr>
          <w:rFonts w:ascii="Calibri" w:hAnsi="Calibri"/>
          <w:color w:val="1F497D"/>
        </w:rPr>
        <w:t>Measured when the scope of project is Development</w:t>
      </w:r>
    </w:p>
    <w:p w:rsidR="00B5639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Data Source:</w:t>
      </w:r>
      <w:r w:rsidRPr="00806A3B"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 xml:space="preserve">Information is received from the </w:t>
      </w:r>
      <w:r w:rsidR="005E62B7">
        <w:rPr>
          <w:rFonts w:ascii="Calibri" w:hAnsi="Calibri"/>
          <w:color w:val="1F497D"/>
        </w:rPr>
        <w:t>Gauri Kashyap</w:t>
      </w:r>
    </w:p>
    <w:p w:rsidR="000850B1" w:rsidRDefault="000850B1" w:rsidP="005C7837">
      <w:pPr>
        <w:spacing w:after="0"/>
        <w:ind w:firstLine="720"/>
        <w:rPr>
          <w:rFonts w:ascii="Calibri" w:hAnsi="Calibri"/>
          <w:color w:val="1F497D"/>
        </w:rPr>
      </w:pPr>
      <w:r w:rsidRPr="00134DC6">
        <w:rPr>
          <w:rFonts w:ascii="Calibri" w:hAnsi="Calibri"/>
          <w:b/>
          <w:color w:val="1F497D"/>
        </w:rPr>
        <w:t>SLA Target:</w:t>
      </w:r>
      <w:r>
        <w:rPr>
          <w:rFonts w:ascii="Calibri" w:hAnsi="Calibri"/>
          <w:b/>
          <w:color w:val="1F497D"/>
        </w:rPr>
        <w:t xml:space="preserve"> </w:t>
      </w:r>
      <w:r w:rsidRPr="000850B1">
        <w:rPr>
          <w:rFonts w:ascii="Calibri" w:hAnsi="Calibri"/>
          <w:color w:val="1F497D"/>
        </w:rPr>
        <w:t>100%</w:t>
      </w:r>
    </w:p>
    <w:p w:rsidR="005C7837" w:rsidRPr="00134DC6" w:rsidRDefault="005C7837" w:rsidP="005C7837">
      <w:pPr>
        <w:spacing w:after="0"/>
        <w:ind w:firstLine="720"/>
        <w:rPr>
          <w:rFonts w:ascii="Calibri" w:hAnsi="Calibri"/>
          <w:b/>
          <w:color w:val="1F497D"/>
        </w:rPr>
      </w:pPr>
    </w:p>
    <w:p w:rsidR="00E91CDB" w:rsidRDefault="00E91CDB" w:rsidP="005C7837">
      <w:pPr>
        <w:spacing w:after="0"/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>12. Documentation</w:t>
      </w:r>
      <w:r w:rsidR="008245B6" w:rsidRPr="00324BBA">
        <w:rPr>
          <w:rFonts w:ascii="Calibri" w:hAnsi="Calibri"/>
          <w:color w:val="1F497D"/>
        </w:rPr>
        <w:t>:</w:t>
      </w:r>
    </w:p>
    <w:p w:rsidR="0006448C" w:rsidRDefault="00B5639B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Definition:</w:t>
      </w:r>
      <w:r>
        <w:rPr>
          <w:rFonts w:ascii="Calibri" w:hAnsi="Calibri"/>
          <w:color w:val="1F497D"/>
        </w:rPr>
        <w:t xml:space="preserve"> </w:t>
      </w:r>
      <w:r w:rsidR="0006448C" w:rsidRPr="0006448C">
        <w:rPr>
          <w:rFonts w:ascii="Calibri" w:hAnsi="Calibri"/>
          <w:color w:val="1F497D"/>
        </w:rPr>
        <w:t>% of approved test documents = no. of approved test documents / total no. of test documents delivered</w:t>
      </w:r>
    </w:p>
    <w:p w:rsidR="00B5639B" w:rsidRPr="00806A3B" w:rsidRDefault="00B5639B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Scope:</w:t>
      </w:r>
      <w:r>
        <w:rPr>
          <w:rFonts w:ascii="Calibri" w:hAnsi="Calibri"/>
          <w:color w:val="1F497D"/>
        </w:rPr>
        <w:t xml:space="preserve"> </w:t>
      </w:r>
      <w:r w:rsidRPr="00891890">
        <w:rPr>
          <w:rFonts w:ascii="Calibri" w:hAnsi="Calibri"/>
          <w:color w:val="1F497D"/>
        </w:rPr>
        <w:t>Measured when the scope of project is Development</w:t>
      </w:r>
    </w:p>
    <w:p w:rsidR="00B5639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Data Source:</w:t>
      </w:r>
      <w:r w:rsidRPr="00806A3B"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>Information is received from the Delivery Managers</w:t>
      </w:r>
    </w:p>
    <w:p w:rsidR="000850B1" w:rsidRDefault="000850B1" w:rsidP="005C7837">
      <w:pPr>
        <w:spacing w:after="0"/>
        <w:ind w:firstLine="720"/>
        <w:rPr>
          <w:rFonts w:ascii="Calibri" w:hAnsi="Calibri"/>
          <w:color w:val="1F497D"/>
        </w:rPr>
      </w:pPr>
      <w:r w:rsidRPr="00134DC6">
        <w:rPr>
          <w:rFonts w:ascii="Calibri" w:hAnsi="Calibri"/>
          <w:b/>
          <w:color w:val="1F497D"/>
        </w:rPr>
        <w:t>SLA Target:</w:t>
      </w:r>
      <w:r>
        <w:rPr>
          <w:rFonts w:ascii="Calibri" w:hAnsi="Calibri"/>
          <w:b/>
          <w:color w:val="1F497D"/>
        </w:rPr>
        <w:t xml:space="preserve"> </w:t>
      </w:r>
      <w:r w:rsidRPr="000850B1">
        <w:rPr>
          <w:rFonts w:ascii="Calibri" w:hAnsi="Calibri"/>
          <w:color w:val="1F497D"/>
        </w:rPr>
        <w:t>100%</w:t>
      </w:r>
    </w:p>
    <w:p w:rsidR="008245B6" w:rsidRDefault="009D6752" w:rsidP="00692FE9">
      <w:pPr>
        <w:spacing w:after="0"/>
        <w:ind w:firstLine="720"/>
        <w:rPr>
          <w:rFonts w:ascii="Calibri" w:hAnsi="Calibri"/>
          <w:color w:val="1F497D"/>
        </w:rPr>
      </w:pPr>
      <w:r w:rsidRPr="009D6752">
        <w:rPr>
          <w:rFonts w:ascii="Calibri" w:hAnsi="Calibri"/>
          <w:b/>
          <w:color w:val="1F497D"/>
        </w:rPr>
        <w:t xml:space="preserve">Notes: </w:t>
      </w:r>
      <w:r w:rsidR="00692FE9">
        <w:rPr>
          <w:rFonts w:ascii="Calibri" w:hAnsi="Calibri"/>
          <w:b/>
          <w:color w:val="1F497D"/>
        </w:rPr>
        <w:t>-</w:t>
      </w:r>
      <w:r w:rsidR="008245B6" w:rsidRPr="00324BBA">
        <w:rPr>
          <w:rFonts w:ascii="Calibri" w:hAnsi="Calibri"/>
          <w:color w:val="1F497D"/>
        </w:rPr>
        <w:t>O</w:t>
      </w:r>
      <w:r w:rsidR="00806A3B">
        <w:rPr>
          <w:rFonts w:ascii="Calibri" w:hAnsi="Calibri"/>
          <w:color w:val="1F497D"/>
        </w:rPr>
        <w:t>nly testing documents are considered for Documentation KPI</w:t>
      </w:r>
    </w:p>
    <w:p w:rsidR="00692FE9" w:rsidRDefault="00692FE9" w:rsidP="00692FE9">
      <w:pPr>
        <w:spacing w:after="0"/>
        <w:ind w:firstLine="720"/>
        <w:rPr>
          <w:rFonts w:ascii="Calibri" w:hAnsi="Calibri"/>
          <w:color w:val="1F497D"/>
        </w:rPr>
      </w:pPr>
    </w:p>
    <w:p w:rsidR="00E91CDB" w:rsidRDefault="00E91CDB" w:rsidP="005C7837">
      <w:pPr>
        <w:spacing w:after="0"/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>13. Knowledge Management</w:t>
      </w:r>
    </w:p>
    <w:p w:rsidR="00B5639B" w:rsidRDefault="00B5639B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Definition:</w:t>
      </w:r>
      <w:r>
        <w:rPr>
          <w:rFonts w:ascii="Calibri" w:hAnsi="Calibri"/>
          <w:color w:val="1F497D"/>
        </w:rPr>
        <w:t xml:space="preserve"> </w:t>
      </w:r>
      <w:r w:rsidR="00134DC6" w:rsidRPr="00134DC6">
        <w:rPr>
          <w:rFonts w:ascii="Calibri" w:hAnsi="Calibri"/>
          <w:color w:val="1F497D"/>
        </w:rPr>
        <w:t>% of documents stored in centralised repository = no. of documents stored in centralised repository / total no. of documents delivered</w:t>
      </w:r>
    </w:p>
    <w:p w:rsidR="00B5639B" w:rsidRPr="00806A3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Scope:</w:t>
      </w:r>
      <w:r>
        <w:rPr>
          <w:rFonts w:ascii="Calibri" w:hAnsi="Calibri"/>
          <w:color w:val="1F497D"/>
        </w:rPr>
        <w:t xml:space="preserve"> </w:t>
      </w:r>
      <w:r w:rsidRPr="00891890">
        <w:rPr>
          <w:rFonts w:ascii="Calibri" w:hAnsi="Calibri"/>
          <w:color w:val="1F497D"/>
        </w:rPr>
        <w:t>Measured when the scope of project is Development</w:t>
      </w:r>
    </w:p>
    <w:p w:rsidR="00BF1CC8" w:rsidRDefault="00B5639B" w:rsidP="00692FE9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Data Source:</w:t>
      </w:r>
      <w:r w:rsidRPr="00806A3B"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>Information is received from the Delivery Managers</w:t>
      </w:r>
    </w:p>
    <w:p w:rsidR="00692FE9" w:rsidRDefault="000850B1" w:rsidP="00692FE9">
      <w:pPr>
        <w:spacing w:after="0"/>
        <w:ind w:firstLine="720"/>
        <w:rPr>
          <w:rFonts w:ascii="Calibri" w:hAnsi="Calibri"/>
          <w:b/>
          <w:color w:val="1F497D"/>
        </w:rPr>
      </w:pPr>
      <w:r w:rsidRPr="00134DC6">
        <w:rPr>
          <w:rFonts w:ascii="Calibri" w:hAnsi="Calibri"/>
          <w:b/>
          <w:color w:val="1F497D"/>
        </w:rPr>
        <w:t>SLA Target:</w:t>
      </w:r>
      <w:r>
        <w:rPr>
          <w:rFonts w:ascii="Calibri" w:hAnsi="Calibri"/>
          <w:b/>
          <w:color w:val="1F497D"/>
        </w:rPr>
        <w:t xml:space="preserve"> </w:t>
      </w:r>
      <w:r w:rsidRPr="000850B1">
        <w:rPr>
          <w:rFonts w:ascii="Calibri" w:hAnsi="Calibri"/>
          <w:color w:val="1F497D"/>
        </w:rPr>
        <w:t>100%</w:t>
      </w:r>
      <w:r w:rsidR="00692FE9">
        <w:rPr>
          <w:rFonts w:ascii="Calibri" w:hAnsi="Calibri"/>
          <w:b/>
          <w:color w:val="1F497D"/>
        </w:rPr>
        <w:br w:type="page"/>
      </w:r>
    </w:p>
    <w:p w:rsidR="00E91CDB" w:rsidRDefault="00E91CDB" w:rsidP="005C7837">
      <w:pPr>
        <w:spacing w:after="0"/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lastRenderedPageBreak/>
        <w:t>14. ST Defect Density</w:t>
      </w:r>
    </w:p>
    <w:p w:rsidR="00B5639B" w:rsidRDefault="00B5639B" w:rsidP="001C728D">
      <w:pPr>
        <w:spacing w:after="0"/>
        <w:ind w:left="720" w:right="-188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Definition:</w:t>
      </w:r>
      <w:r>
        <w:rPr>
          <w:rFonts w:ascii="Calibri" w:hAnsi="Calibri"/>
          <w:color w:val="1F497D"/>
        </w:rPr>
        <w:t xml:space="preserve"> </w:t>
      </w:r>
      <w:r w:rsidR="00134DC6">
        <w:rPr>
          <w:rFonts w:ascii="Calibri" w:hAnsi="Calibri"/>
          <w:color w:val="1F497D"/>
        </w:rPr>
        <w:t>Number of</w:t>
      </w:r>
      <w:r w:rsidR="00134DC6" w:rsidRPr="00134DC6">
        <w:rPr>
          <w:rFonts w:ascii="Calibri" w:hAnsi="Calibri"/>
          <w:color w:val="1F497D"/>
        </w:rPr>
        <w:t xml:space="preserve"> Functional defects found in SIT/UAT that should have been found in ST</w:t>
      </w:r>
    </w:p>
    <w:p w:rsidR="00B5639B" w:rsidRPr="00806A3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Scope:</w:t>
      </w:r>
      <w:r>
        <w:rPr>
          <w:rFonts w:ascii="Calibri" w:hAnsi="Calibri"/>
          <w:color w:val="1F497D"/>
        </w:rPr>
        <w:t xml:space="preserve"> </w:t>
      </w:r>
      <w:r w:rsidRPr="00891890">
        <w:rPr>
          <w:rFonts w:ascii="Calibri" w:hAnsi="Calibri"/>
          <w:color w:val="1F497D"/>
        </w:rPr>
        <w:t>Measured when the scope of project is Development</w:t>
      </w:r>
    </w:p>
    <w:p w:rsidR="00B5639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Data Source:</w:t>
      </w:r>
      <w:r w:rsidRPr="00806A3B"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>Information is received from the Delivery Managers</w:t>
      </w:r>
    </w:p>
    <w:p w:rsidR="005C7837" w:rsidRDefault="000850B1" w:rsidP="005C7837">
      <w:pPr>
        <w:spacing w:after="0"/>
        <w:ind w:firstLine="720"/>
        <w:rPr>
          <w:rFonts w:ascii="Calibri" w:hAnsi="Calibri"/>
          <w:color w:val="1F497D"/>
        </w:rPr>
      </w:pPr>
      <w:r w:rsidRPr="00134DC6">
        <w:rPr>
          <w:rFonts w:ascii="Calibri" w:hAnsi="Calibri"/>
          <w:b/>
          <w:color w:val="1F497D"/>
        </w:rPr>
        <w:t>SLA Target:</w:t>
      </w:r>
      <w:r>
        <w:rPr>
          <w:rFonts w:ascii="Calibri" w:hAnsi="Calibri"/>
          <w:b/>
          <w:color w:val="1F497D"/>
        </w:rPr>
        <w:t xml:space="preserve"> </w:t>
      </w:r>
      <w:r w:rsidR="00A45900">
        <w:rPr>
          <w:rFonts w:ascii="Calibri" w:hAnsi="Calibri"/>
          <w:color w:val="1F497D"/>
        </w:rPr>
        <w:t>&lt;=10</w:t>
      </w:r>
      <w:r w:rsidRPr="00134DC6">
        <w:rPr>
          <w:rFonts w:ascii="Calibri" w:hAnsi="Calibri"/>
          <w:color w:val="1F497D"/>
        </w:rPr>
        <w:t>%</w:t>
      </w:r>
    </w:p>
    <w:p w:rsidR="001C728D" w:rsidRDefault="001C728D" w:rsidP="005C7837">
      <w:pPr>
        <w:spacing w:after="0"/>
        <w:ind w:firstLine="72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Notes: This is measured for completed projects only</w:t>
      </w:r>
    </w:p>
    <w:p w:rsidR="001C728D" w:rsidRPr="00134DC6" w:rsidRDefault="001C728D" w:rsidP="005C7837">
      <w:pPr>
        <w:spacing w:after="0"/>
        <w:ind w:firstLine="720"/>
        <w:rPr>
          <w:rFonts w:ascii="Calibri" w:hAnsi="Calibri"/>
          <w:b/>
          <w:color w:val="1F497D"/>
        </w:rPr>
      </w:pPr>
    </w:p>
    <w:p w:rsidR="00E91CDB" w:rsidRDefault="00E91CDB" w:rsidP="005C7837">
      <w:pPr>
        <w:spacing w:after="0"/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>15. SIT Defect Density</w:t>
      </w:r>
    </w:p>
    <w:p w:rsidR="00B5639B" w:rsidRDefault="00B5639B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Definition:</w:t>
      </w:r>
      <w:r>
        <w:rPr>
          <w:rFonts w:ascii="Calibri" w:hAnsi="Calibri"/>
          <w:color w:val="1F497D"/>
        </w:rPr>
        <w:t xml:space="preserve"> </w:t>
      </w:r>
      <w:r w:rsidR="00134DC6" w:rsidRPr="00134DC6">
        <w:rPr>
          <w:rFonts w:ascii="Calibri" w:hAnsi="Calibri"/>
          <w:color w:val="1F497D"/>
        </w:rPr>
        <w:t>SIT Defects Density = Functional Defects found in SIT / Size of reviewed work item</w:t>
      </w:r>
      <w:r w:rsidR="00134DC6">
        <w:rPr>
          <w:rFonts w:ascii="Calibri" w:hAnsi="Calibri"/>
          <w:color w:val="1F497D"/>
        </w:rPr>
        <w:t xml:space="preserve"> </w:t>
      </w:r>
      <w:r w:rsidR="00134DC6" w:rsidRPr="00134DC6">
        <w:rPr>
          <w:rFonts w:ascii="Calibri" w:hAnsi="Calibri"/>
          <w:color w:val="1F497D"/>
        </w:rPr>
        <w:t>(For completed projects only)</w:t>
      </w:r>
    </w:p>
    <w:p w:rsidR="00B5639B" w:rsidRPr="00806A3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Scope:</w:t>
      </w:r>
      <w:r>
        <w:rPr>
          <w:rFonts w:ascii="Calibri" w:hAnsi="Calibri"/>
          <w:color w:val="1F497D"/>
        </w:rPr>
        <w:t xml:space="preserve"> </w:t>
      </w:r>
      <w:r w:rsidRPr="00891890">
        <w:rPr>
          <w:rFonts w:ascii="Calibri" w:hAnsi="Calibri"/>
          <w:color w:val="1F497D"/>
        </w:rPr>
        <w:t>Measured when the scope of project is Development</w:t>
      </w:r>
    </w:p>
    <w:p w:rsidR="00B5639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Data Source:</w:t>
      </w:r>
      <w:r w:rsidRPr="00806A3B"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>Information is received from the Delivery Managers</w:t>
      </w:r>
    </w:p>
    <w:p w:rsidR="000850B1" w:rsidRPr="00134DC6" w:rsidRDefault="000850B1" w:rsidP="005C7837">
      <w:pPr>
        <w:spacing w:after="0"/>
        <w:ind w:firstLine="720"/>
        <w:rPr>
          <w:rFonts w:ascii="Calibri" w:hAnsi="Calibri"/>
          <w:b/>
          <w:color w:val="1F497D"/>
        </w:rPr>
      </w:pPr>
      <w:r w:rsidRPr="00134DC6">
        <w:rPr>
          <w:rFonts w:ascii="Calibri" w:hAnsi="Calibri"/>
          <w:b/>
          <w:color w:val="1F497D"/>
        </w:rPr>
        <w:t>SLA Target:</w:t>
      </w:r>
      <w:r>
        <w:rPr>
          <w:rFonts w:ascii="Calibri" w:hAnsi="Calibri"/>
          <w:b/>
          <w:color w:val="1F497D"/>
        </w:rPr>
        <w:t xml:space="preserve"> </w:t>
      </w:r>
      <w:r w:rsidR="00A45900">
        <w:rPr>
          <w:rFonts w:ascii="Calibri" w:hAnsi="Calibri"/>
          <w:color w:val="1F497D"/>
        </w:rPr>
        <w:t>&lt;=10</w:t>
      </w:r>
      <w:r w:rsidRPr="00134DC6">
        <w:rPr>
          <w:rFonts w:ascii="Calibri" w:hAnsi="Calibri"/>
          <w:color w:val="1F497D"/>
        </w:rPr>
        <w:t>%</w:t>
      </w:r>
    </w:p>
    <w:p w:rsidR="001C728D" w:rsidRDefault="009D6752" w:rsidP="001C728D">
      <w:pPr>
        <w:spacing w:after="0"/>
        <w:ind w:firstLine="720"/>
        <w:rPr>
          <w:rFonts w:ascii="Calibri" w:hAnsi="Calibri"/>
          <w:color w:val="1F497D"/>
        </w:rPr>
      </w:pPr>
      <w:r w:rsidRPr="001C728D">
        <w:rPr>
          <w:rFonts w:ascii="Calibri" w:hAnsi="Calibri"/>
          <w:b/>
          <w:color w:val="1F497D"/>
        </w:rPr>
        <w:t>Notes</w:t>
      </w:r>
      <w:r>
        <w:rPr>
          <w:rFonts w:ascii="Calibri" w:hAnsi="Calibri"/>
          <w:color w:val="1F497D"/>
        </w:rPr>
        <w:t>:</w:t>
      </w:r>
      <w:r w:rsidR="001C728D">
        <w:rPr>
          <w:rFonts w:ascii="Calibri" w:hAnsi="Calibri"/>
          <w:color w:val="1F497D"/>
        </w:rPr>
        <w:t xml:space="preserve"> -</w:t>
      </w:r>
      <w:r w:rsidR="00E93DA9" w:rsidRPr="00324BBA">
        <w:rPr>
          <w:rFonts w:ascii="Calibri" w:hAnsi="Calibri"/>
          <w:color w:val="1F497D"/>
        </w:rPr>
        <w:t xml:space="preserve">For monthly report SIT density will consider total no. of </w:t>
      </w:r>
      <w:proofErr w:type="spellStart"/>
      <w:r w:rsidR="00E93DA9" w:rsidRPr="00324BBA">
        <w:rPr>
          <w:rFonts w:ascii="Calibri" w:hAnsi="Calibri"/>
          <w:color w:val="1F497D"/>
        </w:rPr>
        <w:t>testcases</w:t>
      </w:r>
      <w:proofErr w:type="spellEnd"/>
      <w:r w:rsidR="00E93DA9" w:rsidRPr="00324BBA">
        <w:rPr>
          <w:rFonts w:ascii="Calibri" w:hAnsi="Calibri"/>
          <w:color w:val="1F497D"/>
        </w:rPr>
        <w:t xml:space="preserve"> as denominator </w:t>
      </w:r>
    </w:p>
    <w:p w:rsidR="00E93DA9" w:rsidRDefault="001C728D" w:rsidP="001C728D">
      <w:pPr>
        <w:spacing w:after="0"/>
        <w:ind w:firstLine="72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ab/>
      </w:r>
      <w:proofErr w:type="gramStart"/>
      <w:r w:rsidR="00E93DA9" w:rsidRPr="00324BBA">
        <w:rPr>
          <w:rFonts w:ascii="Calibri" w:hAnsi="Calibri"/>
          <w:color w:val="1F497D"/>
        </w:rPr>
        <w:t>and</w:t>
      </w:r>
      <w:proofErr w:type="gramEnd"/>
      <w:r w:rsidR="00E93DA9" w:rsidRPr="00324BBA">
        <w:rPr>
          <w:rFonts w:ascii="Calibri" w:hAnsi="Calibri"/>
          <w:color w:val="1F497D"/>
        </w:rPr>
        <w:t xml:space="preserve"> not passed </w:t>
      </w:r>
      <w:proofErr w:type="spellStart"/>
      <w:r w:rsidR="00E93DA9" w:rsidRPr="00324BBA">
        <w:rPr>
          <w:rFonts w:ascii="Calibri" w:hAnsi="Calibri"/>
          <w:color w:val="1F497D"/>
        </w:rPr>
        <w:t>testcases</w:t>
      </w:r>
      <w:proofErr w:type="spellEnd"/>
      <w:r w:rsidR="00E93DA9" w:rsidRPr="00324BBA">
        <w:rPr>
          <w:rFonts w:ascii="Calibri" w:hAnsi="Calibri"/>
          <w:color w:val="1F497D"/>
        </w:rPr>
        <w:t xml:space="preserve"> </w:t>
      </w:r>
    </w:p>
    <w:p w:rsidR="00E93DA9" w:rsidRPr="00324BBA" w:rsidRDefault="001C728D" w:rsidP="001C728D">
      <w:pPr>
        <w:pStyle w:val="ListParagraph"/>
        <w:ind w:left="108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   -</w:t>
      </w:r>
      <w:r w:rsidR="00FD3C44" w:rsidRPr="00324BBA">
        <w:rPr>
          <w:rFonts w:ascii="Calibri" w:hAnsi="Calibri"/>
          <w:color w:val="1F497D"/>
        </w:rPr>
        <w:t xml:space="preserve">Often, SIT </w:t>
      </w:r>
      <w:proofErr w:type="spellStart"/>
      <w:r w:rsidR="00FD3C44" w:rsidRPr="00324BBA">
        <w:rPr>
          <w:rFonts w:ascii="Calibri" w:hAnsi="Calibri"/>
          <w:color w:val="1F497D"/>
        </w:rPr>
        <w:t>testcases</w:t>
      </w:r>
      <w:proofErr w:type="spellEnd"/>
      <w:r w:rsidR="00FD3C44" w:rsidRPr="00324BBA">
        <w:rPr>
          <w:rFonts w:ascii="Calibri" w:hAnsi="Calibri"/>
          <w:color w:val="1F497D"/>
        </w:rPr>
        <w:t xml:space="preserve"> are used to perform UAT. </w:t>
      </w:r>
      <w:r w:rsidR="00CE6EEF">
        <w:rPr>
          <w:rFonts w:ascii="Calibri" w:hAnsi="Calibri"/>
          <w:color w:val="1F497D"/>
        </w:rPr>
        <w:t>This results in number mismatch</w:t>
      </w:r>
    </w:p>
    <w:p w:rsidR="00E91CDB" w:rsidRDefault="00E91CDB" w:rsidP="005C7837">
      <w:pPr>
        <w:spacing w:after="0"/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>16. UAT Defect Density</w:t>
      </w:r>
    </w:p>
    <w:p w:rsidR="00134DC6" w:rsidRDefault="00134DC6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Definition:</w:t>
      </w:r>
      <w:r>
        <w:rPr>
          <w:rFonts w:ascii="Calibri" w:hAnsi="Calibri"/>
          <w:color w:val="1F497D"/>
        </w:rPr>
        <w:t xml:space="preserve"> </w:t>
      </w:r>
      <w:r w:rsidRPr="00134DC6">
        <w:rPr>
          <w:rFonts w:ascii="Calibri" w:hAnsi="Calibri"/>
          <w:color w:val="1F497D"/>
        </w:rPr>
        <w:t>UAT Defects Density = Functional Defects found in UAT / Size of work item</w:t>
      </w:r>
      <w:r w:rsidR="001D05F6">
        <w:rPr>
          <w:rFonts w:ascii="Calibri" w:hAnsi="Calibri"/>
          <w:color w:val="1F497D"/>
        </w:rPr>
        <w:t xml:space="preserve"> </w:t>
      </w:r>
      <w:r w:rsidRPr="00134DC6">
        <w:rPr>
          <w:rFonts w:ascii="Calibri" w:hAnsi="Calibri"/>
          <w:color w:val="1F497D"/>
        </w:rPr>
        <w:t>(For completed projects only)</w:t>
      </w:r>
    </w:p>
    <w:p w:rsidR="00134DC6" w:rsidRPr="00806A3B" w:rsidRDefault="00134DC6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Scope:</w:t>
      </w:r>
      <w:r>
        <w:rPr>
          <w:rFonts w:ascii="Calibri" w:hAnsi="Calibri"/>
          <w:color w:val="1F497D"/>
        </w:rPr>
        <w:t xml:space="preserve"> </w:t>
      </w:r>
      <w:r w:rsidRPr="00891890">
        <w:rPr>
          <w:rFonts w:ascii="Calibri" w:hAnsi="Calibri"/>
          <w:color w:val="1F497D"/>
        </w:rPr>
        <w:t>Measured when the scope of project is Development</w:t>
      </w:r>
    </w:p>
    <w:p w:rsidR="00134DC6" w:rsidRDefault="00134DC6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Data Source:</w:t>
      </w:r>
      <w:r w:rsidRPr="00806A3B"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>Information is received from the Delivery Managers</w:t>
      </w:r>
    </w:p>
    <w:p w:rsidR="000850B1" w:rsidRPr="00134DC6" w:rsidRDefault="000850B1" w:rsidP="005C7837">
      <w:pPr>
        <w:spacing w:after="0"/>
        <w:ind w:firstLine="720"/>
        <w:rPr>
          <w:rFonts w:ascii="Calibri" w:hAnsi="Calibri"/>
          <w:b/>
          <w:color w:val="1F497D"/>
        </w:rPr>
      </w:pPr>
      <w:r w:rsidRPr="00134DC6">
        <w:rPr>
          <w:rFonts w:ascii="Calibri" w:hAnsi="Calibri"/>
          <w:b/>
          <w:color w:val="1F497D"/>
        </w:rPr>
        <w:t>SLA Target:</w:t>
      </w:r>
      <w:r>
        <w:rPr>
          <w:rFonts w:ascii="Calibri" w:hAnsi="Calibri"/>
          <w:b/>
          <w:color w:val="1F497D"/>
        </w:rPr>
        <w:t xml:space="preserve"> </w:t>
      </w:r>
      <w:r w:rsidR="00A45900">
        <w:rPr>
          <w:rFonts w:ascii="Calibri" w:hAnsi="Calibri"/>
          <w:color w:val="1F497D"/>
        </w:rPr>
        <w:t>&lt;=3</w:t>
      </w:r>
      <w:r w:rsidRPr="00134DC6">
        <w:rPr>
          <w:rFonts w:ascii="Calibri" w:hAnsi="Calibri"/>
          <w:color w:val="1F497D"/>
        </w:rPr>
        <w:t>%</w:t>
      </w:r>
    </w:p>
    <w:p w:rsidR="00E93DA9" w:rsidRDefault="009D6752" w:rsidP="001C728D">
      <w:pPr>
        <w:spacing w:after="0"/>
        <w:ind w:left="720"/>
        <w:rPr>
          <w:rFonts w:ascii="Calibri" w:hAnsi="Calibri"/>
          <w:color w:val="1F497D"/>
        </w:rPr>
      </w:pPr>
      <w:r w:rsidRPr="001C728D">
        <w:rPr>
          <w:rFonts w:ascii="Calibri" w:hAnsi="Calibri"/>
          <w:b/>
          <w:color w:val="1F497D"/>
        </w:rPr>
        <w:t>Notes</w:t>
      </w:r>
      <w:r>
        <w:rPr>
          <w:rFonts w:ascii="Calibri" w:hAnsi="Calibri"/>
          <w:color w:val="1F497D"/>
        </w:rPr>
        <w:t>:</w:t>
      </w:r>
      <w:r w:rsidR="001C728D">
        <w:rPr>
          <w:rFonts w:ascii="Calibri" w:hAnsi="Calibri"/>
          <w:color w:val="1F497D"/>
        </w:rPr>
        <w:t xml:space="preserve"> -</w:t>
      </w:r>
      <w:r w:rsidR="00E93DA9" w:rsidRPr="009D6752">
        <w:rPr>
          <w:rFonts w:ascii="Calibri" w:hAnsi="Calibri"/>
          <w:color w:val="1F497D"/>
        </w:rPr>
        <w:t xml:space="preserve">For monthly report UAT density will consider total no. of </w:t>
      </w:r>
      <w:r w:rsidR="001C728D">
        <w:rPr>
          <w:rFonts w:ascii="Calibri" w:hAnsi="Calibri"/>
          <w:color w:val="1F497D"/>
        </w:rPr>
        <w:t xml:space="preserve">passed </w:t>
      </w:r>
      <w:proofErr w:type="spellStart"/>
      <w:r w:rsidR="00E93DA9" w:rsidRPr="009D6752">
        <w:rPr>
          <w:rFonts w:ascii="Calibri" w:hAnsi="Calibri"/>
          <w:color w:val="1F497D"/>
        </w:rPr>
        <w:t>testcases</w:t>
      </w:r>
      <w:proofErr w:type="spellEnd"/>
      <w:r w:rsidR="00E93DA9" w:rsidRPr="009D6752">
        <w:rPr>
          <w:rFonts w:ascii="Calibri" w:hAnsi="Calibri"/>
          <w:color w:val="1F497D"/>
        </w:rPr>
        <w:t xml:space="preserve"> as denominator </w:t>
      </w:r>
    </w:p>
    <w:p w:rsidR="009D6752" w:rsidRPr="009D6752" w:rsidRDefault="009D6752" w:rsidP="009D6752">
      <w:pPr>
        <w:pStyle w:val="ListParagraph"/>
        <w:spacing w:after="0"/>
        <w:ind w:left="1080"/>
        <w:rPr>
          <w:rFonts w:ascii="Calibri" w:hAnsi="Calibri"/>
          <w:color w:val="1F497D"/>
        </w:rPr>
      </w:pPr>
    </w:p>
    <w:p w:rsidR="00E91CDB" w:rsidRDefault="00E91CDB" w:rsidP="005C7837">
      <w:pPr>
        <w:spacing w:after="0"/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>17. Defect Density (P1 and P2) - Production + 60 days</w:t>
      </w:r>
    </w:p>
    <w:p w:rsidR="00134DC6" w:rsidRDefault="00B5639B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Definition:</w:t>
      </w:r>
      <w:r>
        <w:rPr>
          <w:rFonts w:ascii="Calibri" w:hAnsi="Calibri"/>
          <w:color w:val="1F497D"/>
        </w:rPr>
        <w:t xml:space="preserve"> </w:t>
      </w:r>
      <w:r w:rsidR="00134DC6" w:rsidRPr="00134DC6">
        <w:rPr>
          <w:rFonts w:ascii="Calibri" w:hAnsi="Calibri"/>
          <w:color w:val="1F497D"/>
        </w:rPr>
        <w:t>P1 and P2 Defects Detected in Production + 60 days</w:t>
      </w:r>
    </w:p>
    <w:p w:rsidR="00B5639B" w:rsidRPr="00806A3B" w:rsidRDefault="00B5639B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Scope:</w:t>
      </w:r>
      <w:r>
        <w:rPr>
          <w:rFonts w:ascii="Calibri" w:hAnsi="Calibri"/>
          <w:color w:val="1F497D"/>
        </w:rPr>
        <w:t xml:space="preserve"> </w:t>
      </w:r>
      <w:r w:rsidRPr="00891890">
        <w:rPr>
          <w:rFonts w:ascii="Calibri" w:hAnsi="Calibri"/>
          <w:color w:val="1F497D"/>
        </w:rPr>
        <w:t>Measured when the scope of project is Development</w:t>
      </w:r>
    </w:p>
    <w:p w:rsidR="00B5639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Data Source:</w:t>
      </w:r>
      <w:r w:rsidRPr="00806A3B"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>Information is received from the Delivery Managers</w:t>
      </w:r>
    </w:p>
    <w:p w:rsidR="000850B1" w:rsidRDefault="000850B1" w:rsidP="009D6752">
      <w:pPr>
        <w:spacing w:after="0"/>
        <w:ind w:firstLine="720"/>
        <w:rPr>
          <w:rFonts w:ascii="Calibri" w:hAnsi="Calibri"/>
          <w:color w:val="1F497D"/>
        </w:rPr>
      </w:pPr>
      <w:r w:rsidRPr="00134DC6">
        <w:rPr>
          <w:rFonts w:ascii="Calibri" w:hAnsi="Calibri"/>
          <w:b/>
          <w:color w:val="1F497D"/>
        </w:rPr>
        <w:t>SLA Target:</w:t>
      </w:r>
      <w:r>
        <w:rPr>
          <w:rFonts w:ascii="Calibri" w:hAnsi="Calibri"/>
          <w:b/>
          <w:color w:val="1F497D"/>
        </w:rPr>
        <w:t xml:space="preserve"> </w:t>
      </w:r>
      <w:r w:rsidR="00A45900">
        <w:rPr>
          <w:rFonts w:ascii="Calibri" w:hAnsi="Calibri"/>
          <w:color w:val="1F497D"/>
        </w:rPr>
        <w:t>0</w:t>
      </w:r>
      <w:r w:rsidRPr="00134DC6">
        <w:rPr>
          <w:rFonts w:ascii="Calibri" w:hAnsi="Calibri"/>
          <w:color w:val="1F497D"/>
        </w:rPr>
        <w:t>%</w:t>
      </w:r>
    </w:p>
    <w:p w:rsidR="009D6752" w:rsidRDefault="009D6752" w:rsidP="009D6752">
      <w:pPr>
        <w:spacing w:after="0"/>
        <w:ind w:firstLine="720"/>
        <w:rPr>
          <w:rFonts w:ascii="Calibri" w:hAnsi="Calibri"/>
          <w:color w:val="1F497D"/>
        </w:rPr>
      </w:pPr>
    </w:p>
    <w:p w:rsidR="00E91CDB" w:rsidRDefault="00E91CDB" w:rsidP="005C7837">
      <w:pPr>
        <w:spacing w:after="0"/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>18. Defect Density (P3 and P4) - Production + 60 days</w:t>
      </w:r>
    </w:p>
    <w:p w:rsidR="00134DC6" w:rsidRDefault="00B5639B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Definition:</w:t>
      </w:r>
      <w:r>
        <w:rPr>
          <w:rFonts w:ascii="Calibri" w:hAnsi="Calibri"/>
          <w:color w:val="1F497D"/>
        </w:rPr>
        <w:t xml:space="preserve"> </w:t>
      </w:r>
      <w:r w:rsidR="00134DC6" w:rsidRPr="00134DC6">
        <w:rPr>
          <w:rFonts w:ascii="Calibri" w:hAnsi="Calibri"/>
          <w:color w:val="1F497D"/>
        </w:rPr>
        <w:t>P3 and P4 Defects Detected in Production + 60 days</w:t>
      </w:r>
    </w:p>
    <w:p w:rsidR="00B5639B" w:rsidRPr="00806A3B" w:rsidRDefault="00B5639B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Scope:</w:t>
      </w:r>
      <w:r>
        <w:rPr>
          <w:rFonts w:ascii="Calibri" w:hAnsi="Calibri"/>
          <w:color w:val="1F497D"/>
        </w:rPr>
        <w:t xml:space="preserve"> </w:t>
      </w:r>
      <w:r w:rsidRPr="00891890">
        <w:rPr>
          <w:rFonts w:ascii="Calibri" w:hAnsi="Calibri"/>
          <w:color w:val="1F497D"/>
        </w:rPr>
        <w:t>Measured when the scope of project is Development</w:t>
      </w:r>
    </w:p>
    <w:p w:rsidR="00B5639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Data Source:</w:t>
      </w:r>
      <w:r w:rsidRPr="00806A3B"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>Information is received from the Delivery Managers</w:t>
      </w:r>
    </w:p>
    <w:p w:rsidR="000850B1" w:rsidRDefault="000850B1" w:rsidP="009D6752">
      <w:pPr>
        <w:spacing w:after="0"/>
        <w:ind w:firstLine="720"/>
        <w:rPr>
          <w:rFonts w:ascii="Calibri" w:hAnsi="Calibri"/>
          <w:color w:val="1F497D"/>
        </w:rPr>
      </w:pPr>
      <w:r w:rsidRPr="00134DC6">
        <w:rPr>
          <w:rFonts w:ascii="Calibri" w:hAnsi="Calibri"/>
          <w:b/>
          <w:color w:val="1F497D"/>
        </w:rPr>
        <w:t>SLA Target:</w:t>
      </w:r>
      <w:r>
        <w:rPr>
          <w:rFonts w:ascii="Calibri" w:hAnsi="Calibri"/>
          <w:b/>
          <w:color w:val="1F497D"/>
        </w:rPr>
        <w:t xml:space="preserve"> </w:t>
      </w:r>
      <w:r w:rsidRPr="00134DC6">
        <w:rPr>
          <w:rFonts w:ascii="Calibri" w:hAnsi="Calibri"/>
          <w:color w:val="1F497D"/>
        </w:rPr>
        <w:t>&lt;=</w:t>
      </w:r>
      <w:r w:rsidR="00A45900">
        <w:rPr>
          <w:rFonts w:ascii="Calibri" w:hAnsi="Calibri"/>
          <w:color w:val="1F497D"/>
        </w:rPr>
        <w:t>1</w:t>
      </w:r>
      <w:r w:rsidRPr="00134DC6">
        <w:rPr>
          <w:rFonts w:ascii="Calibri" w:hAnsi="Calibri"/>
          <w:color w:val="1F497D"/>
        </w:rPr>
        <w:t>%</w:t>
      </w:r>
    </w:p>
    <w:p w:rsidR="009D6752" w:rsidRDefault="009D6752" w:rsidP="009D6752">
      <w:pPr>
        <w:spacing w:after="0"/>
        <w:ind w:firstLine="720"/>
        <w:rPr>
          <w:rFonts w:ascii="Calibri" w:hAnsi="Calibri"/>
          <w:color w:val="1F497D"/>
        </w:rPr>
      </w:pPr>
    </w:p>
    <w:p w:rsidR="00E91CDB" w:rsidRDefault="00E91CDB" w:rsidP="005C7837">
      <w:pPr>
        <w:spacing w:after="0"/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>19. Defect Density (P1 and P2) - Production + 61 days to 365 days</w:t>
      </w:r>
    </w:p>
    <w:p w:rsidR="00B5639B" w:rsidRDefault="00B5639B" w:rsidP="005C7837">
      <w:pPr>
        <w:spacing w:after="0"/>
        <w:ind w:left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Definition:</w:t>
      </w:r>
      <w:r>
        <w:rPr>
          <w:rFonts w:ascii="Calibri" w:hAnsi="Calibri"/>
          <w:color w:val="1F497D"/>
        </w:rPr>
        <w:t xml:space="preserve"> </w:t>
      </w:r>
      <w:r w:rsidR="00134DC6" w:rsidRPr="00134DC6">
        <w:rPr>
          <w:rFonts w:ascii="Calibri" w:hAnsi="Calibri"/>
          <w:color w:val="1F497D"/>
        </w:rPr>
        <w:t>P1 and P2 Defects Detected in Production - 61 days to 365 days</w:t>
      </w:r>
    </w:p>
    <w:p w:rsidR="00B5639B" w:rsidRPr="00806A3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Scope:</w:t>
      </w:r>
      <w:r>
        <w:rPr>
          <w:rFonts w:ascii="Calibri" w:hAnsi="Calibri"/>
          <w:color w:val="1F497D"/>
        </w:rPr>
        <w:t xml:space="preserve"> </w:t>
      </w:r>
      <w:r w:rsidRPr="00891890">
        <w:rPr>
          <w:rFonts w:ascii="Calibri" w:hAnsi="Calibri"/>
          <w:color w:val="1F497D"/>
        </w:rPr>
        <w:t>Measured when the scope of project is Development</w:t>
      </w:r>
    </w:p>
    <w:p w:rsidR="00B5639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Data Source:</w:t>
      </w:r>
      <w:r w:rsidRPr="00806A3B"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>Information is received from the Delivery Managers</w:t>
      </w:r>
    </w:p>
    <w:p w:rsidR="000850B1" w:rsidRDefault="000850B1" w:rsidP="009D6752">
      <w:pPr>
        <w:spacing w:after="0"/>
        <w:ind w:firstLine="720"/>
        <w:rPr>
          <w:rFonts w:ascii="Calibri" w:hAnsi="Calibri"/>
          <w:color w:val="1F497D"/>
        </w:rPr>
      </w:pPr>
      <w:r w:rsidRPr="00134DC6">
        <w:rPr>
          <w:rFonts w:ascii="Calibri" w:hAnsi="Calibri"/>
          <w:b/>
          <w:color w:val="1F497D"/>
        </w:rPr>
        <w:t>SLA Target:</w:t>
      </w:r>
      <w:r>
        <w:rPr>
          <w:rFonts w:ascii="Calibri" w:hAnsi="Calibri"/>
          <w:b/>
          <w:color w:val="1F497D"/>
        </w:rPr>
        <w:t xml:space="preserve"> </w:t>
      </w:r>
      <w:r w:rsidR="00A45900">
        <w:rPr>
          <w:rFonts w:ascii="Calibri" w:hAnsi="Calibri"/>
          <w:color w:val="1F497D"/>
        </w:rPr>
        <w:t>0</w:t>
      </w:r>
      <w:r w:rsidRPr="00134DC6">
        <w:rPr>
          <w:rFonts w:ascii="Calibri" w:hAnsi="Calibri"/>
          <w:color w:val="1F497D"/>
        </w:rPr>
        <w:t>%</w:t>
      </w:r>
    </w:p>
    <w:p w:rsidR="009D6752" w:rsidRDefault="009D6752" w:rsidP="009D6752">
      <w:pPr>
        <w:spacing w:after="0"/>
        <w:ind w:firstLine="720"/>
        <w:rPr>
          <w:rFonts w:ascii="Calibri" w:hAnsi="Calibri"/>
          <w:color w:val="1F497D"/>
        </w:rPr>
      </w:pPr>
    </w:p>
    <w:p w:rsidR="00134DC6" w:rsidRDefault="00E91CDB" w:rsidP="005C7837">
      <w:pPr>
        <w:spacing w:after="0"/>
        <w:rPr>
          <w:rFonts w:ascii="Calibri" w:hAnsi="Calibri"/>
          <w:color w:val="1F497D"/>
        </w:rPr>
      </w:pPr>
      <w:r w:rsidRPr="00324BBA">
        <w:rPr>
          <w:rFonts w:ascii="Calibri" w:hAnsi="Calibri"/>
          <w:color w:val="1F497D"/>
        </w:rPr>
        <w:t xml:space="preserve">20. Defect Density (P3 and P4) </w:t>
      </w:r>
      <w:r w:rsidR="00134DC6" w:rsidRPr="00324BBA">
        <w:rPr>
          <w:rFonts w:ascii="Calibri" w:hAnsi="Calibri"/>
          <w:color w:val="1F497D"/>
        </w:rPr>
        <w:t xml:space="preserve">- </w:t>
      </w:r>
      <w:r w:rsidR="00134DC6" w:rsidRPr="00134DC6">
        <w:rPr>
          <w:rFonts w:ascii="Calibri" w:hAnsi="Calibri"/>
          <w:color w:val="1F497D"/>
        </w:rPr>
        <w:t>Production + 61 days to 365 days</w:t>
      </w:r>
    </w:p>
    <w:p w:rsidR="00B5639B" w:rsidRDefault="00134DC6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Definition:</w:t>
      </w:r>
      <w:r>
        <w:rPr>
          <w:rFonts w:ascii="Calibri" w:hAnsi="Calibri"/>
          <w:color w:val="1F497D"/>
        </w:rPr>
        <w:t xml:space="preserve"> </w:t>
      </w:r>
      <w:r w:rsidRPr="00134DC6">
        <w:rPr>
          <w:rFonts w:ascii="Calibri" w:hAnsi="Calibri"/>
          <w:color w:val="1F497D"/>
        </w:rPr>
        <w:t>P3 and P4 Defects Detected in Production - 61 days to 365 days</w:t>
      </w:r>
    </w:p>
    <w:p w:rsidR="00B5639B" w:rsidRPr="00806A3B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Scope:</w:t>
      </w:r>
      <w:r>
        <w:rPr>
          <w:rFonts w:ascii="Calibri" w:hAnsi="Calibri"/>
          <w:color w:val="1F497D"/>
        </w:rPr>
        <w:t xml:space="preserve"> </w:t>
      </w:r>
      <w:r w:rsidRPr="00891890">
        <w:rPr>
          <w:rFonts w:ascii="Calibri" w:hAnsi="Calibri"/>
          <w:color w:val="1F497D"/>
        </w:rPr>
        <w:t>Measured when the scope of project is Development</w:t>
      </w:r>
    </w:p>
    <w:p w:rsidR="00194165" w:rsidRDefault="00B5639B" w:rsidP="005C7837">
      <w:pPr>
        <w:spacing w:after="0"/>
        <w:ind w:firstLine="720"/>
        <w:rPr>
          <w:rFonts w:ascii="Calibri" w:hAnsi="Calibri"/>
          <w:color w:val="1F497D"/>
        </w:rPr>
      </w:pPr>
      <w:r w:rsidRPr="00891890">
        <w:rPr>
          <w:rFonts w:ascii="Calibri" w:hAnsi="Calibri"/>
          <w:b/>
          <w:color w:val="1F497D"/>
        </w:rPr>
        <w:t>Data Source:</w:t>
      </w:r>
      <w:r w:rsidRPr="00806A3B">
        <w:rPr>
          <w:rFonts w:ascii="Calibri" w:hAnsi="Calibri"/>
          <w:color w:val="1F497D"/>
        </w:rPr>
        <w:t xml:space="preserve"> </w:t>
      </w:r>
      <w:r w:rsidRPr="00B5639B">
        <w:rPr>
          <w:rFonts w:ascii="Calibri" w:hAnsi="Calibri"/>
          <w:color w:val="1F497D"/>
        </w:rPr>
        <w:t>Information is received from the Delivery Managers</w:t>
      </w:r>
    </w:p>
    <w:p w:rsidR="000850B1" w:rsidRPr="00194165" w:rsidRDefault="000850B1" w:rsidP="005E62B7">
      <w:pPr>
        <w:spacing w:after="0"/>
        <w:ind w:firstLine="720"/>
        <w:rPr>
          <w:b/>
        </w:rPr>
      </w:pPr>
      <w:r w:rsidRPr="00134DC6">
        <w:rPr>
          <w:rFonts w:ascii="Calibri" w:hAnsi="Calibri"/>
          <w:b/>
          <w:color w:val="1F497D"/>
        </w:rPr>
        <w:t>SLA Target:</w:t>
      </w:r>
      <w:r>
        <w:rPr>
          <w:rFonts w:ascii="Calibri" w:hAnsi="Calibri"/>
          <w:b/>
          <w:color w:val="1F497D"/>
        </w:rPr>
        <w:t xml:space="preserve"> </w:t>
      </w:r>
      <w:r w:rsidRPr="00134DC6">
        <w:rPr>
          <w:rFonts w:ascii="Calibri" w:hAnsi="Calibri"/>
          <w:color w:val="1F497D"/>
        </w:rPr>
        <w:t>&lt;=</w:t>
      </w:r>
      <w:r w:rsidR="00A45900">
        <w:rPr>
          <w:rFonts w:ascii="Calibri" w:hAnsi="Calibri"/>
          <w:color w:val="1F497D"/>
        </w:rPr>
        <w:t>1</w:t>
      </w:r>
      <w:r w:rsidRPr="00134DC6">
        <w:rPr>
          <w:rFonts w:ascii="Calibri" w:hAnsi="Calibri"/>
          <w:color w:val="1F497D"/>
        </w:rPr>
        <w:t>%</w:t>
      </w:r>
    </w:p>
    <w:sectPr w:rsidR="000850B1" w:rsidRPr="00194165" w:rsidSect="00BF1CC8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57FA"/>
    <w:multiLevelType w:val="hybridMultilevel"/>
    <w:tmpl w:val="CE8E96C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30A65"/>
    <w:multiLevelType w:val="hybridMultilevel"/>
    <w:tmpl w:val="94748C4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6A704F"/>
    <w:multiLevelType w:val="hybridMultilevel"/>
    <w:tmpl w:val="FAB83170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439ED"/>
    <w:multiLevelType w:val="hybridMultilevel"/>
    <w:tmpl w:val="7208375A"/>
    <w:lvl w:ilvl="0" w:tplc="FA72B37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E6E48"/>
    <w:multiLevelType w:val="hybridMultilevel"/>
    <w:tmpl w:val="375887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D4F7F"/>
    <w:multiLevelType w:val="hybridMultilevel"/>
    <w:tmpl w:val="61E61404"/>
    <w:lvl w:ilvl="0" w:tplc="D2302686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165"/>
    <w:rsid w:val="0006448C"/>
    <w:rsid w:val="000850B1"/>
    <w:rsid w:val="000A029A"/>
    <w:rsid w:val="000C2B93"/>
    <w:rsid w:val="000D29A9"/>
    <w:rsid w:val="00134DC6"/>
    <w:rsid w:val="00163465"/>
    <w:rsid w:val="00194165"/>
    <w:rsid w:val="001A7A10"/>
    <w:rsid w:val="001C728D"/>
    <w:rsid w:val="001D05F6"/>
    <w:rsid w:val="00324BBA"/>
    <w:rsid w:val="003C7D5E"/>
    <w:rsid w:val="003E0B10"/>
    <w:rsid w:val="005C7837"/>
    <w:rsid w:val="005E62B7"/>
    <w:rsid w:val="00692FE9"/>
    <w:rsid w:val="00783CD7"/>
    <w:rsid w:val="00806A3B"/>
    <w:rsid w:val="008245B6"/>
    <w:rsid w:val="00891890"/>
    <w:rsid w:val="009D6752"/>
    <w:rsid w:val="009E5423"/>
    <w:rsid w:val="00A45900"/>
    <w:rsid w:val="00AC01F3"/>
    <w:rsid w:val="00B5639B"/>
    <w:rsid w:val="00B91A6E"/>
    <w:rsid w:val="00BF1CC8"/>
    <w:rsid w:val="00CE6EEF"/>
    <w:rsid w:val="00DC0F88"/>
    <w:rsid w:val="00E91CDB"/>
    <w:rsid w:val="00E93DA9"/>
    <w:rsid w:val="00FD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7B55C-A13E-429A-9562-95D5A819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65"/>
    <w:pPr>
      <w:ind w:left="720"/>
      <w:contextualSpacing/>
    </w:pPr>
  </w:style>
  <w:style w:type="table" w:styleId="TableGrid">
    <w:name w:val="Table Grid"/>
    <w:basedOn w:val="TableNormal"/>
    <w:uiPriority w:val="39"/>
    <w:rsid w:val="00E93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InfoHeading">
    <w:name w:val="Document_Info_Heading"/>
    <w:basedOn w:val="Normal"/>
    <w:next w:val="Normal"/>
    <w:uiPriority w:val="99"/>
    <w:rsid w:val="00BF1CC8"/>
    <w:pPr>
      <w:pBdr>
        <w:top w:val="single" w:sz="6" w:space="1" w:color="auto"/>
      </w:pBdr>
      <w:shd w:val="pct5" w:color="auto" w:fill="FFFFFF"/>
      <w:spacing w:before="360" w:after="240" w:line="240" w:lineRule="auto"/>
    </w:pPr>
    <w:rPr>
      <w:rFonts w:ascii="Arial" w:eastAsia="Times New Roman" w:hAnsi="Arial" w:cs="Times New Roman"/>
      <w:b/>
      <w:sz w:val="28"/>
      <w:szCs w:val="20"/>
      <w:lang w:eastAsia="en-AU"/>
    </w:rPr>
  </w:style>
  <w:style w:type="paragraph" w:customStyle="1" w:styleId="TableHeading">
    <w:name w:val="Table Heading"/>
    <w:basedOn w:val="Normal"/>
    <w:next w:val="Normal"/>
    <w:uiPriority w:val="99"/>
    <w:rsid w:val="00BF1CC8"/>
    <w:pPr>
      <w:suppressAutoHyphens/>
      <w:spacing w:after="60" w:line="240" w:lineRule="auto"/>
      <w:jc w:val="center"/>
    </w:pPr>
    <w:rPr>
      <w:rFonts w:ascii="Arial" w:eastAsia="Times New Roman" w:hAnsi="Arial" w:cs="Times New Roman"/>
      <w:b/>
      <w:sz w:val="20"/>
      <w:szCs w:val="20"/>
      <w:lang w:val="en-US" w:eastAsia="en-AU"/>
    </w:rPr>
  </w:style>
  <w:style w:type="paragraph" w:customStyle="1" w:styleId="Tabletext">
    <w:name w:val="Table text"/>
    <w:basedOn w:val="Normal"/>
    <w:uiPriority w:val="99"/>
    <w:rsid w:val="00BF1CC8"/>
    <w:pPr>
      <w:spacing w:after="120" w:line="240" w:lineRule="auto"/>
    </w:pPr>
    <w:rPr>
      <w:rFonts w:ascii="Arial" w:eastAsia="Times New Roman" w:hAnsi="Arial" w:cs="Times New Roman"/>
      <w:sz w:val="18"/>
      <w:szCs w:val="2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BF1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Normal"/>
    <w:next w:val="Normal"/>
    <w:uiPriority w:val="99"/>
    <w:qFormat/>
    <w:rsid w:val="00BF1CC8"/>
    <w:pPr>
      <w:keepNext/>
      <w:keepLines/>
      <w:pageBreakBefore/>
      <w:suppressAutoHyphens/>
      <w:spacing w:before="240" w:after="120" w:line="240" w:lineRule="auto"/>
      <w:jc w:val="center"/>
    </w:pPr>
    <w:rPr>
      <w:rFonts w:ascii="Arial" w:eastAsia="Times New Roman" w:hAnsi="Arial" w:cs="Times New Roman"/>
      <w:b/>
      <w:kern w:val="28"/>
      <w:sz w:val="36"/>
      <w:szCs w:val="20"/>
      <w:lang w:val="en-US" w:eastAsia="en-AU"/>
    </w:rPr>
  </w:style>
  <w:style w:type="paragraph" w:styleId="TOC1">
    <w:name w:val="toc 1"/>
    <w:basedOn w:val="Normal"/>
    <w:next w:val="Normal"/>
    <w:uiPriority w:val="39"/>
    <w:rsid w:val="00BF1CC8"/>
    <w:pPr>
      <w:tabs>
        <w:tab w:val="left" w:pos="567"/>
        <w:tab w:val="right" w:leader="underscore" w:pos="9072"/>
      </w:tabs>
      <w:spacing w:before="120" w:after="0" w:line="240" w:lineRule="auto"/>
      <w:ind w:left="567" w:hanging="567"/>
    </w:pPr>
    <w:rPr>
      <w:rFonts w:ascii="Arial" w:eastAsia="Times New Roman" w:hAnsi="Arial" w:cs="Times New Roman"/>
      <w:b/>
      <w:sz w:val="20"/>
      <w:szCs w:val="20"/>
      <w:lang w:eastAsia="en-AU"/>
    </w:rPr>
  </w:style>
  <w:style w:type="paragraph" w:styleId="TOC2">
    <w:name w:val="toc 2"/>
    <w:basedOn w:val="Normal"/>
    <w:next w:val="Normal"/>
    <w:uiPriority w:val="39"/>
    <w:rsid w:val="00BF1CC8"/>
    <w:pPr>
      <w:tabs>
        <w:tab w:val="left" w:pos="1361"/>
        <w:tab w:val="right" w:leader="dot" w:pos="9072"/>
      </w:tabs>
      <w:spacing w:after="0" w:line="240" w:lineRule="auto"/>
      <w:ind w:left="1928" w:hanging="1361"/>
    </w:pPr>
    <w:rPr>
      <w:rFonts w:ascii="Arial" w:eastAsia="Times New Roman" w:hAnsi="Arial" w:cs="Times New Roman"/>
      <w:sz w:val="20"/>
      <w:szCs w:val="20"/>
      <w:lang w:eastAsia="en-AU"/>
    </w:rPr>
  </w:style>
  <w:style w:type="paragraph" w:styleId="TOC3">
    <w:name w:val="toc 3"/>
    <w:basedOn w:val="TOC2"/>
    <w:next w:val="Normal"/>
    <w:uiPriority w:val="39"/>
    <w:rsid w:val="00BF1CC8"/>
    <w:pPr>
      <w:tabs>
        <w:tab w:val="clear" w:pos="1361"/>
        <w:tab w:val="left" w:pos="1701"/>
      </w:tabs>
      <w:ind w:left="2268" w:hanging="1701"/>
    </w:pPr>
  </w:style>
  <w:style w:type="paragraph" w:styleId="TOC4">
    <w:name w:val="toc 4"/>
    <w:basedOn w:val="TOC3"/>
    <w:next w:val="Normal"/>
    <w:autoRedefine/>
    <w:uiPriority w:val="39"/>
    <w:rsid w:val="00BF1CC8"/>
    <w:pPr>
      <w:tabs>
        <w:tab w:val="clear" w:pos="1701"/>
        <w:tab w:val="left" w:pos="1985"/>
      </w:tabs>
      <w:ind w:left="2552" w:hanging="19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1AC45.CE1E2CE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6517A-F138-4DE0-8D27-096AF165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5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Hutchison Australia</Company>
  <LinksUpToDate>false</LinksUpToDate>
  <CharactersWithSpaces>7830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Rini Kar, Vodafone Australia</dc:creator>
  <cp:keywords/>
  <dc:description/>
  <cp:lastModifiedBy>Rini Kar, Vodafone Australia</cp:lastModifiedBy>
  <cp:revision>14</cp:revision>
  <dcterms:created xsi:type="dcterms:W3CDTF">2016-05-10T03:34:00Z</dcterms:created>
  <dcterms:modified xsi:type="dcterms:W3CDTF">2016-05-12T05:23:00Z</dcterms:modified>
</cp:coreProperties>
</file>