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MEETING MINUTES</w:t>
      </w:r>
    </w:p>
    <w:p>
      <w:pPr>
        <w:jc w:val="center"/>
      </w:pPr>
      <w:r>
        <w:rPr>
          <w:color w:val="4F81BD"/>
          <w:sz w:val="28"/>
        </w:rPr>
        <w:t>Integration Test Meeting</w:t>
      </w:r>
    </w:p>
    <w:p>
      <w:pPr>
        <w:jc w:val="center"/>
      </w:pPr>
      <w:r>
        <w:rPr>
          <w:color w:val="808080"/>
          <w:sz w:val="18"/>
        </w:rPr>
        <w:t>Generated by SecureGPT Meeting Agent  |  2026-09-02 01:04  |  Job ID: test-job-001</w:t>
      </w:r>
    </w:p>
    <w:p>
      <w:pPr>
        <w:pBdr>
          <w:bottom w:val="single" w:sz="6" w:space="1" w:color="4F81BD"/>
        </w:pBdr>
      </w:pPr>
    </w:p>
    <w:p/>
    <w:p>
      <w:pPr>
        <w:pStyle w:val="Heading1"/>
      </w:pPr>
      <w:r>
        <w:t>1. Executive Summary</w:t>
      </w:r>
    </w:p>
    <w:p>
      <w:r>
        <w:t>The main topic of the meeting was the integration test, focusing on the company's financial performance and operational efficiency. Key discussion points included maintaining current revenue guidance, prioritizing cost mitigation in Mexico, and closely monitoring collections from engineering programs. The overall outcome was a positive assessment of the company's health, with revenue growth, improving margins, and strong cash generation. The priorities for Q2 were outlined, including protecting margins in Mexico, improving collections, and sustaining growth in engineering services. The meeting concluded with a sense of clarity and a plan in place for the next rolling forecast.</w:t>
      </w:r>
    </w:p>
    <w:p/>
    <w:p>
      <w:pPr>
        <w:pStyle w:val="Heading1"/>
      </w:pPr>
      <w:r>
        <w:t>2. Decisions</w:t>
      </w:r>
    </w:p>
    <w:tbl>
      <w:tblPr>
        <w:tblStyle w:val="TableGrid"/>
        <w:tblW w:type="auto" w:w="0"/>
        <w:jc w:val="left"/>
        <w:tblLook w:firstColumn="1" w:firstRow="1" w:lastColumn="0" w:lastRow="0" w:noHBand="0" w:noVBand="1" w:val="04A0"/>
      </w:tblPr>
      <w:tblGrid>
        <w:gridCol w:w="2928"/>
        <w:gridCol w:w="2928"/>
        <w:gridCol w:w="2928"/>
      </w:tblGrid>
      <w:tr>
        <w:tc>
          <w:tcPr>
            <w:tcW w:type="dxa" w:w="576"/>
            <w:shd w:val="clear" w:color="auto" w:fill="1F497D"/>
          </w:tcPr>
          <w:p>
            <w:r>
              <w:rPr>
                <w:b/>
                <w:color w:val="FFFFFF"/>
              </w:rPr>
              <w:t>#</w:t>
            </w:r>
          </w:p>
        </w:tc>
        <w:tc>
          <w:tcPr>
            <w:tcW w:type="dxa" w:w="5040"/>
            <w:shd w:val="clear" w:color="auto" w:fill="1F497D"/>
          </w:tcPr>
          <w:p>
            <w:r>
              <w:rPr>
                <w:b/>
                <w:color w:val="FFFFFF"/>
              </w:rPr>
              <w:t>Decision</w:t>
            </w:r>
          </w:p>
        </w:tc>
        <w:tc>
          <w:tcPr>
            <w:tcW w:type="dxa" w:w="3600"/>
            <w:shd w:val="clear" w:color="auto" w:fill="1F497D"/>
          </w:tcPr>
          <w:p>
            <w:r>
              <w:rPr>
                <w:b/>
                <w:color w:val="FFFFFF"/>
              </w:rPr>
              <w:t>Rationale</w:t>
            </w:r>
          </w:p>
        </w:tc>
      </w:tr>
      <w:tr>
        <w:tc>
          <w:tcPr>
            <w:tcW w:type="dxa" w:w="576"/>
          </w:tcPr>
          <w:p>
            <w:r>
              <w:t>1</w:t>
            </w:r>
          </w:p>
        </w:tc>
        <w:tc>
          <w:tcPr>
            <w:tcW w:type="dxa" w:w="5040"/>
          </w:tcPr>
          <w:p>
            <w:r>
              <w:t>Maintaining the current full year revenue guidance</w:t>
            </w:r>
          </w:p>
        </w:tc>
        <w:tc>
          <w:tcPr>
            <w:tcW w:type="dxa" w:w="3600"/>
          </w:tcPr>
          <w:p>
            <w:r>
              <w:t>—</w:t>
            </w:r>
          </w:p>
        </w:tc>
      </w:tr>
      <w:tr>
        <w:tc>
          <w:tcPr>
            <w:tcW w:type="dxa" w:w="576"/>
          </w:tcPr>
          <w:p>
            <w:r>
              <w:t>2</w:t>
            </w:r>
          </w:p>
        </w:tc>
        <w:tc>
          <w:tcPr>
            <w:tcW w:type="dxa" w:w="5040"/>
          </w:tcPr>
          <w:p>
            <w:r>
              <w:t>Priya will lead the Mexico Labour Cost Mitigation Analysis and include the scenarios in the next Q2 rolling forecast</w:t>
            </w:r>
          </w:p>
        </w:tc>
        <w:tc>
          <w:tcPr>
            <w:tcW w:type="dxa" w:w="3600"/>
          </w:tcPr>
          <w:p>
            <w:r>
              <w:t>—</w:t>
            </w:r>
          </w:p>
        </w:tc>
      </w:tr>
      <w:tr>
        <w:tc>
          <w:tcPr>
            <w:tcW w:type="dxa" w:w="576"/>
          </w:tcPr>
          <w:p>
            <w:r>
              <w:t>3</w:t>
            </w:r>
          </w:p>
        </w:tc>
        <w:tc>
          <w:tcPr>
            <w:tcW w:type="dxa" w:w="5040"/>
          </w:tcPr>
          <w:p>
            <w:r>
              <w:t>Closely monitoring collections from the two engineering programs responsible for the elevated DSO</w:t>
            </w:r>
          </w:p>
        </w:tc>
        <w:tc>
          <w:tcPr>
            <w:tcW w:type="dxa" w:w="3600"/>
          </w:tcPr>
          <w:p>
            <w:r>
              <w:t>—</w:t>
            </w:r>
          </w:p>
        </w:tc>
      </w:tr>
      <w:tr>
        <w:tc>
          <w:tcPr>
            <w:tcW w:type="dxa" w:w="576"/>
          </w:tcPr>
          <w:p>
            <w:r>
              <w:t>4</w:t>
            </w:r>
          </w:p>
        </w:tc>
        <w:tc>
          <w:tcPr>
            <w:tcW w:type="dxa" w:w="5040"/>
          </w:tcPr>
          <w:p>
            <w:r>
              <w:t>Current will prepare the external earnings communication using the approved Q1 numbers</w:t>
            </w:r>
          </w:p>
        </w:tc>
        <w:tc>
          <w:tcPr>
            <w:tcW w:type="dxa" w:w="3600"/>
          </w:tcPr>
          <w:p>
            <w:r>
              <w:t>—</w:t>
            </w:r>
          </w:p>
        </w:tc>
      </w:tr>
      <w:tr>
        <w:tc>
          <w:tcPr>
            <w:tcW w:type="dxa" w:w="576"/>
          </w:tcPr>
          <w:p>
            <w:r>
              <w:t>5</w:t>
            </w:r>
          </w:p>
        </w:tc>
        <w:tc>
          <w:tcPr>
            <w:tcW w:type="dxa" w:w="5040"/>
          </w:tcPr>
          <w:p>
            <w:r>
              <w:t>Presenting the Mexico situation as a cost-pressure issue rather than a broad demand slowdown</w:t>
            </w:r>
          </w:p>
        </w:tc>
        <w:tc>
          <w:tcPr>
            <w:tcW w:type="dxa" w:w="3600"/>
          </w:tcPr>
          <w:p>
            <w:r>
              <w:t>—</w:t>
            </w:r>
          </w:p>
        </w:tc>
      </w:tr>
      <w:tr>
        <w:tc>
          <w:tcPr>
            <w:tcW w:type="dxa" w:w="576"/>
          </w:tcPr>
          <w:p>
            <w:r>
              <w:t>6</w:t>
            </w:r>
          </w:p>
        </w:tc>
        <w:tc>
          <w:tcPr>
            <w:tcW w:type="dxa" w:w="5040"/>
          </w:tcPr>
          <w:p>
            <w:r>
              <w:t>Protecting margins in Mexico, improving collections, and sustaining growth in engineering services</w:t>
            </w:r>
          </w:p>
        </w:tc>
        <w:tc>
          <w:tcPr>
            <w:tcW w:type="dxa" w:w="3600"/>
          </w:tcPr>
          <w:p>
            <w:r>
              <w:t>—</w:t>
            </w:r>
          </w:p>
        </w:tc>
      </w:tr>
      <w:tr>
        <w:tc>
          <w:tcPr>
            <w:tcW w:type="dxa" w:w="576"/>
          </w:tcPr>
          <w:p>
            <w:r>
              <w:t>7</w:t>
            </w:r>
          </w:p>
        </w:tc>
        <w:tc>
          <w:tcPr>
            <w:tcW w:type="dxa" w:w="5040"/>
          </w:tcPr>
          <w:p>
            <w:r>
              <w:t>Finalizing the investor communication based on today's decisions</w:t>
            </w:r>
          </w:p>
        </w:tc>
        <w:tc>
          <w:tcPr>
            <w:tcW w:type="dxa" w:w="3600"/>
          </w:tcPr>
          <w:p>
            <w:r>
              <w:t>—</w:t>
            </w:r>
          </w:p>
        </w:tc>
      </w:tr>
    </w:tbl>
    <w:p/>
    <w:p>
      <w:pPr>
        <w:pStyle w:val="Heading1"/>
      </w:pPr>
      <w:r>
        <w:t>3. Action Items</w:t>
      </w:r>
    </w:p>
    <w:tbl>
      <w:tblPr>
        <w:tblStyle w:val="TableGrid"/>
        <w:tblW w:type="auto" w:w="0"/>
        <w:jc w:val="left"/>
        <w:tblLook w:firstColumn="1" w:firstRow="1" w:lastColumn="0" w:lastRow="0" w:noHBand="0" w:noVBand="1" w:val="04A0"/>
      </w:tblPr>
      <w:tblGrid>
        <w:gridCol w:w="1757"/>
        <w:gridCol w:w="1757"/>
        <w:gridCol w:w="1757"/>
        <w:gridCol w:w="1757"/>
        <w:gridCol w:w="1757"/>
      </w:tblGrid>
      <w:tr>
        <w:tc>
          <w:tcPr>
            <w:tcW w:type="dxa" w:w="504"/>
            <w:shd w:val="clear" w:color="auto" w:fill="1F497D"/>
          </w:tcPr>
          <w:p>
            <w:r>
              <w:rPr>
                <w:b/>
                <w:color w:val="FFFFFF"/>
              </w:rPr>
              <w:t>#</w:t>
            </w:r>
          </w:p>
        </w:tc>
        <w:tc>
          <w:tcPr>
            <w:tcW w:type="dxa" w:w="4320"/>
            <w:shd w:val="clear" w:color="auto" w:fill="1F497D"/>
          </w:tcPr>
          <w:p>
            <w:r>
              <w:rPr>
                <w:b/>
                <w:color w:val="FFFFFF"/>
              </w:rPr>
              <w:t>Task</w:t>
            </w:r>
          </w:p>
        </w:tc>
        <w:tc>
          <w:tcPr>
            <w:tcW w:type="dxa" w:w="1728"/>
            <w:shd w:val="clear" w:color="auto" w:fill="1F497D"/>
          </w:tcPr>
          <w:p>
            <w:r>
              <w:rPr>
                <w:b/>
                <w:color w:val="FFFFFF"/>
              </w:rPr>
              <w:t>Owner</w:t>
            </w:r>
          </w:p>
        </w:tc>
        <w:tc>
          <w:tcPr>
            <w:tcW w:type="dxa" w:w="1728"/>
            <w:shd w:val="clear" w:color="auto" w:fill="1F497D"/>
          </w:tcPr>
          <w:p>
            <w:r>
              <w:rPr>
                <w:b/>
                <w:color w:val="FFFFFF"/>
              </w:rPr>
              <w:t>Deadline</w:t>
            </w:r>
          </w:p>
        </w:tc>
        <w:tc>
          <w:tcPr>
            <w:tcW w:type="dxa" w:w="1152"/>
            <w:shd w:val="clear" w:color="auto" w:fill="1F497D"/>
          </w:tcPr>
          <w:p>
            <w:r>
              <w:rPr>
                <w:b/>
                <w:color w:val="FFFFFF"/>
              </w:rPr>
              <w:t>Priority</w:t>
            </w:r>
          </w:p>
        </w:tc>
      </w:tr>
      <w:tr>
        <w:tc>
          <w:tcPr>
            <w:tcW w:type="dxa" w:w="504"/>
          </w:tcPr>
          <w:p>
            <w:r>
              <w:t>1</w:t>
            </w:r>
          </w:p>
        </w:tc>
        <w:tc>
          <w:tcPr>
            <w:tcW w:type="dxa" w:w="4320"/>
          </w:tcPr>
          <w:p>
            <w:r>
              <w:t>Priya will lead the Mexico Labour Cost Mitigation Analysis and include the scenarios in the next Q2 rolling forecast</w:t>
            </w:r>
          </w:p>
        </w:tc>
        <w:tc>
          <w:tcPr>
            <w:tcW w:type="dxa" w:w="1728"/>
          </w:tcPr>
          <w:p>
            <w:r>
              <w:t>Priya</w:t>
            </w:r>
          </w:p>
        </w:tc>
        <w:tc>
          <w:tcPr>
            <w:tcW w:type="dxa" w:w="1728"/>
          </w:tcPr>
          <w:p>
            <w:r>
              <w:t>Not specified</w:t>
            </w:r>
          </w:p>
        </w:tc>
        <w:tc>
          <w:tcPr>
            <w:tcW w:type="dxa" w:w="1152"/>
          </w:tcPr>
          <w:p>
            <w:r>
              <w:rPr>
                <w:b/>
                <w:color w:val="E26B0A"/>
              </w:rPr>
              <w:t>Medium</w:t>
            </w:r>
          </w:p>
        </w:tc>
      </w:tr>
      <w:tr>
        <w:tc>
          <w:tcPr>
            <w:tcW w:type="dxa" w:w="504"/>
          </w:tcPr>
          <w:p>
            <w:r>
              <w:t>2</w:t>
            </w:r>
          </w:p>
        </w:tc>
        <w:tc>
          <w:tcPr>
            <w:tcW w:type="dxa" w:w="4320"/>
          </w:tcPr>
          <w:p>
            <w:r>
              <w:t>Current will prepare the external earnings communication using the approved Q1 numbers</w:t>
            </w:r>
          </w:p>
        </w:tc>
        <w:tc>
          <w:tcPr>
            <w:tcW w:type="dxa" w:w="1728"/>
          </w:tcPr>
          <w:p>
            <w:r>
              <w:t>Current</w:t>
            </w:r>
          </w:p>
        </w:tc>
        <w:tc>
          <w:tcPr>
            <w:tcW w:type="dxa" w:w="1728"/>
          </w:tcPr>
          <w:p>
            <w:r>
              <w:t>Not specified</w:t>
            </w:r>
          </w:p>
        </w:tc>
        <w:tc>
          <w:tcPr>
            <w:tcW w:type="dxa" w:w="1152"/>
          </w:tcPr>
          <w:p>
            <w:r>
              <w:rPr>
                <w:b/>
                <w:color w:val="E26B0A"/>
              </w:rPr>
              <w:t>Medium</w:t>
            </w:r>
          </w:p>
        </w:tc>
      </w:tr>
      <w:tr>
        <w:tc>
          <w:tcPr>
            <w:tcW w:type="dxa" w:w="504"/>
          </w:tcPr>
          <w:p>
            <w:r>
              <w:t>3</w:t>
            </w:r>
          </w:p>
        </w:tc>
        <w:tc>
          <w:tcPr>
            <w:tcW w:type="dxa" w:w="4320"/>
          </w:tcPr>
          <w:p>
            <w:r>
              <w:t>Finalize the investor communication based on today's decisions</w:t>
            </w:r>
          </w:p>
        </w:tc>
        <w:tc>
          <w:tcPr>
            <w:tcW w:type="dxa" w:w="1728"/>
          </w:tcPr>
          <w:p>
            <w:r>
              <w:t>D</w:t>
            </w:r>
          </w:p>
        </w:tc>
        <w:tc>
          <w:tcPr>
            <w:tcW w:type="dxa" w:w="1728"/>
          </w:tcPr>
          <w:p>
            <w:r>
              <w:t>Not specified</w:t>
            </w:r>
          </w:p>
        </w:tc>
        <w:tc>
          <w:tcPr>
            <w:tcW w:type="dxa" w:w="1152"/>
          </w:tcPr>
          <w:p>
            <w:r>
              <w:rPr>
                <w:b/>
                <w:color w:val="E26B0A"/>
              </w:rPr>
              <w:t>Medium</w:t>
            </w:r>
          </w:p>
        </w:tc>
      </w:tr>
    </w:tbl>
    <w:p/>
    <w:p>
      <w:pPr>
        <w:pStyle w:val="Heading1"/>
      </w:pPr>
      <w:r>
        <w:t>4. Full Transcript</w:t>
      </w:r>
    </w:p>
    <w:p>
      <w:r>
        <w:rPr>
          <w:color w:val="404040"/>
          <w:sz w:val="18"/>
        </w:rPr>
        <w:t>[SPEAKER_A]: Before we close, I want to confirm the decisions and action items. First, we are maintaining the current full year revenue guidance. Second, Priya will lead the Mexico Labour Cost Mitigation Analysis and include the scenarios in the next Q2 rolling forecast. Third, we'll closely monitor collections from the two engineering programs responsible for the elevated DSO.</w:t>
        <w:br/>
        <w:br/>
        <w:t>[SPEAKER_B]: Fourth, current will prepare the external earnings communication using the approved Q1 numbers. I'll also make sure the Mexico situation is presented as a cost-pressure issue rather than a broad demand slowdown. Good.</w:t>
        <w:br/>
        <w:br/>
        <w:t>[SPEAKER_C]: Any other risks we need to flag? Nothing material at the moment.</w:t>
        <w:br/>
        <w:br/>
        <w:t>[SPEAKER_D]: There were no tax disputes above the $500,000 CFO notification threshold and statutory filing deadlines across the company's seven jurisdiction footprint were met on time.</w:t>
        <w:br/>
        <w:br/>
        <w:t>[SPEAKER_A]: Internal audit also found that the Treasury payment authorization controls are operating effectively. There were two minor findings under remediation, but no critical or high findings. Good.</w:t>
        <w:br/>
        <w:br/>
        <w:t>[SPEAKER_B]: So overall, we are in a healthy position.</w:t>
        <w:br/>
        <w:br/>
        <w:t>[SPEAKER_C]: Revenue is growing, margins are improving, and cash generation is strong. Our priorities for Q2 are clear.</w:t>
        <w:br/>
        <w:br/>
        <w:t>[SPEAKER_D]: Protect margins in Mexico, improve collections, and sustain growth in engineering services. I'll have the Mexico Analysis ready for the next rolling forecast. And I'll finalize the investor communication based on today's decisions.</w:t>
        <w:br/>
        <w:br/>
        <w:t>[SPEAKER_A]: Perfect.</w:t>
        <w:br/>
        <w:br/>
        <w:t>[SPEAKER_B]: Thanks everyone.</w:t>
        <w:br/>
        <w:br/>
        <w:t>[SPEAKER_C]: That's all for today.</w:t>
        <w:br/>
        <w:br/>
        <w:t>[SPEAKER_D]: Thank you.</w:t>
        <w:br/>
        <w:br/>
        <w:t>[SPEAKER_A]: Thank you.</w:t>
      </w:r>
    </w:p>
    <w:p/>
    <w:p>
      <w:pPr>
        <w:pBdr>
          <w:bottom w:val="single" w:sz="6" w:space="1" w:color="4F81BD"/>
        </w:pBdr>
      </w:pPr>
    </w:p>
    <w:p>
      <w:pPr>
        <w:jc w:val="center"/>
      </w:pPr>
      <w:r>
        <w:rPr>
          <w:i/>
          <w:color w:val="808080"/>
          <w:sz w:val="16"/>
        </w:rPr>
        <w:t>CONFIDENTIAL — Generated by SecureGPT Meeting Agent. Do not distribute outside authorised personnel.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