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480"/>
        <w:jc w:val="left"/>
      </w:pPr>
      <w:r>
        <w:rPr>
          <w:rFonts w:ascii="Aptos" w:hAnsi="Aptos"/>
          <w:b/>
          <w:color w:val="006B54"/>
          <w:sz w:val="24"/>
        </w:rPr>
        <w:t>INMERSIÓN ADMINISTRATIVA EN IA</w:t>
      </w:r>
    </w:p>
    <w:p>
      <w:pPr>
        <w:pStyle w:val="Title"/>
        <w:widowControl/>
      </w:pPr>
      <w:r>
        <w:rPr>
          <w:rFonts w:ascii="Aptos" w:hAnsi="Aptos"/>
          <w:color w:val="111827"/>
          <w:sz w:val="54"/>
        </w:rPr>
        <w:t>Guía de facilitación</w:t>
      </w:r>
    </w:p>
    <w:p>
      <w:pPr>
        <w:widowControl/>
      </w:pPr>
      <w:r>
        <w:rPr>
          <w:rFonts w:ascii="Aptos" w:hAnsi="Aptos"/>
        </w:rPr>
        <w:t>SENA Bogotá · Ruta intensiva de cuatro jornadas · Material editable de trabajo</w:t>
      </w:r>
    </w:p>
    <w:p>
      <w:pPr>
        <w:widowControl/>
      </w:pPr>
      <w:r>
        <w:rPr>
          <w:rFonts w:ascii="Aptos" w:hAnsi="Aptos"/>
        </w:rPr>
        <w:t>Una guía para conducir las actividades, cuidar el uso de información y recoger evidencias de aprendizaje y productividad.</w:t>
      </w:r>
    </w:p>
    <w:p>
      <w:pPr>
        <w:widowControl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Enfoque</w:t>
            </w:r>
          </w:p>
        </w:tc>
        <w:tc>
          <w:tcPr>
            <w:tcW w:type="dxa" w:w="8208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Qué se busca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Acompañar</w:t>
            </w:r>
          </w:p>
        </w:tc>
        <w:tc>
          <w:tcPr>
            <w:tcW w:type="dxa" w:w="8208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Guiar a personas con trayectorias y niveles de experiencia digital distintos, conectando la IA con tareas administrativas concretas.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Proteger</w:t>
            </w:r>
          </w:p>
        </w:tc>
        <w:tc>
          <w:tcPr>
            <w:tcW w:type="dxa" w:w="8208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Practicar con material ficticio. Usar herramientas y datos reales solo cuando exista autorización institucional.</w:t>
            </w:r>
          </w:p>
        </w:tc>
      </w:tr>
      <w:tr>
        <w:trPr>
          <w:cantSplit/>
        </w:trPr>
        <w:tc>
          <w:tcPr>
            <w:tcW w:type="dxa" w:w="1944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Demostrar</w:t>
            </w:r>
          </w:p>
        </w:tc>
        <w:tc>
          <w:tcPr>
            <w:tcW w:type="dxa" w:w="8208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Guardar prompts, productos, correcciones humanas y mediciones comparables; no declarar ahorros estimados como resultados.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Versión de facilitación · Recursos de práctica adjuntos en el libro de datos ficticios</w:t>
      </w: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Recorrido vigente con documentos generados por IA</w:t>
      </w:r>
    </w:p>
    <w:p>
      <w:pPr>
        <w:widowControl/>
      </w:pPr>
      <w:r>
        <w:rPr>
          <w:rFonts w:ascii="Aptos" w:hAnsi="Aptos"/>
        </w:rPr>
        <w:t>Esta versión adapta las instrucciones del material de origen de Bogotá. La ruta vigente incluye 10 retos breves, del 0 al 9, y un reto integrador. La propuesta tiene 40 horas: 36 horas directas y 4 autónomas. La oferta oficial consultada publica 48 horas; la adaptación requiere aprobación curricular y no constituye equivalencia. Las actividades de origen que aparecen después usan la numeración vigente de los retos; sus horarios se conservan como antecedentes, no como una agenda aprobada de la cohorte actual.</w:t>
      </w:r>
    </w:p>
    <w:p>
      <w:pPr>
        <w:widowControl/>
      </w:pPr>
      <w:r>
        <w:rPr>
          <w:rFonts w:ascii="Aptos" w:hAnsi="Aptos"/>
        </w:rPr>
        <w:t>1. Entregue el paquete y muestre cómo copiar el encargo y adjuntar las fuentes o abrir la carpeta en Antigravity o Codex. No solicite transcribir prompts ni llenar fichas.</w:t>
      </w:r>
    </w:p>
    <w:p>
      <w:pPr>
        <w:widowControl/>
      </w:pPr>
      <w:r>
        <w:rPr>
          <w:rFonts w:ascii="Aptos" w:hAnsi="Aptos"/>
        </w:rPr>
        <w:t>2. Pida a la IA el resultado indicado por el encargo y sus anexos. Acompañe la comprobación del aprendiz contra una cifra o afirmación de la fuente y la solicitud de ajustes.</w:t>
      </w:r>
    </w:p>
    <w:p>
      <w:pPr>
        <w:widowControl/>
      </w:pPr>
      <w:r>
        <w:rPr>
          <w:rFonts w:ascii="Aptos" w:hAnsi="Aptos"/>
        </w:rPr>
        <w:t>3. Muestre la descarga y la recepción de resultado.html o del formato indicado por el paquete en «Guarda tu evidencia». El guardado deja un borrador y la confirmación registra la revisión del aprendiz; la valoración corresponde al instructor.</w:t>
      </w:r>
    </w:p>
    <w:p>
      <w:pPr>
        <w:widowControl/>
      </w:pPr>
      <w:r>
        <w:rPr>
          <w:rFonts w:ascii="Aptos" w:hAnsi="Aptos"/>
        </w:rPr>
        <w:t>Los casos y archivos se prepararon para aprender y no contienen registros reales. No se requieren datos personales. Las mediciones y comprobaciones que no hayan ocurrido deben quedar pendientes.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100"/>
        <w:gridCol w:w="5100"/>
      </w:tblGrid>
      <w:tr>
        <w:trPr>
          <w:tblHeader/>
        </w:trPr>
        <w:tc>
          <w:tcPr>
            <w:tcW w:type="dxa" w:w="5100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Encargo vigente</w:t>
            </w:r>
          </w:p>
        </w:tc>
        <w:tc>
          <w:tcPr>
            <w:tcW w:type="dxa" w:w="5100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Paquete con fuentes e instrucciones</w:t>
            </w:r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0 · Decide qué información compartir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1">
              <w:r>
                <w:t>materiales/ia/reto-0.zip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1 · Convierte el lineamiento en una respuesta verificable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2">
              <w:r>
                <w:t>materiales/ia/reto-1.zip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2 · Prepara dos respuestas para revisión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3">
              <w:r>
                <w:t>materiales/ia/reto-2.zip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3 · Prueba una instrucción reutilizable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4">
              <w:r>
                <w:t>materiales/ia/reto-3.zip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4 · Bandeja de 50 mensajes con razones visibles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5">
              <w:r>
                <w:t>materiales/ia/reto-4.zip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5 · Acta que distingue acuerdo de intención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6">
              <w:r>
                <w:t>materiales/ia/reto-5.zip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6 · Datos desordenados con una regla reproducible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7">
              <w:r>
                <w:t>materiales/ia/reto-6.zip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7 · Diseña el flujo antes de automatizar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8">
              <w:r>
                <w:t>materiales/ia/reto-7.zip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8 · Presupuesto, tasa y gráfico con unidades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19">
              <w:r>
                <w:t>materiales/ia/reto-8.zip</w:t>
              </w:r>
            </w:hyperlink>
          </w:p>
        </w:tc>
      </w:tr>
      <w:tr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9 · Auditoría de una respuesta convincente ✦</w:t>
            </w:r>
          </w:p>
        </w:tc>
        <w:tc>
          <w:tcPr>
            <w:tcW w:type="dxa" w:w="510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20">
              <w:r>
                <w:t>materiales/ia/reto-9.zip</w:t>
              </w:r>
            </w:hyperlink>
          </w:p>
        </w:tc>
      </w:tr>
      <w:tr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r>
              <w:rPr>
                <w:rFonts w:ascii="Aptos" w:hAnsi="Aptos"/>
                <w:color w:val="243746"/>
                <w:sz w:val="18"/>
              </w:rPr>
              <w:t>Reto integrador · Plan, análisis y sustentación</w:t>
            </w:r>
          </w:p>
        </w:tc>
        <w:tc>
          <w:tcPr>
            <w:tcW w:type="dxa" w:w="5100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/>
            </w:pPr>
            <w:hyperlink r:id="rId21">
              <w:r>
                <w:t>materiales/ia/reto-integrador.zip</w:t>
              </w:r>
            </w:hyperlink>
          </w:p>
        </w:tc>
      </w:tr>
    </w:tbl>
    <w:p>
      <w:pPr>
        <w:widowControl/>
      </w:pPr>
      <w:r>
        <w:rPr>
          <w:rFonts w:ascii="Aptos" w:hAnsi="Aptos"/>
        </w:rPr>
        <w:t>Los paquetes contienen ENCARGO-CHAT.md, ENCARGO-IDE.md, fuentes, modelo-salida.json y esquema-salida.json. El encargo se copia sin editarlo. El texto entre corchetes de un modelo señala un dato pendiente y no se presenta como un resultado. La conversación se conserva junto con los archivos; importar o descargar no demuestra una revisión humana ni una aprobación institucional.</w:t>
      </w:r>
    </w:p>
    <w:p>
      <w:pPr>
        <w:pStyle w:val="Heading1"/>
        <w:widowControl/>
      </w:pPr>
      <w:r>
        <w:rPr>
          <w:rFonts w:ascii="Aptos" w:hAnsi="Aptos"/>
        </w:rPr>
        <w:t>Actividades del material de origen adaptadas para IA</w:t>
      </w:r>
    </w:p>
    <w:p>
      <w:pPr>
        <w:pStyle w:val="Heading1"/>
        <w:widowControl/>
      </w:pPr>
      <w:r>
        <w:rPr>
          <w:rFonts w:ascii="Aptos" w:hAnsi="Aptos"/>
        </w:rPr>
        <w:t>Cómo usar este kit</w:t>
      </w:r>
    </w:p>
    <w:p>
      <w:pPr>
        <w:widowControl/>
      </w:pPr>
      <w:r>
        <w:rPr>
          <w:rFonts w:ascii="Aptos" w:hAnsi="Aptos"/>
        </w:rPr>
        <w:t>Antes de cada jornada, revise la agenda de origen y la ruta web vigente. Prepare un chat autorizado o un IDE como Antigravity o Codex. Modele cómo copiar el encargo, adjuntar las fuentes, revisar la salida y descargar los documentos; la IA prepara los productos y el aprendiz los contrasta.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Guía del facilitador: secuencia de los 36 bloques y fichas de conducción de los 24 bloques de aprendizaje.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Cartilla del aprendiz: retos, misiones, pasos, prompts y productos que debe entregar cada equipo.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Libro Materiales de práctica: fuentes preparadas para aprender y fichas de referencia que la IA completa sobre una copia, sin modificar los datos originales.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Bitácora de facilitación: agenda, registro de evidencias, rúbrica del reto integrador y transferencia a 30 días.</w:t>
      </w:r>
    </w:p>
    <w:p>
      <w:pPr>
        <w:pStyle w:val="Heading2"/>
        <w:widowControl/>
      </w:pPr>
      <w:r>
        <w:rPr>
          <w:rFonts w:ascii="Aptos" w:hAnsi="Aptos"/>
        </w:rPr>
        <w:t>Preparación general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Confirme proyector, conexión, acceso individual o por parejas y permisos de uso de las herramientas disponibles.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Descargue o distribuya copias de práctica; conserve una copia original sin editar y pida que cada equipo trabaje sobre duplicados.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Si falta acceso a una herramienta autorizada, use una demostración ya preparada. Deje pendiente la ejecución propia con IA; no la sustituya por digitación ni registre una práctica que no ocurrió.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Organice equipos diversos según el grupo real. Roles sugeridos: facilitador del equipo, navegador, verificador y relator; roten roles cuando el tamaño lo permita.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Use temporizador visible. Anuncie el producto esperado y los minutos de cada fase antes de empezar.</w:t>
      </w:r>
    </w:p>
    <w:p>
      <w:pPr>
        <w:pStyle w:val="Heading2"/>
        <w:widowControl/>
      </w:pPr>
      <w:r>
        <w:rPr>
          <w:rFonts w:ascii="Aptos" w:hAnsi="Aptos"/>
        </w:rPr>
        <w:t>Acuerdos de seguridad y calidad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Regla</w:t>
            </w:r>
          </w:p>
        </w:tc>
        <w:tc>
          <w:tcPr>
            <w:tcW w:type="dxa" w:w="5083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Aplicación durante el curso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Datos</w:t>
            </w:r>
          </w:p>
        </w:tc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No pegar nombres, identificaciones, casos ciudadanos, credenciales, expedientes ni información interna en servicios sin autorización.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Fuentes</w:t>
            </w:r>
          </w:p>
        </w:tc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La IA no acredita normas ni procedimientos por sí sola. Contraste afirmaciones con el documento de origen y su vigencia.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Decisiones</w:t>
            </w:r>
          </w:p>
        </w:tc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Las salidas son borradores de entrenamiento. No enviar respuestas, correos, actas ni decisiones sin aprobación humana.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Incertidumbre</w:t>
            </w:r>
          </w:p>
        </w:tc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Marque lo que falta como pendiente o por confirmar. No complete vacíos por intuición.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Productividad</w:t>
            </w:r>
          </w:p>
        </w:tc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Compare la misma tarea, volumen y estándar de calidad. Registre correcciones y autorización antes de contabilizar ahorro.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Hackathon</w:t>
            </w:r>
          </w:p>
        </w:tc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Una diferencia en los datos ficticios es una pregunta de revisión, no prueba de incumplimiento, irregularidad o fraude.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br w:type="page"/>
      </w:r>
    </w:p>
    <w:p>
      <w:pPr>
        <w:pStyle w:val="Heading1"/>
        <w:widowControl/>
      </w:pPr>
      <w:r>
        <w:rPr>
          <w:rFonts w:ascii="Aptos" w:hAnsi="Aptos"/>
        </w:rPr>
        <w:t>Agenda de las cuatro jornadas</w:t>
      </w:r>
    </w:p>
    <w:p>
      <w:pPr>
        <w:widowControl/>
      </w:pPr>
      <w:r>
        <w:rPr>
          <w:rFonts w:ascii="Aptos" w:hAnsi="Aptos"/>
        </w:rPr>
        <w:t>La siguiente tabla conserva las horas y los bloques de la agenda base. Las fichas siguientes detallan la conducción paso a paso de los bloques de aprendizaje; las pausas y el almuerzo mantienen su propósito de descanso y reanudación.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Día</w:t>
            </w:r>
          </w:p>
        </w:tc>
        <w:tc>
          <w:tcPr>
            <w:tcW w:type="dxa" w:w="129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Hora</w:t>
            </w:r>
          </w:p>
        </w:tc>
        <w:tc>
          <w:tcPr>
            <w:tcW w:type="dxa" w:w="605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240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Bloque</w:t>
            </w:r>
          </w:p>
        </w:tc>
        <w:tc>
          <w:tcPr>
            <w:tcW w:type="dxa" w:w="417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Evidencia o cierre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1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07:00–08:30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90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Apertura: IA en el trabajo administrativo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Lista de tareas candidatas y una medición inicial de tiempo para una tarea representativa.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1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08:30–10:00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90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1: Prompt Engineering 101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Prompt inicial y versión mejorada con criterios de verificación.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1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10:00–10:30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activa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realizada.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1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10:30–12:30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2: El teléfono roto de las PQRS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Borrador, prompt usado, número de iteraciones y lista de verificaciones humanas.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1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12:30–14:00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90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Almuerzo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Almuerzo realizado.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1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14:00–16:00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Domando la burocracia: gestión de texto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Resumen, tabla de responsabilidades y referencias al documento fuente.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1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16:00–16:30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activa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realizada.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1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16:30–18:30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3: Clonación de roles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Prompt reutilizable con contexto, tareas permitidas, formato y límites.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1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18:30–19:00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Retrospectiva y Bóveda del Tiempo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Registro del reto y reflexión de cierre.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2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07:00–09:00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La bandeja de entrada inteligente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Resumen y borradores con tono adaptado y hechos verificados.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2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09:00–10:00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60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4: Bandeja cero en tiempo récord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Matriz de prioridad y 10 borradores con la razón de priorización.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2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10:00–10:30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activa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realizada.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2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10:30–12:30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Documentación colaborativa y reuniones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Borrador de plan con fuente, supuestos y puntos pendientes.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2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12:30–14:00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90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Almuerzo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Almuerzo realizado.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2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14:00–16:00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5: El acta imposible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Acta, lista de compromisos y vacíos que requieren confirmación.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2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16:00–16:30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activa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realizada.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2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16:30–18:30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Integración: el flujo de trabajo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Cadena correo–plan–anuncio con borradores y fuentes enlazadas.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2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18:30–19:00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Retrospectiva y Bóveda del Tiempo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Registro del reto y aprendizaje del día.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3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07:00–09:00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Hablando con las celdas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Tabla de práctica y fórmula revisada con un cálculo de control.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3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09:00–10:00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60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6: El informe sucio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Base estandarizada y lista de reglas de limpieza.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3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10:00–10:30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activa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realizada.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3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10:30–12:30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Visualización y preguntas estratégicas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Gráfico y respuesta acompañados del filtro y el cálculo.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3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12:30–14:00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90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Almuerzo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Almuerzo realizado.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3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14:00–16:00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8: El presupuesto oculto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Tres conclusiones ejecutivas con cálculos y límites visibles.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3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16:00–16:30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activa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realizada.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3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16:30–18:30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Storytelling ejecutivo con IA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Presentación de cinco diapositivas con notas y fuente de datos.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3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18:30–19:00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Retrospectiva: alucinaciones numéricas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Lista de comprobación numérica para el hackathon.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4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07:00–08:00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60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Reglas y alineación de equipos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Equipos y plan de trabajo inicial.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4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08:00–10:00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Fase 1: planeación del caso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Plan de trabajo priorizado y preguntas de verificación.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4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10:00–10:30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activa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realizada.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4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10:30–12:30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Fase 2: ejecución y generación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Base revisada, borradores y estructura del informe con evidencia.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4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12:30–14:00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90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Almuerzo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Almuerzo realizado.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4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14:00–16:00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Fase 3: presentación de soluciones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Presentación, prompts utilizados y evidencia del tiempo reportado.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4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16:00–16:30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de celebración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Pausa realizada.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4</w:t>
            </w:r>
          </w:p>
        </w:tc>
        <w:tc>
          <w:tcPr>
            <w:tcW w:type="dxa" w:w="129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16:30–18:00</w:t>
            </w:r>
          </w:p>
        </w:tc>
        <w:tc>
          <w:tcPr>
            <w:tcW w:type="dxa" w:w="605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90</w:t>
            </w:r>
          </w:p>
        </w:tc>
        <w:tc>
          <w:tcPr>
            <w:tcW w:type="dxa" w:w="3240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Evaluación, retroalimentación y premiación</w:t>
            </w:r>
          </w:p>
        </w:tc>
        <w:tc>
          <w:tcPr>
            <w:tcW w:type="dxa" w:w="417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Rúbricas diligenciadas y retroalimentación por equipo.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Día 4</w:t>
            </w:r>
          </w:p>
        </w:tc>
        <w:tc>
          <w:tcPr>
            <w:tcW w:type="dxa" w:w="129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18:00–19:00</w:t>
            </w:r>
          </w:p>
        </w:tc>
        <w:tc>
          <w:tcPr>
            <w:tcW w:type="dxa" w:w="605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60</w:t>
            </w:r>
          </w:p>
        </w:tc>
        <w:tc>
          <w:tcPr>
            <w:tcW w:type="dxa" w:w="3240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Cierre y transferencia al puesto</w:t>
            </w:r>
          </w:p>
        </w:tc>
        <w:tc>
          <w:tcPr>
            <w:tcW w:type="dxa" w:w="417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Compromiso de transferencia diligenciado y dueño del seguimiento.</w:t>
            </w:r>
          </w:p>
        </w:tc>
      </w:tr>
    </w:tbl>
    <w:p>
      <w:pPr>
        <w:widowControl/>
        <w:spacing w:after="0"/>
      </w:pPr>
    </w:p>
    <w:p>
      <w:pPr>
        <w:pStyle w:val="Heading1"/>
        <w:widowControl/>
      </w:pPr>
      <w:r>
        <w:rPr>
          <w:rFonts w:ascii="Aptos" w:hAnsi="Aptos"/>
        </w:rPr>
        <w:t>Guía de conducción por bloque</w:t>
      </w:r>
    </w:p>
    <w:p>
      <w:pPr>
        <w:widowControl/>
      </w:pPr>
      <w:r>
        <w:rPr>
          <w:rFonts w:ascii="Aptos" w:hAnsi="Aptos"/>
        </w:rPr>
        <w:t>Cada ficha conserva preparación, recursos y tiempos del material de origen. Las tablas siguientes son un guion para proyectar al aprendiz: la IA genera documentos y el aprendiz revisa las fuentes. Los encargos vigentes están completos en los paquetes enlazados; no requieren llenar plantillas.</w:t>
      </w:r>
    </w:p>
    <w:p>
      <w:pPr>
        <w:pStyle w:val="Heading2"/>
        <w:widowControl/>
      </w:pPr>
      <w:r>
        <w:rPr>
          <w:rFonts w:ascii="Aptos" w:hAnsi="Aptos"/>
        </w:rPr>
        <w:t>1. Apertura IA en el trabajo administrativo</w:t>
      </w:r>
    </w:p>
    <w:p>
      <w:pPr>
        <w:widowControl/>
        <w:spacing w:after="60"/>
      </w:pPr>
      <w:r>
        <w:rPr>
          <w:rFonts w:ascii="Aptos" w:hAnsi="Aptos"/>
        </w:rPr>
        <w:t>Preparación: Abra PQRS 50 y ensaye el acceso al asistente autorizado. Explique que los archivos se prepararon para aprender y no contienen registros reales.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PQRS 50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Bienvenida, propósito y acuerdos de cuidado de datos.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Demostración cronometrada para clasificar 50 solicitudes ficticias; observa el tiempo y los errores.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en plenaria cinco casos y separa hechos, sugerencias y datos faltantes.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una propuesta de tarea repetitiva del caso y su unidad. Si no hay observaciones del tiempo actual, la línea base queda pendiente.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una pregunta de transferencia y un registro de línea base; comprueba que el tiempo no medido quede pendiente.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90 minutos. Bloque en agenda: 90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Clasifica estas solicitudes por tema y urgencia usando solo señales explícitas del texto. Devuelve código, tema, urgencia sugerida, señal que sustenta la urgencia y dato faltante. No inventes plazos, responsables ni respuestas oficiales.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Matriz de clasificación, revisión de cinco casos y tarea repetitiva con línea base.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La IA puede clasificar, pero la urgencia sugerida se contrasta con criterios humanos. No se presenta un ahorro como real sin comparar la misma tarea y calidad.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2. Reto 1 Prompt Engineering 101</w:t>
      </w:r>
    </w:p>
    <w:p>
      <w:pPr>
        <w:widowControl/>
        <w:spacing w:after="60"/>
      </w:pPr>
      <w:r>
        <w:rPr>
          <w:rFonts w:ascii="Aptos" w:hAnsi="Aptos"/>
        </w:rPr>
        <w:t>Preparación: Tenga a la vista el encargo CRTT completo y el Lineamiento ficticio del paquete, sin datos personales.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Lineamiento ficticio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explique Contexto, Rol, Tarea y Tono con un ejemplo del lineamiento adjunto.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compare el encargo con una versión incompleta y señale qué información falta.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Copia el encargo preparado y adjunta el lineamiento. La IA genera la ficha CRTT y la respuesta con referencias.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que la respuesta generada cite reglas presentes en el material y deje visibles los vacíos.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 ajuste a partir del error u omisión que detectaste y comprueba la nueva salida.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Compara las dos versiones y descarga el registro y el encargo reutilizable que genera la IA.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90 minutos. Bloque en agenda: 90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Contexto: estoy orientando una consulta sobre el procedimiento ficticio de uso de salas. Rol: asistente administrativo que explica sin reemplazar a la persona responsable. Tarea: responde la pregunta únicamente con la guía adjunta, cita el apartado y señala qué dato falta. Tono: claro, respetuoso e institucional. No completes con normas externas.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Prompt inicial, versión mejorada y verificación contra la guía.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La salida cita el material entregado, responde la pregunta y marca la incertidumbre. Si no encuentra respaldo, debe decirlo.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3. Reto 2 El teléfono roto de las PQRS</w:t>
      </w:r>
    </w:p>
    <w:p>
      <w:pPr>
        <w:widowControl/>
        <w:spacing w:after="60"/>
      </w:pPr>
      <w:r>
        <w:rPr>
          <w:rFonts w:ascii="Aptos" w:hAnsi="Aptos"/>
        </w:rPr>
        <w:t>Preparación: Asigne los casos del paquete y proyecte los criterios para contrastar los borradores generados por la IA.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PQRS complejas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Abre el caso y comprueba que el resultado esperado sea un borrador pendiente de aprobación.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una tabla de petición, hechos, fechas expresas y datos ausentes; contrástala con el caso.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Copia el encargo CRTT del paquete, adjunta el caso y pide a la IA la primera versión descargable.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Contrasta la respuesta con el caso. Pide a la IA que identifique afirmaciones sin sustento.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corrija el borrador e incluya una pregunta de aclaración cuando falte un dato.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con otro equipo la exactitud y el tono; solicita a la IA los ajustes que acuerden.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Descarga el encargo, el borrador y el registro generado; comprueba que las observaciones no se atribuyan a una revisión que no ocurrió.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Usa solo el texto de la solicitud y la ficha de procedimiento incluida en el material. Prepara un borrador respetuoso que resuma la petición y proponga los pasos respaldados por esa ficha. No cites leyes externas, no inventes fechas ni decisiones. Separa al final los datos faltantes y las afirmaciones que debe validar un funcionario.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Borrador, prompt, iteraciones y lista de afirmaciones verificadas o pendientes.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Cero datos personales; ninguna fecha, norma, responsable o decisión inventada; tono claro; revisión humana visible.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4. Domando la burocracia Gestión de texto</w:t>
      </w:r>
    </w:p>
    <w:p>
      <w:pPr>
        <w:widowControl/>
        <w:spacing w:after="60"/>
      </w:pPr>
      <w:r>
        <w:rPr>
          <w:rFonts w:ascii="Aptos" w:hAnsi="Aptos"/>
        </w:rPr>
        <w:t>Preparación: Use el lineamiento de práctica o una fuente pública cuya vigencia ya haya comprobado; adjúntela al encargo de la IA.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Lineamiento ficticio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Presenta el objetivo y muestra cómo referenciar un fragmento fuente.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Lee el material e identifica encabezados, fechas, responsables y excepciones.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 resumen ejecutivo de cinco puntos con referencias a apartados y comprueba su trazabilidad.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 tabla de acciones, responsables, condiciones y fechas, sin completar datos ausentes.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Verifica cada fila en el texto original y marca lo que no aparece.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Dos parejas comparan los resúmenes y comentan omisiones.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Resume el material en cinco puntos. Para cada punto incluye el apartado que lo respalda. Después extrae acción, responsable mencionado, plazo explícito y condición. Escribe 'no especificado' cuando el documento no contenga un dato. No infieras una fecha ni una obligación.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Resumen con referencias y tabla de responsabilidades revisada contra la fuente.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Las referencias permiten ubicar el texto; se conservan condiciones y excepciones; las ausencias quedan visibles.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5. Reto 3 Clonación de roles</w:t>
      </w:r>
    </w:p>
    <w:p>
      <w:pPr>
        <w:widowControl/>
        <w:spacing w:after="60"/>
      </w:pPr>
      <w:r>
        <w:rPr>
          <w:rFonts w:ascii="Aptos" w:hAnsi="Aptos"/>
        </w:rPr>
        <w:t>Preparación: Pida usar los tres casos del paquete para probar la instrucción. No solicite casos reales del puesto de trabajo.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Cartilla del aprendiz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 mapa de la tarea de práctica y su resultado esperado; comprueba las entradas y las salidas.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genere el prompt maestro con rol, contexto, tareas, formato y límites definidos por el paquete.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Encarga a la IA las tres pruebas con la misma instrucción y revisa el caso con información faltante.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Una pareja revisa utilidad, errores y datos que la IA solicitó innecesariamente.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Solicita a la IA el ajuste de límites y de la instrucción de verificación; vuelve a comprobar las pruebas afectadas.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Descarga la versión revisada y el ejemplo de uso seguro que genera la IA.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</w:rPr>
        <w:t>Prompt de demostración: Actúa como asistente de redacción preliminar de PQRS. Usa los tres casos del paquete y genera una instrucción reutilizable, sus tres salidas y la tabla de comprobaciones. Entrega archivos descargables y resultado.json. No inventes normativa, fechas, personas, decisiones ni revisiones humanas; conserva los datos ausentes como pendientes.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Prompt maestro y resultados de tres pruebas simuladas.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El prompt define límites y exige revisión humana; no incorpora nombres, cédulas, expedientes ni credenciales.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6. Retrospectiva Día 1</w:t>
      </w:r>
    </w:p>
    <w:p>
      <w:pPr>
        <w:widowControl/>
        <w:spacing w:after="60"/>
      </w:pPr>
      <w:r>
        <w:rPr>
          <w:rFonts w:ascii="Aptos" w:hAnsi="Aptos"/>
        </w:rPr>
        <w:t>Preparación: Deje visibles los archivos generados y las preguntas de cierre; no solicite transcribir las evidencias.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Registro Bóveda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una síntesis de la conversación con un aprendizaje y una duda; revisa que no invente experiencias tuyas.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Intercambio por parejas: qué resultado requirió corrección.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Plenaria: elige un prompt que mejoró la precisión.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Descarga el registro generado por la IA y comprueba que todo ahorro no validado siga pendiente.</w:t>
            </w:r>
          </w:p>
        </w:tc>
      </w:tr>
    </w:tbl>
    <w:p>
      <w:pPr>
        <w:widowControl/>
        <w:spacing w:after="0"/>
      </w:pP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¿Qué resultado verificamos, qué cambió después de corregir el prompt y qué decisión debe seguir en manos de una persona?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Aprendizaje, duda y evidencia que respalda cualquier tiempo registrado.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No se suman minutos estimados como horas ahorradas sin comparación equivalente y aprobación.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7. Bandeja de entrada inteligente</w:t>
      </w:r>
    </w:p>
    <w:p>
      <w:pPr>
        <w:widowControl/>
        <w:spacing w:after="60"/>
      </w:pPr>
      <w:r>
        <w:rPr>
          <w:rFonts w:ascii="Aptos" w:hAnsi="Aptos"/>
        </w:rPr>
        <w:t>Preparación: Prepare el hilo del material de práctica y compruebe el asistente autorizado disponible.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Correos 50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Explica qué puede resumirse y qué no se debe enviar a un servicio no autorizado.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Demuestra un resumen del hilo con hechos, acuerdos y pendientes.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dos versiones de respuesta con tonos distintos y comprueba que ambas conserven los hechos.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Cada persona trabaja un caso ficticio y detecta supuestos.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En parejas comparan tono, exactitud y cortesía.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Cierran con un borrador listo para revisión, sin enviarlo.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</w:rPr>
        <w:t>Prompt de demostración: Resume el hilo adjunto en hechos confirmados, solicitudes, acuerdos y asuntos pendientes. Genera dos borradores descargables: uno conciliador y otro directivo. No agregues compromisos ni fechas ausentes. Incluye lo que el responsable debe comprobar antes de un eventual envío autorizado.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Resumen y borrador marcado como pendiente de revisión.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No se envía el mensaje; se valida destinatario, compromisos, fecha y tono antes del uso real.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8. Reto 4 Bandeja cero en tiempo récord</w:t>
      </w:r>
    </w:p>
    <w:p>
      <w:pPr>
        <w:widowControl/>
        <w:spacing w:after="60"/>
      </w:pPr>
      <w:r>
        <w:rPr>
          <w:rFonts w:ascii="Aptos" w:hAnsi="Aptos"/>
        </w:rPr>
        <w:t>Preparación: Entregue una copia de Correos 50 con su encargo y confirme las señales de prioridad que debe usar la IA.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Correos 50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el encargo preparado y las señales de prioridad: impacto, plazo explícito y personas afectadas.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Adjunta una copia del archivo y comprueba que la IA conserve los identificadores y los datos originales.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 tabla de los 50 mensajes con categoría, prioridad sugerida y señal textual.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los diez mensajes priorizados con la señal de cada elección; contrasta los criterios con el texto.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los diez borradores descargables y comprueba que permanezcan sin enviar.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incorpore los errores detectados y los ajustes solicitados en el registro descargable.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60 minutos. Bloque en agenda: 60 minutos.</w:t>
      </w:r>
    </w:p>
    <w:p>
      <w:pPr>
        <w:widowControl/>
        <w:spacing w:after="60"/>
      </w:pPr>
      <w:r>
        <w:rPr>
          <w:rFonts w:ascii="Aptos" w:hAnsi="Aptos"/>
        </w:rPr>
        <w:t>Prompt de demostración: Clasifica estos mensajes con prioridad alta, media o baja usando solamente impacto, plazo expreso y personas afectadas. Devuelve ID, prioridad sugerida, señal textual y acción de revisión. No inventes SLA. Luego propón borradores para los diez mensajes priorizados, sin enviar nada.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Matriz de clasificación, razones de prioridad y diez borradores revisados.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Las prioridades se justifican con evidencia del mensaje; los mensajes críticos se confirman con el criterio del área.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9. Documentación colaborativa y reuniones</w:t>
      </w:r>
    </w:p>
    <w:p>
      <w:pPr>
        <w:widowControl/>
        <w:spacing w:after="60"/>
      </w:pPr>
      <w:r>
        <w:rPr>
          <w:rFonts w:ascii="Aptos" w:hAnsi="Aptos"/>
        </w:rPr>
        <w:t>Preparación: Abra la directriz y el lineamiento de práctica en copias separadas; indique que ambos se adjuntan al encargo.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Directriz y Lineamiento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Muestra cómo generar un borrador a partir de dos insumos.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una tabla de propósito, restricciones y preguntas pendientes por archivo; contrástala con las fuentes.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plan con objetivo, actividad, responsable por confirmar y fuente; revisa los datos ausentes.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Verifica si cada afirmación se respalda en los archivos.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revisión a otra pareja.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Guarda el borrador y los pendientes.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Con base únicamente en los dos insumos, crea un borrador de plan de capacitación con objetivo, actividades, materiales y datos por confirmar. Marca cada dato que no esté definido como 'pendiente'. No asignes responsables ni fechas que no aparezcan.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Plan borrador con fuentes y lista de vacíos.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No se presenta como instrucción aprobada; los responsables y fechas se confirman con el dueño del proceso.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10. Reto 5 El acta imposible</w:t>
      </w:r>
    </w:p>
    <w:p>
      <w:pPr>
        <w:widowControl/>
        <w:spacing w:after="60"/>
      </w:pPr>
      <w:r>
        <w:rPr>
          <w:rFonts w:ascii="Aptos" w:hAnsi="Aptos"/>
        </w:rPr>
        <w:t>Preparación: Abra Transcripcion y el encargo para que la IA genere el acta y la extracción de compromisos.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Transcripcion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 ejemplo de la diferencia entre una decisión y una intervención usando la transcripción adjunta.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Lee la transcripción para reconocer el contexto y luego adjúntala al encargo de la IA.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 extracción de decisiones, acciones, responsables, fechas y puntos sin acuerdo, con su frase fuente.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borrador de acta a partir de la extracción y conserva los datos ausentes como pendientes.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Comprueba cada decisión y compromiso contra la transcripción.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Compara el acta con otro equipo y pide a la IA las correcciones respaldadas por la transcripción.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Descarga el acta, la lista de datos faltantes y resultado.json preparados por la IA.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Prepara un borrador de acta usando solo la transcripción. Separa decisiones, compromisos y asuntos discutidos sin decisión. Para cada compromiso registra responsable y fecha únicamente si se mencionan. Marca 'por confirmar' cuando falte alguno. Incluye la frase de origen que respalda cada decisión.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Acta, matriz de compromisos y lista de vacíos.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No se atribuye un compromiso a quien no lo aceptó; no se transforma una propuesta en decisión; fechas y responsables se rastrean a la transcripción.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11. Integración El flujo de trabajo perfecto</w:t>
      </w:r>
    </w:p>
    <w:p>
      <w:pPr>
        <w:widowControl/>
        <w:spacing w:after="60"/>
      </w:pPr>
      <w:r>
        <w:rPr>
          <w:rFonts w:ascii="Aptos" w:hAnsi="Aptos"/>
        </w:rPr>
        <w:t>Preparación: Entregue Directriz y el encargo para que la IA genere el plan y el anuncio, sin plantillas que el aprendiz deba llenar.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Directriz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Lee el correo simulado y señala el encargo.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resumen de hechos y preguntas pendientes; comprueba que no convierta suposiciones en hechos.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plan de acción con fuente y responsables por confirmar, pendiente de aprobación.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anuncio para Teams y conserva el archivo como borrador sin enviar.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Otra pareja rastrea cada punto hasta su fuente.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Presenta el flujo y su control humano.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A partir de este correo ficticio, genera primero un resumen de solicitudes y restricciones. Después crea un plan de acción y un anuncio para Teams. Distingue hechos de sugerencias, no completes datos faltantes y marca ambos textos como borradores pendientes de aprobación.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Secuencia correo, plan y anuncio con fuentes rastreables.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No se envían mensajes; el plan no crea responsables o compromisos sin autorización.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12. Retrospectiva Día 2</w:t>
      </w:r>
    </w:p>
    <w:p>
      <w:pPr>
        <w:widowControl/>
        <w:spacing w:after="60"/>
      </w:pPr>
      <w:r>
        <w:rPr>
          <w:rFonts w:ascii="Aptos" w:hAnsi="Aptos"/>
        </w:rPr>
        <w:t>Preparación: Tenga a la mano los archivos generados y un ejemplo cuyo estado de revisión se haya comprobado.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Registro Bóveda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señale los borradores con datos pendientes y revisa con sus fuentes por qué aún no pueden enviarse.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Contrasta respuestas en parejas.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Plenaria sobre datos faltantes y tono.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Descarga el registro generado por la IA; comprueba qué evidencias están revisadas y cuáles siguen pendientes.</w:t>
            </w:r>
          </w:p>
        </w:tc>
      </w:tr>
    </w:tbl>
    <w:p>
      <w:pPr>
        <w:widowControl/>
        <w:spacing w:after="0"/>
      </w:pP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¿Qué paso de revisión evitó una respuesta o compromiso incorrecto?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Un control humano explícito y una evidencia del reto.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Distingue tiempo de redacción de tiempo total de revisión.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13. Hablando con las celdas</w:t>
      </w:r>
    </w:p>
    <w:p>
      <w:pPr>
        <w:widowControl/>
        <w:spacing w:after="60"/>
      </w:pPr>
      <w:r>
        <w:rPr>
          <w:rFonts w:ascii="Aptos" w:hAnsi="Aptos"/>
        </w:rPr>
        <w:t>Preparación: Abra Datos SOFIA y prepare una copia para que la IA genere las transformaciones y las fórmulas sin alterar la fuente.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Datos SOFIA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Explora encabezados, tipos de dato y calidad.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 fórmula con la explicación de cada parte y un caso de control reproducible.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Encarga a la IA la transformación de una copia de la tabla y revisa una muestra con la fuente.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el cálculo de control generado con una fórmula o un script y comprueba un caso límite contra la fuente.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 regla de formato condicional con su criterio explicado y comprueba un caso que activa la regla.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organice la comprobación realmente realizada; la pareja revisa que no se atribuya una validación inexistente.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Cierra con una duda.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Describe cómo estandarizar la columna de fecha sin modificar la fuente. Indica la fórmula exacta, la lógica y un ejemplo verificable. Señala registros vacíos o ambiguos y no inventes su valor.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Copia transformada, fórmula explicada y cálculo de control.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Conserva la fuente, prueba filas incompletas y confirma los resultados fuera de la IA.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14. Reto 6 El informe sucio</w:t>
      </w:r>
    </w:p>
    <w:p>
      <w:pPr>
        <w:widowControl/>
        <w:spacing w:after="60"/>
      </w:pPr>
      <w:r>
        <w:rPr>
          <w:rFonts w:ascii="Aptos" w:hAnsi="Aptos"/>
        </w:rPr>
        <w:t>Preparación: Distribuya una copia de Datos SOFIA y su encargo; estos registros preparados para aprender no corresponden a personas reales.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Datos SOFIA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el objetivo del encargo y conserva el archivo original; la IA debe trabajar en una copia.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conteo de vacíos, duplicados y variantes antes de limpiar; contrasta una muestra con la fuente.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Encarga a la IA la normalización de estados y fechas válidas y la documentación de cada regla aplicada.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señale los registros que requieren decisión y deje sus valores pendientes, sin inferirlos.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Otra pareja revisa una muestra y un caso límite.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Descarga la copia limpia, las reglas y la bitácora que genera la IA; conserva la fuente.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60 minutos. Bloque en agenda: 60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Analiza esta tabla ficticia. Devuelve reglas de limpieza para espacios, mayúsculas y formatos de fecha. No elimines duplicados ni completes vacíos sin identificarlos. Propón una columna de observación para los casos que requieren decisión humana.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Copia depurada, conteo antes/después y reglas documentadas.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No se pierde el original; duplicados y vacíos quedan registrados; ninguna fecha ambigua se infiere.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15. Visualización y preguntas estratégicas</w:t>
      </w:r>
    </w:p>
    <w:p>
      <w:pPr>
        <w:widowControl/>
        <w:spacing w:after="60"/>
      </w:pPr>
      <w:r>
        <w:rPr>
          <w:rFonts w:ascii="Aptos" w:hAnsi="Aptos"/>
        </w:rPr>
        <w:t>Preparación: Abra Gastos Q1 y el encargo con su pregunta, población y periodo para el análisis con IA.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Gastos Q1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delimite variables, periodo y unidad de la pregunta del encargo; revisa la selección.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 tabla de resumen por centro con filtros, fórmulas y unidades visibles.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 gráfico ordenado con eje desde cero y su tabla equivalente; comprueba las etiquetas.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otra selección del filtro y comprueba con las filas fuente cómo cambian los totales.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redacte el hallazgo con valor, alcance y límites; contrástalo con la tabla y el gráfico.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Otro equipo verifica la fuente y la lectura.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Para Q1, suma por centro los gastos de papelería de enero, febrero y marzo. Ordena de mayor a menor y crea un gráfico de barras con unidades en pesos simulados. Muestra el filtro usado y el total calculado.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Tabla dinámica o resumen, gráfico y oración que responda la pregunta.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Se suman los tres meses del mismo periodo; se conserva la unidad; no se confunde gasto más alto con desempeño mejor.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16. Reto 8 El presupuesto oculto</w:t>
      </w:r>
    </w:p>
    <w:p>
      <w:pPr>
        <w:widowControl/>
        <w:spacing w:after="60"/>
      </w:pPr>
      <w:r>
        <w:rPr>
          <w:rFonts w:ascii="Aptos" w:hAnsi="Aptos"/>
        </w:rPr>
        <w:t>Preparación: Entregue Bienestar y su encargo. Pida que la IA trabaje sobre una copia y genere cálculos, gráfico y tabla equivalente.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Bienestar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con la fuente las definiciones, el periodo y los tamaños de población que usará la IA.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las tasas y el presupuesto por aprendiz con numerador, denominador y fórmula visibles.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gráfico de presupuesto por aprendiz y deserción con su tabla equivalente y valores atípicos identificados.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Solicita a la IA tres conclusiones con evidencia y límite.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 cálculo de control, contrástalo con la fuente y solicita retirar afirmaciones causales sin respaldo.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la conclusión y la pregunta de gestión generadas por la IA antes de compartir el resultado.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guarde el hallazgo con alcance, límites y pendientes en el documento descargable.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Con la tabla, describe asociaciones entre presupuesto por aprendiz, participación y tasa de deserción. Cita los valores y el número de centros. No infieras causalidad. Enumera variables que podrían explicar diferencias y un análisis adicional necesario.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Cálculos, gráfico y tres conclusiones descriptivas con limitaciones.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La tasa usa deserciones/aprendices matriculados; el presupuesto está en COP ficticios; asociación no prueba causalidad.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17. Storytelling ejecutivo con IA</w:t>
      </w:r>
    </w:p>
    <w:p>
      <w:pPr>
        <w:widowControl/>
        <w:spacing w:after="60"/>
      </w:pPr>
      <w:r>
        <w:rPr>
          <w:rFonts w:ascii="Aptos" w:hAnsi="Aptos"/>
        </w:rPr>
        <w:t>Preparación: Conserve las tres conclusiones y el gráfico del Reto 8. Compruebe su revisión antes de adjuntarlos al encargo de presentación.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Bienestar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la audiencia y la decisión delimitadas en el encargo de presentación para la IA.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separe evidencia, interpretación y recomendación en la presentación.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cinco diapositivas con un mensaje por lámina y sin agregar cifras ajenas a las fuentes.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las notas del orador y las referencias al cálculo; comprueba cada afirmación.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legibilidad, causalidad, escalas e imágenes.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Presenta en dos minutos y recibe una observación.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Crea un esquema de cinco diapositivas para una reunión directiva con estas conclusiones verificadas. En cada lámina separa dato, lectura y pregunta para decidir. No agregues cifras. Incluye notas del orador y advierte que los datos son simulados.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Cinco diapositivas, notas del orador y conexión visible con fuente/cálculo.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Las diapositivas mantienen unidades y límites, no inventan cifras y no usan imágenes como si fueran evidencia.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18. Retrospectiva numérica</w:t>
      </w:r>
    </w:p>
    <w:p>
      <w:pPr>
        <w:widowControl/>
        <w:spacing w:after="60"/>
      </w:pPr>
      <w:r>
        <w:rPr>
          <w:rFonts w:ascii="Aptos" w:hAnsi="Aptos"/>
        </w:rPr>
        <w:t>Preparación: Prepare un error aritmético en un ejemplo de práctica y el encargo para que la IA genere un control reproducible.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Bienestar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Presenta un resultado con error deliberado.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El grupo rastrea dato, fórmula y denominador.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Contrasta métodos de doble revisión.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 regla de control que surge de la revisión del equipo y descarga el documento.</w:t>
            </w:r>
          </w:p>
        </w:tc>
      </w:tr>
    </w:tbl>
    <w:p>
      <w:pPr>
        <w:widowControl/>
        <w:spacing w:after="0"/>
      </w:pPr>
    </w:p>
    <w:p>
      <w:pPr>
        <w:widowControl/>
        <w:spacing w:after="60"/>
      </w:pPr>
      <w:r>
        <w:rPr>
          <w:rFonts w:ascii="Aptos" w:hAnsi="Aptos"/>
        </w:rPr>
        <w:t>Prompt de demostración: Identifica la celda o supuesto que cambia el resultado y genera un cálculo de control reproducible con una fórmula o un script. Explica el error y entrega la tabla de comprobación. No declares que una persona lo revisó; esa revisión permanece pendiente hasta que ocurra.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Lista de dos verificaciones independientes para el hackathon.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Una conclusión numérica se rastrea hasta la tabla y la fórmula.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19. Reglas y alineación de equipos</w:t>
      </w:r>
    </w:p>
    <w:p>
      <w:pPr>
        <w:widowControl/>
        <w:spacing w:after="60"/>
      </w:pPr>
      <w:r>
        <w:rPr>
          <w:rFonts w:ascii="Aptos" w:hAnsi="Aptos"/>
        </w:rPr>
        <w:t>Preparación: Prepare el caso, las rúbricas y los roles del equipo. La IA organiza los documentos; el jurado conserva la asignación de puntajes.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Rúbrica del hackathon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Forma equipos diversos y confirma roles.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Explica las reglas, el tiempo y la rúbrica.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Entrega el brief del caso sin compartir datos reales.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Verifica acceso a archivos, herramientas y alternativa.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plan inicial y los riesgos; el equipo revisa que correspondan al caso.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60 minutos. Bloque en agenda: 60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Antes de usar IA, enumera entregables, fuentes disponibles, supuestos prohibidos y verificaciones humanas. Propón roles para análisis, redacción, control de datos y presentación.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Integrantes, roles, acceso y plan inicial.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Ajusta equipos al grupo real; rúbrica igual para todos; herramientas permitidas confirmadas.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20. Fase 1 Planeación del caso</w:t>
      </w:r>
    </w:p>
    <w:p>
      <w:pPr>
        <w:widowControl/>
        <w:spacing w:after="60"/>
      </w:pPr>
      <w:r>
        <w:rPr>
          <w:rFonts w:ascii="Aptos" w:hAnsi="Aptos"/>
        </w:rPr>
        <w:t>Preparación: Entregue el caso de revisión de contratación 2025, Contratos y el encargo para la IA; mantenga sus diferencias como preguntas de corroboración.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Contratos y Directriz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Lee el caso y comprueba que el encargo a la IA delimite la decisión que seguirá en manos de una persona.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los entregables y criterios de aceptación del encargo preparado antes de ejecutarlo con IA.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una secuencia de trabajo con fuentes y responsables por confirmar; revisa su viabilidad.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inventario de riesgos, datos incompletos y preguntas; comprueba que no complete vacíos.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Usa IA para revisar el plan, sin crear hechos.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El facilitador valida el alcance y la secuencia.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</w:rPr>
        <w:t>Prompt de demostración: Con base en el caso y la tabla ficticia, propón un plan de análisis con pasos, producto esperado, dato que se necesita y control de calidad. No concluyas que existe incumplimiento o fraude. Distingue hallazgos verificables de preguntas por investigar.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Plan priorizado, inventario de fuentes y lista de preguntas.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El caso queda identificado como simulado; una anomalía es una señal para revisar, no prueba de irregularidad.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21. Fase 2 Ejecución y generación</w:t>
      </w:r>
    </w:p>
    <w:p>
      <w:pPr>
        <w:widowControl/>
        <w:spacing w:after="60"/>
      </w:pPr>
      <w:r>
        <w:rPr>
          <w:rFonts w:ascii="Aptos" w:hAnsi="Aptos"/>
        </w:rPr>
        <w:t>Preparación: Entregue una copia de Contratos y su encargo. Asigne un equipo que contraste las salidas de la IA y formule preguntas de revisión.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Contratos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Reparte roles y confirma el alcance.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Encarga a la IA la limpieza de una copia y la documentación de excepciones; revisa los registros señalados.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las diferencias y los totales con sus fórmulas; verifica una muestra contra las filas fuente.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el informe con fuente por afirmación y sin conclusiones de incumplimiento o fraude.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los borradores de comunicación interna y comprueba que estén pendientes de aprobación y sin enviar.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Revisa prompts y datos usados.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El mentor verifica evidencia y pendientes.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Compara valor planeado, comprometido y estado de expediente en la tabla ficticia. Lista discrepancias con código de fila y columna fuente. No califiques una discrepancia como incumplimiento; formula la pregunta de verificación correspondiente.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Copia analítica, borradores y lista de excepciones trazables.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No se borran filas ni se afirma irregularidad sin corroboración. Todo correo queda como borrador.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22. Fase 3 Presentación de soluciones</w:t>
      </w:r>
    </w:p>
    <w:p>
      <w:pPr>
        <w:widowControl/>
        <w:spacing w:after="60"/>
      </w:pPr>
      <w:r>
        <w:rPr>
          <w:rFonts w:ascii="Aptos" w:hAnsi="Aptos"/>
        </w:rPr>
        <w:t>Preparación: Organice el orden de máximo ocho equipos y active un temporizador visible; las presentaciones deben usar los archivos generados y sus comprobaciones.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Rúbrica del hackathon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Reserva 15 minutos por equipo: ocho para exposición, cuatro para preguntas y tres para evidencia y cambio humano. Si hay menos equipos, usa el tiempo restante para retroalimentación.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120 minutos. Bloque en agenda: 120 minutos.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Prompt de demostración: </w:t>
      </w:r>
      <w:r>
        <w:rPr>
          <w:rFonts w:ascii="Aptos" w:hAnsi="Aptos"/>
        </w:rPr>
        <w:t>Explica el problema, el entregable, el prompt decisivo, una salida corregida, una verificación y el tiempo medido. Separa datos simulados de recomendaciones.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Presentación, prompts, verificación y registro de tiempo comparable.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Evalúa con rúbrica. No sumes horas no comparables ni aceptes salidas sin revisión.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23. Evaluación, retroalimentación y premiación</w:t>
      </w:r>
    </w:p>
    <w:p>
      <w:pPr>
        <w:widowControl/>
        <w:spacing w:after="60"/>
      </w:pPr>
      <w:r>
        <w:rPr>
          <w:rFonts w:ascii="Aptos" w:hAnsi="Aptos"/>
        </w:rPr>
        <w:t>Preparación: Distribuya rúbricas idénticas y confirme el jurado. La IA puede organizar el archivo; el juicio y el puntaje corresponden a los evaluadores.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Rúbrica del hackathon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Explica escala y pesos.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30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Cada jurado puntúa evidencias por criterio.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20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Equipos entregan una fortaleza y una mejora concreta.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Consolida puntajes y resuelve diferencias con evidencia.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Reconoce calidad, utilidad y aprendizaje.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organice únicamente los puntajes finales que el jurado haya asignado; no inventes valoraciones.</w:t>
            </w:r>
          </w:p>
        </w:tc>
      </w:tr>
    </w:tbl>
    <w:p>
      <w:pPr>
        <w:widowControl/>
        <w:spacing w:after="0"/>
      </w:pPr>
    </w:p>
    <w:p>
      <w:pPr>
        <w:widowControl/>
        <w:spacing w:after="60"/>
      </w:pPr>
      <w:r>
        <w:rPr>
          <w:rFonts w:ascii="Aptos" w:hAnsi="Aptos"/>
        </w:rPr>
        <w:t>Prompt de demostración: Organiza el archivo de rúbrica únicamente con la evidencia observada y los puntajes que el jurado haya asignado. No emitas el juicio del instructor ni inventes valoraciones. Conserva como pendiente cualquier criterio sin evidencia o puntaje confirmado.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Rúbrica diligenciada, retroalimentación breve y resultado explicado.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No se premia solo rapidez. Se aplican los mismos criterios a todos los equipos.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</w:pPr>
    </w:p>
    <w:p>
      <w:pPr>
        <w:pStyle w:val="Heading2"/>
        <w:widowControl/>
      </w:pPr>
      <w:r>
        <w:rPr>
          <w:rFonts w:ascii="Aptos" w:hAnsi="Aptos"/>
        </w:rPr>
        <w:t>24. Cierre y transferencia al puesto</w:t>
      </w:r>
    </w:p>
    <w:p>
      <w:pPr>
        <w:widowControl/>
        <w:spacing w:after="60"/>
      </w:pPr>
      <w:r>
        <w:rPr>
          <w:rFonts w:ascii="Aptos" w:hAnsi="Aptos"/>
        </w:rPr>
        <w:t>Preparación: Entregue el encargo del piloto de 30 días y acuerde cómo se conservarán los archivos generados y su revisión.</w:t>
      </w:r>
    </w:p>
    <w:p>
      <w:pPr>
        <w:widowControl/>
        <w:spacing w:after="60"/>
      </w:pPr>
      <w:r>
        <w:rPr>
          <w:rFonts w:ascii="Aptos" w:hAnsi="Aptos"/>
        </w:rPr>
        <w:t>Herramientas y recursos: chat autorizado o carpeta en Antigravity o Codex; fuentes del paquete, encargo completo y criterios de revisión. La IA genera los documentos y el aprendiz los contrasta y descarga.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Material de práctica: </w:t>
      </w:r>
      <w:r>
        <w:rPr>
          <w:rFonts w:ascii="Aptos" w:hAnsi="Aptos"/>
        </w:rPr>
        <w:t>Plan de transferencia</w:t>
      </w:r>
    </w:p>
    <w:p>
      <w:pPr>
        <w:widowControl/>
      </w:pPr>
      <w:r>
        <w:rPr>
          <w:rFonts w:ascii="Aptos" w:hAnsi="Aptos"/>
          <w:b/>
        </w:rPr>
        <w:t>Secuencia y tiempos</w:t>
      </w:r>
      <w:r>
        <w:rPr>
          <w:rFonts w:ascii="Aptos" w:hAnsi="Aptos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792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Min</w:t>
            </w:r>
          </w:p>
        </w:tc>
        <w:tc>
          <w:tcPr>
            <w:tcW w:type="dxa" w:w="9216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Guion para el aprendiz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Reflexiona sobre supervisión humana y uso permitido.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Selecciona un proceso pequeño, repetible y no sensible.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15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que organice tiempo base, unidad y volumen semanal. Si no hay observaciones, esos datos deben quedar pendientes.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Pide a la IA un plan con responsable por confirmar, primer paso y revisión a 30 días; valida lo que corresponda con el instructor.</w:t>
            </w:r>
          </w:p>
        </w:tc>
      </w:tr>
      <w:tr>
        <w:trPr>
          <w:cantSplit/>
        </w:trPr>
        <w:tc>
          <w:tcPr>
            <w:tcW w:type="dxa" w:w="792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10</w:t>
            </w:r>
          </w:p>
        </w:tc>
        <w:tc>
          <w:tcPr>
            <w:tcW w:type="dxa" w:w="9216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Lee el compromiso en pareja y cierra.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ptos" w:hAnsi="Aptos"/>
        </w:rPr>
        <w:t>Duración planificada: 60 minutos. Bloque en agenda: 60 minutos.</w:t>
      </w:r>
    </w:p>
    <w:p>
      <w:pPr>
        <w:widowControl/>
        <w:spacing w:after="60"/>
      </w:pPr>
      <w:r>
        <w:rPr>
          <w:rFonts w:ascii="Aptos" w:hAnsi="Aptos"/>
        </w:rPr>
        <w:t>Prompt de demostración: Genera un piloto pequeño con objetivo, unidad para medir, línea base disponible, prueba con información de práctica o autorizada, revisión humana, responsable y fecha de seguimiento. Los tiempos no observados, responsables no confirmados y fechas sin acuerdo quedan pendientes. Entrega el documento descargable sin prometer ahorros antes de medirlos.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Evidencia por recoger: </w:t>
      </w:r>
      <w:r>
        <w:rPr>
          <w:rFonts w:ascii="Aptos" w:hAnsi="Aptos"/>
        </w:rPr>
        <w:t>Un piloto con proceso, línea base, responsable, fecha y control de información.</w:t>
      </w:r>
    </w:p>
    <w:p>
      <w:pPr>
        <w:widowControl/>
        <w:spacing w:after="60"/>
      </w:pPr>
      <w:r>
        <w:rPr>
          <w:rFonts w:ascii="Aptos" w:hAnsi="Aptos"/>
          <w:b/>
        </w:rPr>
        <w:t xml:space="preserve">Lista de verificación: </w:t>
      </w:r>
      <w:r>
        <w:rPr>
          <w:rFonts w:ascii="Aptos" w:hAnsi="Aptos"/>
        </w:rPr>
        <w:t>No se promete una cifra; el piloto espera autorización de herramienta/datos y cotejo de calidad.</w:t>
      </w:r>
    </w:p>
    <w:p>
      <w:pPr>
        <w:widowControl/>
        <w:spacing w:after="60"/>
      </w:pPr>
      <w:r>
        <w:rPr>
          <w:rFonts w:ascii="Aptos" w:hAnsi="Aptos"/>
        </w:rPr>
        <w:t>Alternativa de acceso: presente una demostración con archivos preparados y conserve pendiente la ejecución propia del aprendiz con IA. La revisión y la evaluación humanas no se atribuyen a una herramienta.</w:t>
      </w:r>
    </w:p>
    <w:p>
      <w:pPr>
        <w:widowControl/>
        <w:spacing w:after="0" w:before="0"/>
      </w:pPr>
      <w:r>
        <w:rPr>
          <w:rFonts w:ascii="Aptos" w:hAnsi="Aptos"/>
        </w:rPr>
      </w:r>
    </w:p>
    <w:p>
      <w:pPr>
        <w:pStyle w:val="Heading1"/>
        <w:widowControl/>
      </w:pPr>
      <w:r>
        <w:rPr>
          <w:rFonts w:ascii="Aptos" w:hAnsi="Aptos"/>
        </w:rPr>
        <w:t>Pautas de revisión para el facilitador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4E0E7"/>
          <w:left w:val="single" w:sz="5" w:color="D4E0E7"/>
          <w:bottom w:val="single" w:sz="5" w:color="D4E0E7"/>
          <w:right w:val="single" w:sz="5" w:color="D4E0E7"/>
          <w:insideH w:val="single" w:sz="5" w:color="D4E0E7"/>
          <w:insideV w:val="single" w:sz="5" w:color="D4E0E7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5083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Actividad</w:t>
            </w:r>
          </w:p>
        </w:tc>
        <w:tc>
          <w:tcPr>
            <w:tcW w:type="dxa" w:w="5083"/>
            <w:vAlign w:val="center"/>
            <w:shd w:fill="1B425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/>
            </w:pPr>
            <w:r>
              <w:rPr>
                <w:rFonts w:ascii="Aptos" w:hAnsi="Aptos"/>
                <w:b/>
                <w:color w:val="FFFFFF"/>
                <w:sz w:val="18"/>
              </w:rPr>
              <w:t>Qué debe observarse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1 · Prompt CRTT</w:t>
            </w:r>
          </w:p>
        </w:tc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Contexto, rol, tarea y tono explícitos; fuente delimitada; salida con referencias; vacíos reconocidos.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2 · PQRS</w:t>
            </w:r>
          </w:p>
        </w:tc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Borrador respetuoso; petición y hechos separados; sin normas, fechas ni decisiones inventadas; dudas pendientes visibles.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4 · Bandeja</w:t>
            </w:r>
          </w:p>
        </w:tc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La prioridad indica su señal; el equipo no envía mensajes; compromisos y destinatarios quedan por verificar.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5 · Acta</w:t>
            </w:r>
          </w:p>
        </w:tc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La salida generada distingue acuerdos de propuestas e incluye responsable, fecha y frase de origen solo si constan; el aprendiz comprueba la referencia.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6 · Datos</w:t>
            </w:r>
          </w:p>
        </w:tc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Conserva original; aplica reglas documentadas; identifica vacíos y posibles duplicados sin borrarlos.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Reto 8 · Presupuesto</w:t>
            </w:r>
          </w:p>
        </w:tc>
        <w:tc>
          <w:tcPr>
            <w:tcW w:type="dxa" w:w="5083"/>
            <w:vAlign w:val="top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Denominador consistente; cálculos comprobados; lenguaje descriptivo sin atribuir causalidad.</w:t>
            </w:r>
          </w:p>
        </w:tc>
      </w:tr>
      <w:tr>
        <w:trPr>
          <w:cantSplit/>
        </w:trPr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Hackathon</w:t>
            </w:r>
          </w:p>
        </w:tc>
        <w:tc>
          <w:tcPr>
            <w:tcW w:type="dxa" w:w="5083"/>
            <w:vAlign w:val="top"/>
            <w:shd w:fill="F0F6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80" w:line="240" w:lineRule="auto"/>
            </w:pPr>
            <w:r>
              <w:rPr>
                <w:rFonts w:ascii="Aptos" w:hAnsi="Aptos"/>
                <w:color w:val="243746"/>
                <w:sz w:val="18"/>
              </w:rPr>
              <w:t>Trazabilidad a fila y columna; cada discrepancia se formula como pregunta; no se hacen acusaciones ni se envían borradores.</w:t>
            </w:r>
          </w:p>
        </w:tc>
      </w:tr>
    </w:tbl>
    <w:p>
      <w:pPr>
        <w:widowControl/>
        <w:spacing w:after="0"/>
      </w:pPr>
    </w:p>
    <w:p>
      <w:pPr>
        <w:pStyle w:val="Heading2"/>
        <w:widowControl/>
      </w:pPr>
      <w:r>
        <w:rPr>
          <w:rFonts w:ascii="Aptos" w:hAnsi="Aptos"/>
        </w:rPr>
        <w:t>Medición y cierre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Pida a la IA que organice las mediciones disponibles de línea base, volumen comparable, tiempo con IA, calidad y corrección. Revise las fuentes de observación; deje pendiente lo que no se haya medido.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Pida a la IA el cálculo de tiempo neto con las observaciones disponibles y la misma unidad de trabajo. Compruebe que separe estimaciones, mediciones y ahorros pendientes de validación.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Recoja el compromiso de piloto de 30 días: tarea pequeña, responsable, herramienta autorizada, fuente de datos, revisión y fecha de seguimiento.</w:t>
      </w:r>
    </w:p>
    <w:p>
      <w:pPr>
        <w:pStyle w:val="ListBullet"/>
        <w:widowControl/>
        <w:spacing w:after="40"/>
      </w:pPr>
      <w:r>
        <w:rPr>
          <w:rFonts w:ascii="Aptos" w:hAnsi="Aptos"/>
        </w:rPr>
        <w:t>Al cierre, pida a la IA una síntesis de la conversación y los archivos, con aprendizaje, duda y correcciones documentadas. Revise que no invente experiencias ni presente como realizada una revisión pendiente.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6575"/>
        <w:sz w:val="16"/>
      </w:rPr>
      <w:t xml:space="preserve">Guía IA para administrativos ·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6575"/>
        <w:sz w:val="16"/>
      </w:rPr>
      <w:t>Material de origen · SENA Bogotá · Guía IA para administrativos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/>
      <w:color w:val="24374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" w:hAnsi="Aptos"/>
      <w:b/>
      <w:bCs/>
      <w:color w:val="173B5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Theme="majorHAnsi" w:eastAsiaTheme="majorEastAsia" w:hAnsiTheme="majorHAnsi" w:cstheme="majorBidi" w:ascii="Aptos" w:hAnsi="Aptos"/>
      <w:b/>
      <w:bCs/>
      <w:color w:val="1D63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Theme="majorHAnsi" w:eastAsiaTheme="majorEastAsia" w:hAnsiTheme="majorHAnsi" w:cstheme="majorBidi" w:ascii="Aptos" w:hAnsi="Aptos"/>
      <w:b/>
      <w:bCs/>
      <w:color w:val="173B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100"/>
      <w:contextualSpacing/>
    </w:pPr>
    <w:rPr>
      <w:rFonts w:asciiTheme="majorHAnsi" w:eastAsiaTheme="majorEastAsia" w:hAnsiTheme="majorHAnsi" w:cstheme="majorBidi" w:ascii="Aptos" w:hAnsi="Aptos"/>
      <w:b/>
      <w:color w:val="111827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00" w:after="140"/>
    </w:pPr>
    <w:rPr>
      <w:rFonts w:asciiTheme="majorHAnsi" w:eastAsiaTheme="majorEastAsia" w:hAnsiTheme="majorHAnsi" w:cstheme="majorBidi" w:ascii="Aptos" w:hAnsi="Aptos"/>
      <w:b w:val="0"/>
      <w:i/>
      <w:iCs/>
      <w:color w:val="52657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../materiales/ia/reto-0.zip" TargetMode="External"/><Relationship Id="rId12" Type="http://schemas.openxmlformats.org/officeDocument/2006/relationships/hyperlink" Target="../../materiales/ia/reto-1.zip" TargetMode="External"/><Relationship Id="rId13" Type="http://schemas.openxmlformats.org/officeDocument/2006/relationships/hyperlink" Target="../../materiales/ia/reto-2.zip" TargetMode="External"/><Relationship Id="rId14" Type="http://schemas.openxmlformats.org/officeDocument/2006/relationships/hyperlink" Target="../../materiales/ia/reto-3.zip" TargetMode="External"/><Relationship Id="rId15" Type="http://schemas.openxmlformats.org/officeDocument/2006/relationships/hyperlink" Target="../../materiales/ia/reto-4.zip" TargetMode="External"/><Relationship Id="rId16" Type="http://schemas.openxmlformats.org/officeDocument/2006/relationships/hyperlink" Target="../../materiales/ia/reto-5.zip" TargetMode="External"/><Relationship Id="rId17" Type="http://schemas.openxmlformats.org/officeDocument/2006/relationships/hyperlink" Target="../../materiales/ia/reto-6.zip" TargetMode="External"/><Relationship Id="rId18" Type="http://schemas.openxmlformats.org/officeDocument/2006/relationships/hyperlink" Target="../../materiales/ia/reto-7.zip" TargetMode="External"/><Relationship Id="rId19" Type="http://schemas.openxmlformats.org/officeDocument/2006/relationships/hyperlink" Target="../../materiales/ia/reto-8.zip" TargetMode="External"/><Relationship Id="rId20" Type="http://schemas.openxmlformats.org/officeDocument/2006/relationships/hyperlink" Target="../../materiales/ia/reto-9.zip" TargetMode="External"/><Relationship Id="rId21" Type="http://schemas.openxmlformats.org/officeDocument/2006/relationships/hyperlink" Target="../../materiales/ia/reto-integrador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facilitación de la inmersión administrativa en IA</dc:title>
  <dc:subject>Material de formación para un curso de inteligencia artificial dirigido a personal administrativo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2026-10-19T00:00:00Z</dcterms:modified>
  <cp:category/>
</cp:coreProperties>
</file>