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r>
        <w:t>Período bimestral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29/07/2026</w:t>
      </w:r>
    </w:p>
    <w:p>
      <w:pPr>
        <w:pStyle w:val="Heading2"/>
      </w:pPr>
      <w:r>
        <w:t>Fin del período informado</w:t>
      </w:r>
    </w:p>
    <w:p>
      <w:r>
        <w:t>28/09/2026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2: 2026-07-29 a 2026-09-28.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