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bimestral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r>
        <w:t>Período bimestral 1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Inicio del período informado</w:t>
      </w:r>
    </w:p>
    <w:p>
      <w:r>
        <w:t>29/05/2026</w:t>
      </w:r>
    </w:p>
    <w:p>
      <w:pPr>
        <w:pStyle w:val="Heading2"/>
      </w:pPr>
      <w:r>
        <w:t>Fin del período informado</w:t>
      </w:r>
    </w:p>
    <w:p>
      <w:r>
        <w:t>28/07/2026</w:t>
      </w:r>
    </w:p>
    <w:p>
      <w:pPr>
        <w:pStyle w:val="Heading2"/>
      </w:pPr>
      <w:r>
        <w:t>Antecedentes</w:t>
      </w:r>
    </w:p>
    <w:p>
      <w:r>
        <w:t>La referencia CAP-14 plantea desarrollar una plataforma de gestión y una herramienta Excel. El presente escenario organiza su seguimiento sin convertir la planeación en ejecución acreditada. Período propuesto 1: 2026-05-29 a 2026-07-28.</w:t>
      </w:r>
    </w:p>
    <w:p>
      <w:pPr>
        <w:pStyle w:val="Heading2"/>
      </w:pPr>
      <w:r>
        <w:t>Metodología</w:t>
      </w:r>
    </w:p>
    <w:p>
      <w:r>
        <w:t>Revisión de fuentes locales, contratos del repositorio y datos del formulario. Los indicadores separan meta propuesta de logro institucional confirmado; se usa cero cuando no existe constancia de aceptación. Las pruebas técnicas de generación se registran por separado.</w:t>
      </w:r>
    </w:p>
    <w:p>
      <w:pPr>
        <w:pStyle w:val="Heading2"/>
      </w:pPr>
      <w:r>
        <w:t>Resultados alcanzados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/>
          <w:cantSplit/>
        </w:trPr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Entidad o población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Actividades ejecutadas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Resultados alcanzados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Meta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Logro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Unidad</w:t>
            </w:r>
          </w:p>
        </w:tc>
        <w:tc>
          <w:tcPr>
            <w:tcW w:type="dxa" w:w="124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Equipo de investigación CGAO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Organización del escenario documental a partir de los archivos recibidos; no se reporta ejecución del piloto.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Formularios y borradores preparados para validación técnica; aceptación institucional sin registrar.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 de aceptación institucional documentados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12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0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casos</w:t>
            </w:r>
          </w:p>
        </w:tc>
        <w:tc>
          <w:tcPr>
            <w:tcW w:type="dxa" w:w="1246"/>
            <w:vAlign w:val="center"/>
          </w:tcPr>
          <w:p>
            <w:pPr>
              <w:spacing w:after="80"/>
            </w:pPr>
            <w:r>
              <w:rPr>
                <w:sz w:val="16"/>
              </w:rPr>
              <w:t>Fuentes locales y borradores del expediente. No existe registro de aceptación con usuarios en este escenario.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Discusión de resultados</w:t>
      </w:r>
    </w:p>
    <w:p>
      <w:r>
        <w:t>Los archivos recibidos y el código permiten organizar un expediente de prueba. La existencia de funciones y borradores no demuestra aprobación por usuarios ni cumplimiento de todas las metas. El resultado de aceptación se conserva en cero hasta contar con registros verificables.</w:t>
      </w:r>
    </w:p>
    <w:p>
      <w:pPr>
        <w:pStyle w:val="Heading2"/>
      </w:pPr>
      <w:r>
        <w:t>Fortalezas</w:t>
      </w:r>
    </w:p>
    <w:p>
      <w:r>
        <w:t>La fuente contiene objetivos y responsabilidades, y el repositorio cuenta con módulos de proyectos, cronogramas, productos y documentación. Estas capacidades facilitan preparar casos de prueba trazables.</w:t>
      </w:r>
    </w:p>
    <w:p>
      <w:pPr>
        <w:pStyle w:val="Heading2"/>
      </w:pPr>
      <w:r>
        <w:t>Dificultades y limitaciones</w:t>
      </w:r>
    </w:p>
    <w:p>
      <w:r>
        <w:t>Las fuentes difieren en fechas, código mencionado en el objetivo del acta y semillero. Faltan aprobaciones, mediciones con usuarios y soportes de ejecución presupuestal. Estas ausencias limitan las conclusiones institucionales.</w:t>
      </w:r>
    </w:p>
    <w:p>
      <w:pPr>
        <w:pStyle w:val="Heading2"/>
      </w:pPr>
      <w:r>
        <w:t>Acciones futuras</w:t>
      </w:r>
    </w:p>
    <w:p>
      <w:r>
        <w:t>La coordinación conciliará identificación, duración y formatos. El equipo técnico ejecutará las pruebas propuestas y registrará evidencias. La responsable revisará el expediente y solicitará las aprobaciones cuando haya soporte; las fechas se acordarán en la planeación oficial.</w:t>
      </w:r>
    </w:p>
    <w:p>
      <w:pPr>
        <w:pStyle w:val="Heading2"/>
      </w:pPr>
      <w:r>
        <w:t>Lecciones aprendidas</w:t>
      </w:r>
    </w:p>
    <w:p>
      <w:r>
        <w:t>Conviene definir períodos e indicadores antes de redactar informes, conservar la fuente original y distinguir una prueba técnica de una aceptación institucional. Un campo diligenciado no reemplaza el soporte del hecho que describe.</w:t>
      </w:r>
    </w:p>
    <w:p>
      <w:pPr>
        <w:pStyle w:val="Heading2"/>
      </w:pPr>
      <w:r>
        <w:t>Conclusiones</w:t>
      </w:r>
    </w:p>
    <w:p>
      <w:r>
        <w:t>El escenario permite probar la captura y la generación de documentos completos. No acredita cierre, gasto, validación con usuarios ni cumplimiento institucional. La información propuesta requiere revisión de los responsables.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