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92D9A" w:rsidRDefault="00D92D9A" w:rsidP="06EF0FC4">
      <w:pPr>
        <w:pStyle w:val="Title"/>
        <w:rPr>
          <w:rFonts w:asciiTheme="minorHAnsi" w:eastAsiaTheme="minorEastAsia" w:hAnsiTheme="minorHAnsi" w:cstheme="minorBidi"/>
        </w:rPr>
      </w:pPr>
    </w:p>
    <w:p w14:paraId="264D6E52" w14:textId="5A94BECA" w:rsidR="45E4C898" w:rsidRDefault="45E4C898" w:rsidP="660AF0A8">
      <w:pPr>
        <w:pStyle w:val="Title"/>
        <w:jc w:val="center"/>
      </w:pPr>
      <w:r w:rsidRPr="660AF0A8">
        <w:t>Survey Analysis of Student Satisfaction in Online Learning</w:t>
      </w:r>
    </w:p>
    <w:p w14:paraId="116873AD" w14:textId="35D45A16" w:rsidR="45E4C898" w:rsidRDefault="45E4C898" w:rsidP="660AF0A8">
      <w:pPr>
        <w:jc w:val="center"/>
        <w:rPr>
          <w:sz w:val="24"/>
          <w:szCs w:val="24"/>
        </w:rPr>
      </w:pPr>
      <w:r w:rsidRPr="660AF0A8">
        <w:rPr>
          <w:rFonts w:asciiTheme="minorHAnsi" w:eastAsiaTheme="minorEastAsia" w:hAnsiTheme="minorHAnsi" w:cstheme="minorBidi"/>
          <w:sz w:val="24"/>
          <w:szCs w:val="24"/>
        </w:rPr>
        <w:t xml:space="preserve">Eliana Alon | Lauren Furman | Joseph Aytch | Michelle Valencia </w:t>
      </w:r>
      <w:r w:rsidRPr="660AF0A8">
        <w:rPr>
          <w:sz w:val="24"/>
          <w:szCs w:val="24"/>
        </w:rPr>
        <w:t xml:space="preserve"> </w:t>
      </w:r>
    </w:p>
    <w:p w14:paraId="74A95859" w14:textId="72072379" w:rsidR="45E4C898" w:rsidRDefault="45E4C898" w:rsidP="660AF0A8">
      <w:pPr>
        <w:jc w:val="center"/>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DSC 450 Applied Data Science</w:t>
      </w:r>
    </w:p>
    <w:p w14:paraId="1B905E14" w14:textId="2555F07C" w:rsidR="45E4C898" w:rsidRDefault="45E4C898" w:rsidP="660AF0A8">
      <w:pPr>
        <w:jc w:val="center"/>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Bellevue University- Fall 2024</w:t>
      </w:r>
    </w:p>
    <w:p w14:paraId="00000005" w14:textId="77777777" w:rsidR="00D92D9A" w:rsidRDefault="00D92D9A" w:rsidP="06EF0FC4">
      <w:pPr>
        <w:rPr>
          <w:rFonts w:asciiTheme="minorHAnsi" w:eastAsiaTheme="minorEastAsia" w:hAnsiTheme="minorHAnsi" w:cstheme="minorBidi"/>
        </w:rPr>
      </w:pPr>
    </w:p>
    <w:p w14:paraId="00000006" w14:textId="77777777" w:rsidR="00D92D9A" w:rsidRDefault="00D92D9A" w:rsidP="06EF0FC4">
      <w:pPr>
        <w:rPr>
          <w:rFonts w:asciiTheme="minorHAnsi" w:eastAsiaTheme="minorEastAsia" w:hAnsiTheme="minorHAnsi" w:cstheme="minorBidi"/>
        </w:rPr>
      </w:pPr>
    </w:p>
    <w:p w14:paraId="00000007" w14:textId="77777777" w:rsidR="00D92D9A" w:rsidRDefault="00D92D9A" w:rsidP="06EF0FC4">
      <w:pPr>
        <w:rPr>
          <w:rFonts w:asciiTheme="minorHAnsi" w:eastAsiaTheme="minorEastAsia" w:hAnsiTheme="minorHAnsi" w:cstheme="minorBidi"/>
        </w:rPr>
      </w:pPr>
    </w:p>
    <w:p w14:paraId="00000008" w14:textId="77777777" w:rsidR="00D92D9A" w:rsidRDefault="00D92D9A" w:rsidP="06EF0FC4">
      <w:pPr>
        <w:rPr>
          <w:rFonts w:asciiTheme="minorHAnsi" w:eastAsiaTheme="minorEastAsia" w:hAnsiTheme="minorHAnsi" w:cstheme="minorBidi"/>
        </w:rPr>
      </w:pPr>
    </w:p>
    <w:p w14:paraId="00000009" w14:textId="77777777" w:rsidR="00D92D9A" w:rsidRDefault="00D92D9A" w:rsidP="06EF0FC4">
      <w:pPr>
        <w:rPr>
          <w:rFonts w:asciiTheme="minorHAnsi" w:eastAsiaTheme="minorEastAsia" w:hAnsiTheme="minorHAnsi" w:cstheme="minorBidi"/>
        </w:rPr>
      </w:pPr>
    </w:p>
    <w:p w14:paraId="0000000A" w14:textId="77777777" w:rsidR="00D92D9A" w:rsidRDefault="00D92D9A" w:rsidP="06EF0FC4">
      <w:pPr>
        <w:rPr>
          <w:rFonts w:asciiTheme="minorHAnsi" w:eastAsiaTheme="minorEastAsia" w:hAnsiTheme="minorHAnsi" w:cstheme="minorBidi"/>
        </w:rPr>
      </w:pPr>
    </w:p>
    <w:p w14:paraId="0000000B" w14:textId="77777777" w:rsidR="00D92D9A" w:rsidRDefault="00D92D9A" w:rsidP="06EF0FC4">
      <w:pPr>
        <w:rPr>
          <w:rFonts w:asciiTheme="minorHAnsi" w:eastAsiaTheme="minorEastAsia" w:hAnsiTheme="minorHAnsi" w:cstheme="minorBidi"/>
        </w:rPr>
      </w:pPr>
    </w:p>
    <w:p w14:paraId="0000000C" w14:textId="77777777" w:rsidR="00D92D9A" w:rsidRDefault="00D92D9A" w:rsidP="06EF0FC4">
      <w:pPr>
        <w:rPr>
          <w:rFonts w:asciiTheme="minorHAnsi" w:eastAsiaTheme="minorEastAsia" w:hAnsiTheme="minorHAnsi" w:cstheme="minorBidi"/>
        </w:rPr>
      </w:pPr>
    </w:p>
    <w:p w14:paraId="0000000D" w14:textId="77777777" w:rsidR="00D92D9A" w:rsidRDefault="00D92D9A" w:rsidP="06EF0FC4">
      <w:pPr>
        <w:rPr>
          <w:rFonts w:asciiTheme="minorHAnsi" w:eastAsiaTheme="minorEastAsia" w:hAnsiTheme="minorHAnsi" w:cstheme="minorBidi"/>
        </w:rPr>
      </w:pPr>
    </w:p>
    <w:p w14:paraId="0000000E" w14:textId="77777777" w:rsidR="00D92D9A" w:rsidRDefault="00D92D9A" w:rsidP="06EF0FC4">
      <w:pPr>
        <w:rPr>
          <w:rFonts w:asciiTheme="minorHAnsi" w:eastAsiaTheme="minorEastAsia" w:hAnsiTheme="minorHAnsi" w:cstheme="minorBidi"/>
        </w:rPr>
      </w:pPr>
    </w:p>
    <w:p w14:paraId="0000000F" w14:textId="77777777" w:rsidR="00D92D9A" w:rsidRDefault="00D92D9A" w:rsidP="06EF0FC4">
      <w:pPr>
        <w:rPr>
          <w:rFonts w:asciiTheme="minorHAnsi" w:eastAsiaTheme="minorEastAsia" w:hAnsiTheme="minorHAnsi" w:cstheme="minorBidi"/>
        </w:rPr>
      </w:pPr>
    </w:p>
    <w:p w14:paraId="00000010" w14:textId="77777777" w:rsidR="00D92D9A" w:rsidRDefault="00D92D9A" w:rsidP="06EF0FC4">
      <w:pPr>
        <w:rPr>
          <w:rFonts w:asciiTheme="minorHAnsi" w:eastAsiaTheme="minorEastAsia" w:hAnsiTheme="minorHAnsi" w:cstheme="minorBidi"/>
        </w:rPr>
      </w:pPr>
    </w:p>
    <w:p w14:paraId="00000011" w14:textId="77777777" w:rsidR="00D92D9A" w:rsidRDefault="00D92D9A" w:rsidP="06EF0FC4">
      <w:pPr>
        <w:rPr>
          <w:rFonts w:asciiTheme="minorHAnsi" w:eastAsiaTheme="minorEastAsia" w:hAnsiTheme="minorHAnsi" w:cstheme="minorBidi"/>
        </w:rPr>
      </w:pPr>
    </w:p>
    <w:p w14:paraId="00000012" w14:textId="77777777" w:rsidR="00D92D9A" w:rsidRDefault="00D92D9A" w:rsidP="06EF0FC4">
      <w:pPr>
        <w:rPr>
          <w:rFonts w:asciiTheme="minorHAnsi" w:eastAsiaTheme="minorEastAsia" w:hAnsiTheme="minorHAnsi" w:cstheme="minorBidi"/>
        </w:rPr>
      </w:pPr>
    </w:p>
    <w:p w14:paraId="00000013" w14:textId="77777777" w:rsidR="00D92D9A" w:rsidRDefault="00D92D9A" w:rsidP="06EF0FC4">
      <w:pPr>
        <w:jc w:val="center"/>
        <w:rPr>
          <w:rFonts w:asciiTheme="minorHAnsi" w:eastAsiaTheme="minorEastAsia" w:hAnsiTheme="minorHAnsi" w:cstheme="minorBidi"/>
        </w:rPr>
      </w:pPr>
    </w:p>
    <w:p w14:paraId="00000014" w14:textId="77777777" w:rsidR="00D92D9A" w:rsidRDefault="00D92D9A" w:rsidP="06EF0FC4">
      <w:pPr>
        <w:jc w:val="center"/>
        <w:rPr>
          <w:rFonts w:asciiTheme="minorHAnsi" w:eastAsiaTheme="minorEastAsia" w:hAnsiTheme="minorHAnsi" w:cstheme="minorBidi"/>
        </w:rPr>
      </w:pPr>
    </w:p>
    <w:p w14:paraId="00000015" w14:textId="77777777" w:rsidR="00D92D9A" w:rsidRDefault="00D92D9A" w:rsidP="06EF0FC4">
      <w:pPr>
        <w:jc w:val="center"/>
        <w:rPr>
          <w:rFonts w:asciiTheme="minorHAnsi" w:eastAsiaTheme="minorEastAsia" w:hAnsiTheme="minorHAnsi" w:cstheme="minorBidi"/>
        </w:rPr>
      </w:pPr>
    </w:p>
    <w:p w14:paraId="00000016" w14:textId="77777777" w:rsidR="00D92D9A" w:rsidRDefault="00D92D9A" w:rsidP="06EF0FC4">
      <w:pPr>
        <w:jc w:val="center"/>
        <w:rPr>
          <w:rFonts w:asciiTheme="minorHAnsi" w:eastAsiaTheme="minorEastAsia" w:hAnsiTheme="minorHAnsi" w:cstheme="minorBidi"/>
        </w:rPr>
      </w:pPr>
    </w:p>
    <w:p w14:paraId="00000017" w14:textId="77777777" w:rsidR="00D92D9A" w:rsidRDefault="00D92D9A" w:rsidP="06EF0FC4">
      <w:pPr>
        <w:jc w:val="center"/>
        <w:rPr>
          <w:rFonts w:asciiTheme="minorHAnsi" w:eastAsiaTheme="minorEastAsia" w:hAnsiTheme="minorHAnsi" w:cstheme="minorBidi"/>
        </w:rPr>
      </w:pPr>
    </w:p>
    <w:p w14:paraId="00000018" w14:textId="77777777" w:rsidR="00D92D9A" w:rsidRDefault="00D92D9A" w:rsidP="06EF0FC4">
      <w:pPr>
        <w:jc w:val="center"/>
        <w:rPr>
          <w:rFonts w:asciiTheme="minorHAnsi" w:eastAsiaTheme="minorEastAsia" w:hAnsiTheme="minorHAnsi" w:cstheme="minorBidi"/>
        </w:rPr>
      </w:pPr>
    </w:p>
    <w:p w14:paraId="00000019" w14:textId="77777777" w:rsidR="00D92D9A" w:rsidRDefault="00D92D9A" w:rsidP="06EF0FC4">
      <w:pPr>
        <w:rPr>
          <w:rFonts w:asciiTheme="minorHAnsi" w:eastAsiaTheme="minorEastAsia" w:hAnsiTheme="minorHAnsi" w:cstheme="minorBidi"/>
        </w:rPr>
      </w:pPr>
    </w:p>
    <w:p w14:paraId="0000001A" w14:textId="77777777" w:rsidR="00D92D9A" w:rsidRDefault="00D92D9A" w:rsidP="06EF0FC4">
      <w:pPr>
        <w:jc w:val="center"/>
        <w:rPr>
          <w:rFonts w:asciiTheme="minorHAnsi" w:eastAsiaTheme="minorEastAsia" w:hAnsiTheme="minorHAnsi" w:cstheme="minorBidi"/>
        </w:rPr>
      </w:pPr>
    </w:p>
    <w:p w14:paraId="0000001B" w14:textId="77777777" w:rsidR="00D92D9A" w:rsidRDefault="18308BB8" w:rsidP="06EF0FC4">
      <w:pPr>
        <w:spacing w:before="300" w:after="40"/>
        <w:jc w:val="left"/>
        <w:rPr>
          <w:rFonts w:asciiTheme="minorHAnsi" w:eastAsiaTheme="minorEastAsia" w:hAnsiTheme="minorHAnsi" w:cstheme="minorBidi"/>
          <w:smallCaps/>
          <w:sz w:val="32"/>
          <w:szCs w:val="32"/>
        </w:rPr>
      </w:pPr>
      <w:r w:rsidRPr="06EF0FC4">
        <w:rPr>
          <w:rFonts w:asciiTheme="minorHAnsi" w:eastAsiaTheme="minorEastAsia" w:hAnsiTheme="minorHAnsi" w:cstheme="minorBidi"/>
          <w:smallCaps/>
          <w:sz w:val="32"/>
          <w:szCs w:val="32"/>
        </w:rPr>
        <w:t>Table of Contents</w:t>
      </w:r>
    </w:p>
    <w:sdt>
      <w:sdtPr>
        <w:rPr>
          <w:rFonts w:asciiTheme="minorHAnsi" w:eastAsiaTheme="minorEastAsia" w:hAnsiTheme="minorHAnsi" w:cstheme="minorBidi"/>
          <w:b w:val="0"/>
          <w:bCs w:val="0"/>
          <w:i w:val="0"/>
          <w:iCs w:val="0"/>
          <w:sz w:val="20"/>
          <w:szCs w:val="20"/>
        </w:rPr>
        <w:id w:val="865325369"/>
        <w:docPartObj>
          <w:docPartGallery w:val="Table of Contents"/>
          <w:docPartUnique/>
        </w:docPartObj>
      </w:sdtPr>
      <w:sdtEndPr>
        <w:rPr>
          <w:b/>
          <w:bCs/>
        </w:rPr>
      </w:sdtEndPr>
      <w:sdtContent>
        <w:p w14:paraId="6625B320" w14:textId="3E212E15" w:rsidR="0055122C" w:rsidRDefault="00E92E12">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r>
            <w:fldChar w:fldCharType="begin"/>
          </w:r>
          <w:r>
            <w:instrText xml:space="preserve"> TOC \h \u \z \t "Heading 1,1,Heading 2,2,Heading 3,3,"</w:instrText>
          </w:r>
          <w:r>
            <w:fldChar w:fldCharType="separate"/>
          </w:r>
          <w:hyperlink w:anchor="_Toc180331636" w:history="1">
            <w:r w:rsidR="0055122C" w:rsidRPr="0005566E">
              <w:rPr>
                <w:rStyle w:val="Hyperlink"/>
                <w:noProof/>
              </w:rPr>
              <w:t>Introduction</w:t>
            </w:r>
            <w:r w:rsidR="0055122C">
              <w:rPr>
                <w:noProof/>
                <w:webHidden/>
              </w:rPr>
              <w:tab/>
            </w:r>
            <w:r w:rsidR="0055122C">
              <w:rPr>
                <w:noProof/>
                <w:webHidden/>
              </w:rPr>
              <w:fldChar w:fldCharType="begin"/>
            </w:r>
            <w:r w:rsidR="0055122C">
              <w:rPr>
                <w:noProof/>
                <w:webHidden/>
              </w:rPr>
              <w:instrText xml:space="preserve"> PAGEREF _Toc180331636 \h </w:instrText>
            </w:r>
            <w:r w:rsidR="0055122C">
              <w:rPr>
                <w:noProof/>
                <w:webHidden/>
              </w:rPr>
            </w:r>
            <w:r w:rsidR="0055122C">
              <w:rPr>
                <w:noProof/>
                <w:webHidden/>
              </w:rPr>
              <w:fldChar w:fldCharType="separate"/>
            </w:r>
            <w:r w:rsidR="0055122C">
              <w:rPr>
                <w:noProof/>
                <w:webHidden/>
              </w:rPr>
              <w:t>2</w:t>
            </w:r>
            <w:r w:rsidR="0055122C">
              <w:rPr>
                <w:noProof/>
                <w:webHidden/>
              </w:rPr>
              <w:fldChar w:fldCharType="end"/>
            </w:r>
          </w:hyperlink>
        </w:p>
        <w:p w14:paraId="4F55C7D0" w14:textId="28DEDA41" w:rsidR="0055122C" w:rsidRDefault="0055122C">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0331637" w:history="1">
            <w:r w:rsidRPr="0005566E">
              <w:rPr>
                <w:rStyle w:val="Hyperlink"/>
                <w:noProof/>
              </w:rPr>
              <w:t>Business Problem/Hypothesis</w:t>
            </w:r>
            <w:r>
              <w:rPr>
                <w:noProof/>
                <w:webHidden/>
              </w:rPr>
              <w:tab/>
            </w:r>
            <w:r>
              <w:rPr>
                <w:noProof/>
                <w:webHidden/>
              </w:rPr>
              <w:fldChar w:fldCharType="begin"/>
            </w:r>
            <w:r>
              <w:rPr>
                <w:noProof/>
                <w:webHidden/>
              </w:rPr>
              <w:instrText xml:space="preserve"> PAGEREF _Toc180331637 \h </w:instrText>
            </w:r>
            <w:r>
              <w:rPr>
                <w:noProof/>
                <w:webHidden/>
              </w:rPr>
            </w:r>
            <w:r>
              <w:rPr>
                <w:noProof/>
                <w:webHidden/>
              </w:rPr>
              <w:fldChar w:fldCharType="separate"/>
            </w:r>
            <w:r>
              <w:rPr>
                <w:noProof/>
                <w:webHidden/>
              </w:rPr>
              <w:t>2</w:t>
            </w:r>
            <w:r>
              <w:rPr>
                <w:noProof/>
                <w:webHidden/>
              </w:rPr>
              <w:fldChar w:fldCharType="end"/>
            </w:r>
          </w:hyperlink>
        </w:p>
        <w:p w14:paraId="28DF53B3" w14:textId="26E89AAE" w:rsidR="0055122C" w:rsidRDefault="0055122C">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0331638" w:history="1">
            <w:r w:rsidRPr="0005566E">
              <w:rPr>
                <w:rStyle w:val="Hyperlink"/>
                <w:noProof/>
              </w:rPr>
              <w:t>Methods/Analysis</w:t>
            </w:r>
            <w:r>
              <w:rPr>
                <w:noProof/>
                <w:webHidden/>
              </w:rPr>
              <w:tab/>
            </w:r>
            <w:r>
              <w:rPr>
                <w:noProof/>
                <w:webHidden/>
              </w:rPr>
              <w:fldChar w:fldCharType="begin"/>
            </w:r>
            <w:r>
              <w:rPr>
                <w:noProof/>
                <w:webHidden/>
              </w:rPr>
              <w:instrText xml:space="preserve"> PAGEREF _Toc180331638 \h </w:instrText>
            </w:r>
            <w:r>
              <w:rPr>
                <w:noProof/>
                <w:webHidden/>
              </w:rPr>
            </w:r>
            <w:r>
              <w:rPr>
                <w:noProof/>
                <w:webHidden/>
              </w:rPr>
              <w:fldChar w:fldCharType="separate"/>
            </w:r>
            <w:r>
              <w:rPr>
                <w:noProof/>
                <w:webHidden/>
              </w:rPr>
              <w:t>2</w:t>
            </w:r>
            <w:r>
              <w:rPr>
                <w:noProof/>
                <w:webHidden/>
              </w:rPr>
              <w:fldChar w:fldCharType="end"/>
            </w:r>
          </w:hyperlink>
        </w:p>
        <w:p w14:paraId="1A9ACB67" w14:textId="5F8BEEB2" w:rsidR="0055122C" w:rsidRDefault="0055122C">
          <w:pPr>
            <w:pStyle w:val="TOC2"/>
            <w:tabs>
              <w:tab w:val="right" w:leader="dot" w:pos="9350"/>
            </w:tabs>
            <w:rPr>
              <w:rFonts w:asciiTheme="minorHAnsi" w:eastAsiaTheme="minorEastAsia" w:hAnsiTheme="minorHAnsi" w:cstheme="minorBidi"/>
              <w:b w:val="0"/>
              <w:bCs w:val="0"/>
              <w:noProof/>
              <w:kern w:val="2"/>
              <w14:ligatures w14:val="standardContextual"/>
            </w:rPr>
          </w:pPr>
          <w:hyperlink w:anchor="_Toc180331639" w:history="1">
            <w:r w:rsidRPr="0005566E">
              <w:rPr>
                <w:rStyle w:val="Hyperlink"/>
                <w:noProof/>
              </w:rPr>
              <w:t>HOW STUDENTS ARE ADAPTING TO ONLINE LEARNING</w:t>
            </w:r>
            <w:r>
              <w:rPr>
                <w:noProof/>
                <w:webHidden/>
              </w:rPr>
              <w:tab/>
            </w:r>
            <w:r>
              <w:rPr>
                <w:noProof/>
                <w:webHidden/>
              </w:rPr>
              <w:fldChar w:fldCharType="begin"/>
            </w:r>
            <w:r>
              <w:rPr>
                <w:noProof/>
                <w:webHidden/>
              </w:rPr>
              <w:instrText xml:space="preserve"> PAGEREF _Toc180331639 \h </w:instrText>
            </w:r>
            <w:r>
              <w:rPr>
                <w:noProof/>
                <w:webHidden/>
              </w:rPr>
            </w:r>
            <w:r>
              <w:rPr>
                <w:noProof/>
                <w:webHidden/>
              </w:rPr>
              <w:fldChar w:fldCharType="separate"/>
            </w:r>
            <w:r>
              <w:rPr>
                <w:noProof/>
                <w:webHidden/>
              </w:rPr>
              <w:t>2</w:t>
            </w:r>
            <w:r>
              <w:rPr>
                <w:noProof/>
                <w:webHidden/>
              </w:rPr>
              <w:fldChar w:fldCharType="end"/>
            </w:r>
          </w:hyperlink>
        </w:p>
        <w:p w14:paraId="3F79EBEF" w14:textId="37DF8C40" w:rsidR="0055122C" w:rsidRDefault="0055122C">
          <w:pPr>
            <w:pStyle w:val="TOC2"/>
            <w:tabs>
              <w:tab w:val="right" w:leader="dot" w:pos="9350"/>
            </w:tabs>
            <w:rPr>
              <w:rFonts w:asciiTheme="minorHAnsi" w:eastAsiaTheme="minorEastAsia" w:hAnsiTheme="minorHAnsi" w:cstheme="minorBidi"/>
              <w:b w:val="0"/>
              <w:bCs w:val="0"/>
              <w:noProof/>
              <w:kern w:val="2"/>
              <w14:ligatures w14:val="standardContextual"/>
            </w:rPr>
          </w:pPr>
          <w:hyperlink w:anchor="_Toc180331640" w:history="1">
            <w:r w:rsidRPr="0005566E">
              <w:rPr>
                <w:rStyle w:val="Hyperlink"/>
                <w:noProof/>
              </w:rPr>
              <w:t>Adaptability vs. IT Students</w:t>
            </w:r>
            <w:r>
              <w:rPr>
                <w:noProof/>
                <w:webHidden/>
              </w:rPr>
              <w:tab/>
            </w:r>
            <w:r>
              <w:rPr>
                <w:noProof/>
                <w:webHidden/>
              </w:rPr>
              <w:fldChar w:fldCharType="begin"/>
            </w:r>
            <w:r>
              <w:rPr>
                <w:noProof/>
                <w:webHidden/>
              </w:rPr>
              <w:instrText xml:space="preserve"> PAGEREF _Toc180331640 \h </w:instrText>
            </w:r>
            <w:r>
              <w:rPr>
                <w:noProof/>
                <w:webHidden/>
              </w:rPr>
            </w:r>
            <w:r>
              <w:rPr>
                <w:noProof/>
                <w:webHidden/>
              </w:rPr>
              <w:fldChar w:fldCharType="separate"/>
            </w:r>
            <w:r>
              <w:rPr>
                <w:noProof/>
                <w:webHidden/>
              </w:rPr>
              <w:t>3</w:t>
            </w:r>
            <w:r>
              <w:rPr>
                <w:noProof/>
                <w:webHidden/>
              </w:rPr>
              <w:fldChar w:fldCharType="end"/>
            </w:r>
          </w:hyperlink>
        </w:p>
        <w:p w14:paraId="435D0E89" w14:textId="00AF1F46" w:rsidR="0055122C" w:rsidRDefault="0055122C">
          <w:pPr>
            <w:pStyle w:val="TOC2"/>
            <w:tabs>
              <w:tab w:val="right" w:leader="dot" w:pos="9350"/>
            </w:tabs>
            <w:rPr>
              <w:rFonts w:asciiTheme="minorHAnsi" w:eastAsiaTheme="minorEastAsia" w:hAnsiTheme="minorHAnsi" w:cstheme="minorBidi"/>
              <w:b w:val="0"/>
              <w:bCs w:val="0"/>
              <w:noProof/>
              <w:kern w:val="2"/>
              <w14:ligatures w14:val="standardContextual"/>
            </w:rPr>
          </w:pPr>
          <w:hyperlink w:anchor="_Toc180331641" w:history="1">
            <w:r w:rsidRPr="0005566E">
              <w:rPr>
                <w:rStyle w:val="Hyperlink"/>
                <w:noProof/>
              </w:rPr>
              <w:t>Adaptivity by level of education</w:t>
            </w:r>
            <w:r>
              <w:rPr>
                <w:noProof/>
                <w:webHidden/>
              </w:rPr>
              <w:tab/>
            </w:r>
            <w:r>
              <w:rPr>
                <w:noProof/>
                <w:webHidden/>
              </w:rPr>
              <w:fldChar w:fldCharType="begin"/>
            </w:r>
            <w:r>
              <w:rPr>
                <w:noProof/>
                <w:webHidden/>
              </w:rPr>
              <w:instrText xml:space="preserve"> PAGEREF _Toc180331641 \h </w:instrText>
            </w:r>
            <w:r>
              <w:rPr>
                <w:noProof/>
                <w:webHidden/>
              </w:rPr>
            </w:r>
            <w:r>
              <w:rPr>
                <w:noProof/>
                <w:webHidden/>
              </w:rPr>
              <w:fldChar w:fldCharType="separate"/>
            </w:r>
            <w:r>
              <w:rPr>
                <w:noProof/>
                <w:webHidden/>
              </w:rPr>
              <w:t>4</w:t>
            </w:r>
            <w:r>
              <w:rPr>
                <w:noProof/>
                <w:webHidden/>
              </w:rPr>
              <w:fldChar w:fldCharType="end"/>
            </w:r>
          </w:hyperlink>
        </w:p>
        <w:p w14:paraId="64036806" w14:textId="5919A62A" w:rsidR="0055122C" w:rsidRDefault="0055122C">
          <w:pPr>
            <w:pStyle w:val="TOC2"/>
            <w:tabs>
              <w:tab w:val="right" w:leader="dot" w:pos="9350"/>
            </w:tabs>
            <w:rPr>
              <w:rFonts w:asciiTheme="minorHAnsi" w:eastAsiaTheme="minorEastAsia" w:hAnsiTheme="minorHAnsi" w:cstheme="minorBidi"/>
              <w:b w:val="0"/>
              <w:bCs w:val="0"/>
              <w:noProof/>
              <w:kern w:val="2"/>
              <w14:ligatures w14:val="standardContextual"/>
            </w:rPr>
          </w:pPr>
          <w:hyperlink w:anchor="_Toc180331642" w:history="1">
            <w:r w:rsidRPr="0005566E">
              <w:rPr>
                <w:rStyle w:val="Hyperlink"/>
                <w:noProof/>
              </w:rPr>
              <w:t>Institution type and the level of adaptivity</w:t>
            </w:r>
            <w:r>
              <w:rPr>
                <w:noProof/>
                <w:webHidden/>
              </w:rPr>
              <w:tab/>
            </w:r>
            <w:r>
              <w:rPr>
                <w:noProof/>
                <w:webHidden/>
              </w:rPr>
              <w:fldChar w:fldCharType="begin"/>
            </w:r>
            <w:r>
              <w:rPr>
                <w:noProof/>
                <w:webHidden/>
              </w:rPr>
              <w:instrText xml:space="preserve"> PAGEREF _Toc180331642 \h </w:instrText>
            </w:r>
            <w:r>
              <w:rPr>
                <w:noProof/>
                <w:webHidden/>
              </w:rPr>
            </w:r>
            <w:r>
              <w:rPr>
                <w:noProof/>
                <w:webHidden/>
              </w:rPr>
              <w:fldChar w:fldCharType="separate"/>
            </w:r>
            <w:r>
              <w:rPr>
                <w:noProof/>
                <w:webHidden/>
              </w:rPr>
              <w:t>5</w:t>
            </w:r>
            <w:r>
              <w:rPr>
                <w:noProof/>
                <w:webHidden/>
              </w:rPr>
              <w:fldChar w:fldCharType="end"/>
            </w:r>
          </w:hyperlink>
        </w:p>
        <w:p w14:paraId="71BA883E" w14:textId="4CF6A084" w:rsidR="0055122C" w:rsidRDefault="0055122C">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0331643" w:history="1">
            <w:r w:rsidRPr="0005566E">
              <w:rPr>
                <w:rStyle w:val="Hyperlink"/>
                <w:noProof/>
              </w:rPr>
              <w:t>Results</w:t>
            </w:r>
            <w:r>
              <w:rPr>
                <w:noProof/>
                <w:webHidden/>
              </w:rPr>
              <w:tab/>
            </w:r>
            <w:r>
              <w:rPr>
                <w:noProof/>
                <w:webHidden/>
              </w:rPr>
              <w:fldChar w:fldCharType="begin"/>
            </w:r>
            <w:r>
              <w:rPr>
                <w:noProof/>
                <w:webHidden/>
              </w:rPr>
              <w:instrText xml:space="preserve"> PAGEREF _Toc180331643 \h </w:instrText>
            </w:r>
            <w:r>
              <w:rPr>
                <w:noProof/>
                <w:webHidden/>
              </w:rPr>
            </w:r>
            <w:r>
              <w:rPr>
                <w:noProof/>
                <w:webHidden/>
              </w:rPr>
              <w:fldChar w:fldCharType="separate"/>
            </w:r>
            <w:r>
              <w:rPr>
                <w:noProof/>
                <w:webHidden/>
              </w:rPr>
              <w:t>7</w:t>
            </w:r>
            <w:r>
              <w:rPr>
                <w:noProof/>
                <w:webHidden/>
              </w:rPr>
              <w:fldChar w:fldCharType="end"/>
            </w:r>
          </w:hyperlink>
        </w:p>
        <w:p w14:paraId="1C09991A" w14:textId="47BA7F4B" w:rsidR="0055122C" w:rsidRDefault="0055122C">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0331644" w:history="1">
            <w:r w:rsidRPr="0005566E">
              <w:rPr>
                <w:rStyle w:val="Hyperlink"/>
                <w:noProof/>
              </w:rPr>
              <w:t>Recommendations/Ethical Considerations</w:t>
            </w:r>
            <w:r>
              <w:rPr>
                <w:noProof/>
                <w:webHidden/>
              </w:rPr>
              <w:tab/>
            </w:r>
            <w:r>
              <w:rPr>
                <w:noProof/>
                <w:webHidden/>
              </w:rPr>
              <w:fldChar w:fldCharType="begin"/>
            </w:r>
            <w:r>
              <w:rPr>
                <w:noProof/>
                <w:webHidden/>
              </w:rPr>
              <w:instrText xml:space="preserve"> PAGEREF _Toc180331644 \h </w:instrText>
            </w:r>
            <w:r>
              <w:rPr>
                <w:noProof/>
                <w:webHidden/>
              </w:rPr>
            </w:r>
            <w:r>
              <w:rPr>
                <w:noProof/>
                <w:webHidden/>
              </w:rPr>
              <w:fldChar w:fldCharType="separate"/>
            </w:r>
            <w:r>
              <w:rPr>
                <w:noProof/>
                <w:webHidden/>
              </w:rPr>
              <w:t>8</w:t>
            </w:r>
            <w:r>
              <w:rPr>
                <w:noProof/>
                <w:webHidden/>
              </w:rPr>
              <w:fldChar w:fldCharType="end"/>
            </w:r>
          </w:hyperlink>
        </w:p>
        <w:p w14:paraId="3743478C" w14:textId="2B33E045" w:rsidR="0055122C" w:rsidRDefault="0055122C">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0331645" w:history="1">
            <w:r w:rsidRPr="0005566E">
              <w:rPr>
                <w:rStyle w:val="Hyperlink"/>
                <w:noProof/>
              </w:rPr>
              <w:t>Conclusion</w:t>
            </w:r>
            <w:r>
              <w:rPr>
                <w:noProof/>
                <w:webHidden/>
              </w:rPr>
              <w:tab/>
            </w:r>
            <w:r>
              <w:rPr>
                <w:noProof/>
                <w:webHidden/>
              </w:rPr>
              <w:fldChar w:fldCharType="begin"/>
            </w:r>
            <w:r>
              <w:rPr>
                <w:noProof/>
                <w:webHidden/>
              </w:rPr>
              <w:instrText xml:space="preserve"> PAGEREF _Toc180331645 \h </w:instrText>
            </w:r>
            <w:r>
              <w:rPr>
                <w:noProof/>
                <w:webHidden/>
              </w:rPr>
            </w:r>
            <w:r>
              <w:rPr>
                <w:noProof/>
                <w:webHidden/>
              </w:rPr>
              <w:fldChar w:fldCharType="separate"/>
            </w:r>
            <w:r>
              <w:rPr>
                <w:noProof/>
                <w:webHidden/>
              </w:rPr>
              <w:t>9</w:t>
            </w:r>
            <w:r>
              <w:rPr>
                <w:noProof/>
                <w:webHidden/>
              </w:rPr>
              <w:fldChar w:fldCharType="end"/>
            </w:r>
          </w:hyperlink>
        </w:p>
        <w:p w14:paraId="2B1C9C2E" w14:textId="0BD48885" w:rsidR="0055122C" w:rsidRDefault="0055122C">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0331646" w:history="1">
            <w:r w:rsidRPr="0005566E">
              <w:rPr>
                <w:rStyle w:val="Hyperlink"/>
                <w:noProof/>
              </w:rPr>
              <w:t>References</w:t>
            </w:r>
            <w:r>
              <w:rPr>
                <w:noProof/>
                <w:webHidden/>
              </w:rPr>
              <w:tab/>
            </w:r>
            <w:r>
              <w:rPr>
                <w:noProof/>
                <w:webHidden/>
              </w:rPr>
              <w:fldChar w:fldCharType="begin"/>
            </w:r>
            <w:r>
              <w:rPr>
                <w:noProof/>
                <w:webHidden/>
              </w:rPr>
              <w:instrText xml:space="preserve"> PAGEREF _Toc180331646 \h </w:instrText>
            </w:r>
            <w:r>
              <w:rPr>
                <w:noProof/>
                <w:webHidden/>
              </w:rPr>
            </w:r>
            <w:r>
              <w:rPr>
                <w:noProof/>
                <w:webHidden/>
              </w:rPr>
              <w:fldChar w:fldCharType="separate"/>
            </w:r>
            <w:r>
              <w:rPr>
                <w:noProof/>
                <w:webHidden/>
              </w:rPr>
              <w:t>9</w:t>
            </w:r>
            <w:r>
              <w:rPr>
                <w:noProof/>
                <w:webHidden/>
              </w:rPr>
              <w:fldChar w:fldCharType="end"/>
            </w:r>
          </w:hyperlink>
        </w:p>
        <w:p w14:paraId="03A04DC8" w14:textId="6C222DC9" w:rsidR="0055122C" w:rsidRDefault="0055122C">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0331647" w:history="1">
            <w:r w:rsidRPr="0005566E">
              <w:rPr>
                <w:rStyle w:val="Hyperlink"/>
                <w:noProof/>
              </w:rPr>
              <w:t>Appendix</w:t>
            </w:r>
            <w:r>
              <w:rPr>
                <w:noProof/>
                <w:webHidden/>
              </w:rPr>
              <w:tab/>
            </w:r>
            <w:r>
              <w:rPr>
                <w:noProof/>
                <w:webHidden/>
              </w:rPr>
              <w:fldChar w:fldCharType="begin"/>
            </w:r>
            <w:r>
              <w:rPr>
                <w:noProof/>
                <w:webHidden/>
              </w:rPr>
              <w:instrText xml:space="preserve"> PAGEREF _Toc180331647 \h </w:instrText>
            </w:r>
            <w:r>
              <w:rPr>
                <w:noProof/>
                <w:webHidden/>
              </w:rPr>
            </w:r>
            <w:r>
              <w:rPr>
                <w:noProof/>
                <w:webHidden/>
              </w:rPr>
              <w:fldChar w:fldCharType="separate"/>
            </w:r>
            <w:r>
              <w:rPr>
                <w:noProof/>
                <w:webHidden/>
              </w:rPr>
              <w:t>9</w:t>
            </w:r>
            <w:r>
              <w:rPr>
                <w:noProof/>
                <w:webHidden/>
              </w:rPr>
              <w:fldChar w:fldCharType="end"/>
            </w:r>
          </w:hyperlink>
        </w:p>
        <w:p w14:paraId="0000001C" w14:textId="37D4A68E" w:rsidR="00D92D9A" w:rsidRDefault="00E92E12" w:rsidP="06EF0FC4">
          <w:pPr>
            <w:rPr>
              <w:rFonts w:asciiTheme="minorHAnsi" w:eastAsiaTheme="minorEastAsia" w:hAnsiTheme="minorHAnsi" w:cstheme="minorBidi"/>
              <w:b/>
              <w:bCs/>
            </w:rPr>
          </w:pPr>
          <w:r>
            <w:fldChar w:fldCharType="end"/>
          </w:r>
        </w:p>
      </w:sdtContent>
    </w:sdt>
    <w:p w14:paraId="44BAC35E" w14:textId="781F7D5E" w:rsidR="660AF0A8" w:rsidRDefault="660AF0A8">
      <w:r>
        <w:br w:type="page"/>
      </w:r>
    </w:p>
    <w:p w14:paraId="0000001D" w14:textId="77777777" w:rsidR="00D92D9A" w:rsidRDefault="00D92D9A" w:rsidP="06EF0FC4">
      <w:pPr>
        <w:jc w:val="center"/>
        <w:rPr>
          <w:rFonts w:asciiTheme="minorHAnsi" w:eastAsiaTheme="minorEastAsia" w:hAnsiTheme="minorHAnsi" w:cstheme="minorBidi"/>
        </w:rPr>
      </w:pPr>
    </w:p>
    <w:p w14:paraId="0000001E" w14:textId="77777777" w:rsidR="00D92D9A" w:rsidRDefault="18308BB8" w:rsidP="660AF0A8">
      <w:pPr>
        <w:pStyle w:val="Heading1"/>
        <w:rPr>
          <w:rFonts w:asciiTheme="minorHAnsi" w:eastAsiaTheme="minorEastAsia" w:hAnsiTheme="minorHAnsi" w:cstheme="minorBidi"/>
        </w:rPr>
      </w:pPr>
      <w:bookmarkStart w:id="0" w:name="_Toc180331636"/>
      <w:r w:rsidRPr="660AF0A8">
        <w:rPr>
          <w:rFonts w:asciiTheme="minorHAnsi" w:eastAsiaTheme="minorEastAsia" w:hAnsiTheme="minorHAnsi" w:cstheme="minorBidi"/>
        </w:rPr>
        <w:t>Introduction</w:t>
      </w:r>
      <w:bookmarkEnd w:id="0"/>
    </w:p>
    <w:p w14:paraId="5CE82806" w14:textId="0B064A85" w:rsidR="660AF0A8" w:rsidRDefault="660AF0A8" w:rsidP="660AF0A8">
      <w:pPr>
        <w:rPr>
          <w:color w:val="000000" w:themeColor="text1"/>
          <w:sz w:val="24"/>
          <w:szCs w:val="24"/>
        </w:rPr>
      </w:pPr>
    </w:p>
    <w:p w14:paraId="7D560379" w14:textId="2F722C5C" w:rsidR="08008B6E" w:rsidRDefault="08008B6E" w:rsidP="660AF0A8">
      <w:pPr>
        <w:ind w:firstLine="720"/>
        <w:rPr>
          <w:rFonts w:asciiTheme="minorHAnsi" w:eastAsiaTheme="minorEastAsia" w:hAnsiTheme="minorHAnsi" w:cstheme="minorBidi"/>
          <w:color w:val="1F1F1F"/>
          <w:sz w:val="24"/>
          <w:szCs w:val="24"/>
        </w:rPr>
      </w:pPr>
      <w:r w:rsidRPr="660AF0A8">
        <w:rPr>
          <w:rFonts w:asciiTheme="minorHAnsi" w:eastAsiaTheme="minorEastAsia" w:hAnsiTheme="minorHAnsi" w:cstheme="minorBidi"/>
          <w:color w:val="000000" w:themeColor="text1"/>
          <w:sz w:val="24"/>
          <w:szCs w:val="24"/>
        </w:rPr>
        <w:t xml:space="preserve">As time passes, more students have shifted to online learning. This change has brought about its own set of advantages and disadvantages as students around the world navigate this new environment. </w:t>
      </w:r>
      <w:r w:rsidRPr="660AF0A8">
        <w:rPr>
          <w:rFonts w:asciiTheme="minorHAnsi" w:eastAsiaTheme="minorEastAsia" w:hAnsiTheme="minorHAnsi" w:cstheme="minorBidi"/>
          <w:color w:val="1F1F1F"/>
          <w:sz w:val="24"/>
          <w:szCs w:val="24"/>
        </w:rPr>
        <w:t xml:space="preserve">This study explores the factors that influence student adaptability to this new educational landscape, with a particular focus on demographic factors and access to technology. Through a survey of 1,205 participants, we delved into the complexities of online learning, seeking to understand how students from diverse backgrounds and varying levels of technological proficiency navigate this digital frontier. </w:t>
      </w:r>
    </w:p>
    <w:p w14:paraId="0CA28F0E" w14:textId="54727AA5" w:rsidR="08008B6E" w:rsidRDefault="08008B6E" w:rsidP="660AF0A8">
      <w:pPr>
        <w:ind w:firstLine="720"/>
        <w:rPr>
          <w:rFonts w:asciiTheme="minorHAnsi" w:eastAsiaTheme="minorEastAsia" w:hAnsiTheme="minorHAnsi" w:cstheme="minorBidi"/>
          <w:color w:val="1F1F1F"/>
          <w:sz w:val="24"/>
          <w:szCs w:val="24"/>
        </w:rPr>
      </w:pPr>
      <w:r w:rsidRPr="660AF0A8">
        <w:rPr>
          <w:rFonts w:asciiTheme="minorHAnsi" w:eastAsiaTheme="minorEastAsia" w:hAnsiTheme="minorHAnsi" w:cstheme="minorBidi"/>
          <w:color w:val="1F1F1F"/>
          <w:sz w:val="24"/>
          <w:szCs w:val="24"/>
        </w:rPr>
        <w:t>Using a combination of exploratory data analysis and machine learning (particularly multiple linear regression), our analysis considers a range of factors, including gender, education level, institution type, internet connectivity, and financial resources, to paint a comprehensive picture of the online learning experience. By shedding light on the key drivers of adaptability, this study aims to inform educational institutions and policymakers on how to better support students in this evolving educational paradigm.</w:t>
      </w:r>
    </w:p>
    <w:p w14:paraId="0000001F" w14:textId="6BA5A743" w:rsidR="00D92D9A" w:rsidRDefault="18308BB8" w:rsidP="660AF0A8">
      <w:pPr>
        <w:pStyle w:val="Heading1"/>
        <w:rPr>
          <w:rFonts w:asciiTheme="minorHAnsi" w:eastAsiaTheme="minorEastAsia" w:hAnsiTheme="minorHAnsi" w:cstheme="minorBidi"/>
        </w:rPr>
      </w:pPr>
      <w:bookmarkStart w:id="1" w:name="_Toc180331637"/>
      <w:r w:rsidRPr="660AF0A8">
        <w:rPr>
          <w:rFonts w:asciiTheme="minorHAnsi" w:eastAsiaTheme="minorEastAsia" w:hAnsiTheme="minorHAnsi" w:cstheme="minorBidi"/>
        </w:rPr>
        <w:t>Business Problem</w:t>
      </w:r>
      <w:r w:rsidR="227B38F4" w:rsidRPr="660AF0A8">
        <w:rPr>
          <w:rFonts w:asciiTheme="minorHAnsi" w:eastAsiaTheme="minorEastAsia" w:hAnsiTheme="minorHAnsi" w:cstheme="minorBidi"/>
        </w:rPr>
        <w:t>/Hypothesis</w:t>
      </w:r>
      <w:bookmarkEnd w:id="1"/>
    </w:p>
    <w:p w14:paraId="00000020" w14:textId="19D414F1" w:rsidR="00D92D9A" w:rsidRDefault="47F2467C" w:rsidP="660AF0A8">
      <w:pPr>
        <w:ind w:firstLine="72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One </w:t>
      </w:r>
      <w:bookmarkStart w:id="2" w:name="_Int_1waTBz2E"/>
      <w:proofErr w:type="gramStart"/>
      <w:r w:rsidRPr="660AF0A8">
        <w:rPr>
          <w:rFonts w:asciiTheme="minorHAnsi" w:eastAsiaTheme="minorEastAsia" w:hAnsiTheme="minorHAnsi" w:cstheme="minorBidi"/>
          <w:sz w:val="24"/>
          <w:szCs w:val="24"/>
        </w:rPr>
        <w:t>particular issue</w:t>
      </w:r>
      <w:bookmarkEnd w:id="2"/>
      <w:proofErr w:type="gramEnd"/>
      <w:r w:rsidRPr="660AF0A8">
        <w:rPr>
          <w:rFonts w:asciiTheme="minorHAnsi" w:eastAsiaTheme="minorEastAsia" w:hAnsiTheme="minorHAnsi" w:cstheme="minorBidi"/>
          <w:sz w:val="24"/>
          <w:szCs w:val="24"/>
        </w:rPr>
        <w:t xml:space="preserve"> stands out from the others: are students adapting or struggling to this new paradigm? A disconnect caused by difficulties with online learning would pose a problem for educational institutions as they strive to provide high-quality education and ensure student success in this environment. Therefore, the main problem we are trying to tackle is understanding the key factors that influence student adaptability to online learning and developing targeted interventions to improve the overall online learning experience and outcomes. By addressing this issue, educational institutions can enhance student engagement, retention, and ultimately, their academic success in the digital age.</w:t>
      </w:r>
    </w:p>
    <w:p w14:paraId="581B40F5" w14:textId="65D12943" w:rsidR="47F2467C" w:rsidRDefault="47F2467C" w:rsidP="660AF0A8">
      <w:pPr>
        <w:rPr>
          <w:rFonts w:asciiTheme="minorHAnsi" w:eastAsiaTheme="minorEastAsia" w:hAnsiTheme="minorHAnsi" w:cstheme="minorBidi"/>
          <w:sz w:val="24"/>
          <w:szCs w:val="24"/>
        </w:rPr>
      </w:pPr>
      <w:r w:rsidRPr="660AF0A8">
        <w:rPr>
          <w:rFonts w:asciiTheme="minorHAnsi" w:eastAsiaTheme="minorEastAsia" w:hAnsiTheme="minorHAnsi" w:cstheme="minorBidi"/>
          <w:b/>
          <w:bCs/>
          <w:sz w:val="24"/>
          <w:szCs w:val="24"/>
        </w:rPr>
        <w:t>Hypothesis:</w:t>
      </w:r>
      <w:r w:rsidR="28B504EF" w:rsidRPr="660AF0A8">
        <w:rPr>
          <w:rFonts w:asciiTheme="minorHAnsi" w:eastAsiaTheme="minorEastAsia" w:hAnsiTheme="minorHAnsi" w:cstheme="minorBidi"/>
          <w:b/>
          <w:bCs/>
          <w:sz w:val="24"/>
          <w:szCs w:val="24"/>
        </w:rPr>
        <w:t xml:space="preserve"> </w:t>
      </w:r>
      <w:r w:rsidR="28B504EF" w:rsidRPr="660AF0A8">
        <w:rPr>
          <w:rFonts w:asciiTheme="minorHAnsi" w:eastAsiaTheme="minorEastAsia" w:hAnsiTheme="minorHAnsi" w:cstheme="minorBidi"/>
          <w:sz w:val="24"/>
          <w:szCs w:val="24"/>
        </w:rPr>
        <w:t>We hypothesize that the data will reveal</w:t>
      </w:r>
      <w:r w:rsidR="620FEC9B" w:rsidRPr="660AF0A8">
        <w:rPr>
          <w:rFonts w:asciiTheme="minorHAnsi" w:eastAsiaTheme="minorEastAsia" w:hAnsiTheme="minorHAnsi" w:cstheme="minorBidi"/>
          <w:sz w:val="24"/>
          <w:szCs w:val="24"/>
        </w:rPr>
        <w:t xml:space="preserve"> a significant struggle and </w:t>
      </w:r>
      <w:r w:rsidR="2805C42A" w:rsidRPr="660AF0A8">
        <w:rPr>
          <w:rFonts w:asciiTheme="minorHAnsi" w:eastAsiaTheme="minorEastAsia" w:hAnsiTheme="minorHAnsi" w:cstheme="minorBidi"/>
          <w:sz w:val="24"/>
          <w:szCs w:val="24"/>
        </w:rPr>
        <w:t>learning curve when it comes to online learning</w:t>
      </w:r>
      <w:r w:rsidR="36182C63" w:rsidRPr="660AF0A8">
        <w:rPr>
          <w:rFonts w:asciiTheme="minorHAnsi" w:eastAsiaTheme="minorEastAsia" w:hAnsiTheme="minorHAnsi" w:cstheme="minorBidi"/>
          <w:sz w:val="24"/>
          <w:szCs w:val="24"/>
        </w:rPr>
        <w:t xml:space="preserve"> compared to learning in person</w:t>
      </w:r>
      <w:r w:rsidR="2805C42A" w:rsidRPr="660AF0A8">
        <w:rPr>
          <w:rFonts w:asciiTheme="minorHAnsi" w:eastAsiaTheme="minorEastAsia" w:hAnsiTheme="minorHAnsi" w:cstheme="minorBidi"/>
          <w:sz w:val="24"/>
          <w:szCs w:val="24"/>
        </w:rPr>
        <w:t xml:space="preserve">. </w:t>
      </w:r>
    </w:p>
    <w:p w14:paraId="0AD738F9" w14:textId="3F67865A" w:rsidR="660AF0A8" w:rsidRDefault="660AF0A8" w:rsidP="660AF0A8">
      <w:pPr>
        <w:rPr>
          <w:rFonts w:asciiTheme="minorHAnsi" w:eastAsiaTheme="minorEastAsia" w:hAnsiTheme="minorHAnsi" w:cstheme="minorBidi"/>
          <w:sz w:val="24"/>
          <w:szCs w:val="24"/>
        </w:rPr>
      </w:pPr>
    </w:p>
    <w:p w14:paraId="06161D86" w14:textId="2EB9FAF5" w:rsidR="660AF0A8" w:rsidRDefault="660AF0A8" w:rsidP="660AF0A8">
      <w:pPr>
        <w:rPr>
          <w:rFonts w:asciiTheme="minorHAnsi" w:eastAsiaTheme="minorEastAsia" w:hAnsiTheme="minorHAnsi" w:cstheme="minorBidi"/>
          <w:sz w:val="24"/>
          <w:szCs w:val="24"/>
        </w:rPr>
      </w:pPr>
    </w:p>
    <w:p w14:paraId="1966281C" w14:textId="231206F4" w:rsidR="660AF0A8" w:rsidRDefault="660AF0A8" w:rsidP="660AF0A8">
      <w:pPr>
        <w:rPr>
          <w:rFonts w:asciiTheme="minorHAnsi" w:eastAsiaTheme="minorEastAsia" w:hAnsiTheme="minorHAnsi" w:cstheme="minorBidi"/>
          <w:sz w:val="24"/>
          <w:szCs w:val="24"/>
        </w:rPr>
      </w:pPr>
    </w:p>
    <w:p w14:paraId="00000021" w14:textId="77777777" w:rsidR="00D92D9A" w:rsidRDefault="18308BB8" w:rsidP="660AF0A8">
      <w:pPr>
        <w:pStyle w:val="Heading1"/>
        <w:rPr>
          <w:rFonts w:asciiTheme="minorHAnsi" w:eastAsiaTheme="minorEastAsia" w:hAnsiTheme="minorHAnsi" w:cstheme="minorBidi"/>
        </w:rPr>
      </w:pPr>
      <w:bookmarkStart w:id="3" w:name="_Toc180331638"/>
      <w:r w:rsidRPr="660AF0A8">
        <w:rPr>
          <w:rFonts w:asciiTheme="minorHAnsi" w:eastAsiaTheme="minorEastAsia" w:hAnsiTheme="minorHAnsi" w:cstheme="minorBidi"/>
        </w:rPr>
        <w:t>Methods/Analysis</w:t>
      </w:r>
      <w:bookmarkEnd w:id="3"/>
    </w:p>
    <w:p w14:paraId="6366F577" w14:textId="49998686" w:rsidR="660AF0A8" w:rsidRDefault="660AF0A8" w:rsidP="660AF0A8"/>
    <w:p w14:paraId="5C356D0F" w14:textId="074B881D" w:rsidR="00D92D9A" w:rsidRDefault="3BC84D81" w:rsidP="06EF0FC4">
      <w:pPr>
        <w:pStyle w:val="Heading2"/>
        <w:rPr>
          <w:rFonts w:asciiTheme="minorHAnsi" w:eastAsiaTheme="minorEastAsia" w:hAnsiTheme="minorHAnsi" w:cstheme="minorBidi"/>
          <w:smallCaps w:val="0"/>
          <w:color w:val="000000" w:themeColor="text1"/>
          <w:sz w:val="24"/>
          <w:szCs w:val="24"/>
        </w:rPr>
      </w:pPr>
      <w:bookmarkStart w:id="4" w:name="_Toc180331639"/>
      <w:r w:rsidRPr="06EF0FC4">
        <w:t>HOW STUDENTS ARE ADAPTING TO ONLINE LEARNING</w:t>
      </w:r>
      <w:bookmarkEnd w:id="4"/>
    </w:p>
    <w:p w14:paraId="6DA53304" w14:textId="77777777" w:rsidR="007A2FBC" w:rsidRDefault="573204A0" w:rsidP="007A2FBC">
      <w:pPr>
        <w:keepNext/>
        <w:spacing w:before="240" w:after="240"/>
      </w:pPr>
      <w:r>
        <w:rPr>
          <w:noProof/>
        </w:rPr>
        <w:drawing>
          <wp:inline distT="0" distB="0" distL="0" distR="0" wp14:anchorId="5B2204C4" wp14:editId="46FDF552">
            <wp:extent cx="4047478" cy="4008560"/>
            <wp:effectExtent l="0" t="0" r="0" b="0"/>
            <wp:docPr id="2111517410" name="Picture 2111517410" descr="Figure 1- A pie chart showing the proportion of adaptivity levels for students who are doing onl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17410" name="Picture 2111517410" descr="Figure 1- A pie chart showing the proportion of adaptivity levels for students who are doing online learning."/>
                    <pic:cNvPicPr/>
                  </pic:nvPicPr>
                  <pic:blipFill>
                    <a:blip r:embed="rId6">
                      <a:extLst>
                        <a:ext uri="{28A0092B-C50C-407E-A947-70E740481C1C}">
                          <a14:useLocalDpi xmlns:a14="http://schemas.microsoft.com/office/drawing/2010/main" val="0"/>
                        </a:ext>
                      </a:extLst>
                    </a:blip>
                    <a:stretch>
                      <a:fillRect/>
                    </a:stretch>
                  </pic:blipFill>
                  <pic:spPr>
                    <a:xfrm>
                      <a:off x="0" y="0"/>
                      <a:ext cx="4047478" cy="4008560"/>
                    </a:xfrm>
                    <a:prstGeom prst="rect">
                      <a:avLst/>
                    </a:prstGeom>
                  </pic:spPr>
                </pic:pic>
              </a:graphicData>
            </a:graphic>
          </wp:inline>
        </w:drawing>
      </w:r>
    </w:p>
    <w:p w14:paraId="2188709D" w14:textId="53A0E20E" w:rsidR="00D92D9A" w:rsidRDefault="007A2FBC" w:rsidP="007A2FBC">
      <w:pPr>
        <w:pStyle w:val="Caption"/>
      </w:pPr>
      <w:r>
        <w:t xml:space="preserve">Figure </w:t>
      </w:r>
      <w:fldSimple w:instr=" SEQ Figure \* ARABIC ">
        <w:r>
          <w:rPr>
            <w:noProof/>
          </w:rPr>
          <w:t>1</w:t>
        </w:r>
      </w:fldSimple>
    </w:p>
    <w:p w14:paraId="10DF000C" w14:textId="236D4AED" w:rsidR="00D92D9A" w:rsidRDefault="3BC84D81"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color w:val="000000" w:themeColor="text1"/>
          <w:sz w:val="24"/>
          <w:szCs w:val="24"/>
        </w:rPr>
        <w:t>A survey that contained 1,205 participants, only 7.6% highly adapted to online education. Those who performed moderately were 48.1% and 44.3% performed poorly.</w:t>
      </w:r>
      <w:r w:rsidR="007A2FBC">
        <w:rPr>
          <w:rFonts w:asciiTheme="minorHAnsi" w:eastAsiaTheme="minorEastAsia" w:hAnsiTheme="minorHAnsi" w:cstheme="minorBidi"/>
          <w:color w:val="000000" w:themeColor="text1"/>
          <w:sz w:val="24"/>
          <w:szCs w:val="24"/>
        </w:rPr>
        <w:t xml:space="preserve"> You can see that based on the pie chart presented in figure 1.</w:t>
      </w:r>
    </w:p>
    <w:p w14:paraId="7E7D5371" w14:textId="64A4EDE3" w:rsidR="00D92D9A" w:rsidRDefault="1EB97B20" w:rsidP="06EF0FC4">
      <w:pPr>
        <w:pStyle w:val="Heading2"/>
        <w:rPr>
          <w:rFonts w:asciiTheme="minorHAnsi" w:eastAsiaTheme="minorEastAsia" w:hAnsiTheme="minorHAnsi" w:cstheme="minorBidi"/>
          <w:smallCaps w:val="0"/>
          <w:color w:val="000000" w:themeColor="text1"/>
          <w:sz w:val="24"/>
          <w:szCs w:val="24"/>
        </w:rPr>
      </w:pPr>
      <w:bookmarkStart w:id="5" w:name="_Toc180331640"/>
      <w:r w:rsidRPr="06EF0FC4">
        <w:t>Adaptability</w:t>
      </w:r>
      <w:r w:rsidR="3BC84D81" w:rsidRPr="06EF0FC4">
        <w:t xml:space="preserve"> vs. IT Students</w:t>
      </w:r>
      <w:bookmarkEnd w:id="5"/>
    </w:p>
    <w:p w14:paraId="1600ACB8" w14:textId="77777777" w:rsidR="007A2FBC" w:rsidRDefault="20E2A195" w:rsidP="007A2FBC">
      <w:pPr>
        <w:keepNext/>
        <w:spacing w:before="240" w:after="240"/>
      </w:pPr>
      <w:r>
        <w:rPr>
          <w:noProof/>
        </w:rPr>
        <w:lastRenderedPageBreak/>
        <w:drawing>
          <wp:inline distT="0" distB="0" distL="0" distR="0" wp14:anchorId="169E65D2" wp14:editId="174CB8A7">
            <wp:extent cx="4368034" cy="3248025"/>
            <wp:effectExtent l="0" t="0" r="0" b="0"/>
            <wp:docPr id="635944432" name="Picture 63594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68034" cy="3248025"/>
                    </a:xfrm>
                    <a:prstGeom prst="rect">
                      <a:avLst/>
                    </a:prstGeom>
                  </pic:spPr>
                </pic:pic>
              </a:graphicData>
            </a:graphic>
          </wp:inline>
        </w:drawing>
      </w:r>
    </w:p>
    <w:p w14:paraId="7CAE29F7" w14:textId="5FE8602C" w:rsidR="00D92D9A" w:rsidRDefault="007A2FBC" w:rsidP="007A2FBC">
      <w:pPr>
        <w:pStyle w:val="Caption"/>
      </w:pPr>
      <w:r>
        <w:t xml:space="preserve">Figure </w:t>
      </w:r>
      <w:fldSimple w:instr=" SEQ Figure \* ARABIC ">
        <w:r>
          <w:rPr>
            <w:noProof/>
          </w:rPr>
          <w:t>2</w:t>
        </w:r>
      </w:fldSimple>
    </w:p>
    <w:p w14:paraId="654A3C94" w14:textId="72542383" w:rsidR="00D92D9A" w:rsidRDefault="3BC84D81" w:rsidP="06EF0FC4">
      <w:pPr>
        <w:spacing w:before="240" w:after="240"/>
        <w:rPr>
          <w:rFonts w:asciiTheme="minorHAnsi" w:eastAsiaTheme="minorEastAsia" w:hAnsiTheme="minorHAnsi" w:cstheme="minorBidi"/>
          <w:b/>
          <w:bCs/>
          <w:color w:val="000000" w:themeColor="text1"/>
          <w:sz w:val="24"/>
          <w:szCs w:val="24"/>
        </w:rPr>
      </w:pPr>
      <w:r w:rsidRPr="06EF0FC4">
        <w:rPr>
          <w:rFonts w:asciiTheme="minorHAnsi" w:eastAsiaTheme="minorEastAsia" w:hAnsiTheme="minorHAnsi" w:cstheme="minorBidi"/>
          <w:b/>
          <w:bCs/>
          <w:color w:val="000000" w:themeColor="text1"/>
          <w:sz w:val="24"/>
          <w:szCs w:val="24"/>
        </w:rPr>
        <w:t>IT Student</w:t>
      </w:r>
    </w:p>
    <w:p w14:paraId="6704186E" w14:textId="2B78C203" w:rsidR="00D92D9A" w:rsidRDefault="3BC84D81"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No</w:t>
      </w:r>
      <w:r w:rsidR="11A5FEDA" w:rsidRPr="06EF0FC4">
        <w:rPr>
          <w:rFonts w:asciiTheme="minorHAnsi" w:eastAsiaTheme="minorEastAsia" w:hAnsiTheme="minorHAnsi" w:cstheme="minorBidi"/>
          <w:b/>
          <w:bCs/>
          <w:color w:val="000000" w:themeColor="text1"/>
          <w:sz w:val="24"/>
          <w:szCs w:val="24"/>
        </w:rPr>
        <w:t>:</w:t>
      </w:r>
      <w:r w:rsidRPr="06EF0FC4">
        <w:rPr>
          <w:rFonts w:asciiTheme="minorHAnsi" w:eastAsiaTheme="minorEastAsia" w:hAnsiTheme="minorHAnsi" w:cstheme="minorBidi"/>
          <w:b/>
          <w:bCs/>
          <w:color w:val="000000" w:themeColor="text1"/>
          <w:sz w:val="24"/>
          <w:szCs w:val="24"/>
        </w:rPr>
        <w:t xml:space="preserve"> </w:t>
      </w:r>
      <w:r w:rsidRPr="06EF0FC4">
        <w:rPr>
          <w:rFonts w:asciiTheme="minorHAnsi" w:eastAsiaTheme="minorEastAsia" w:hAnsiTheme="minorHAnsi" w:cstheme="minorBidi"/>
          <w:color w:val="000000" w:themeColor="text1"/>
          <w:sz w:val="24"/>
          <w:szCs w:val="24"/>
        </w:rPr>
        <w:t>1.530474</w:t>
      </w:r>
    </w:p>
    <w:p w14:paraId="01C36898" w14:textId="0CF35491" w:rsidR="00D92D9A" w:rsidRDefault="3BC84D81"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Yes</w:t>
      </w:r>
      <w:r w:rsidR="4545851E" w:rsidRPr="06EF0FC4">
        <w:rPr>
          <w:rFonts w:asciiTheme="minorHAnsi" w:eastAsiaTheme="minorEastAsia" w:hAnsiTheme="minorHAnsi" w:cstheme="minorBidi"/>
          <w:b/>
          <w:bCs/>
          <w:color w:val="000000" w:themeColor="text1"/>
          <w:sz w:val="24"/>
          <w:szCs w:val="24"/>
        </w:rPr>
        <w:t>:</w:t>
      </w:r>
      <w:r w:rsidRPr="06EF0FC4">
        <w:rPr>
          <w:rFonts w:asciiTheme="minorHAnsi" w:eastAsiaTheme="minorEastAsia" w:hAnsiTheme="minorHAnsi" w:cstheme="minorBidi"/>
          <w:b/>
          <w:bCs/>
          <w:color w:val="000000" w:themeColor="text1"/>
          <w:sz w:val="24"/>
          <w:szCs w:val="24"/>
        </w:rPr>
        <w:t xml:space="preserve"> </w:t>
      </w:r>
      <w:r w:rsidRPr="06EF0FC4">
        <w:rPr>
          <w:rFonts w:asciiTheme="minorHAnsi" w:eastAsiaTheme="minorEastAsia" w:hAnsiTheme="minorHAnsi" w:cstheme="minorBidi"/>
          <w:color w:val="000000" w:themeColor="text1"/>
          <w:sz w:val="24"/>
          <w:szCs w:val="24"/>
        </w:rPr>
        <w:t>1.797834</w:t>
      </w:r>
    </w:p>
    <w:p w14:paraId="311406D0" w14:textId="35A92C23" w:rsidR="00D92D9A" w:rsidRDefault="007A2FBC" w:rsidP="06EF0FC4">
      <w:pPr>
        <w:spacing w:before="240" w:after="240"/>
        <w:rPr>
          <w:rFonts w:asciiTheme="minorHAnsi" w:eastAsiaTheme="minorEastAsia" w:hAnsiTheme="minorHAnsi" w:cstheme="minorBidi"/>
          <w:color w:val="000000" w:themeColor="text1"/>
          <w:sz w:val="24"/>
          <w:szCs w:val="24"/>
        </w:rPr>
      </w:pPr>
      <w:r>
        <w:rPr>
          <w:rFonts w:asciiTheme="minorHAnsi" w:eastAsiaTheme="minorEastAsia" w:hAnsiTheme="minorHAnsi" w:cstheme="minorBidi"/>
          <w:color w:val="000000" w:themeColor="text1"/>
          <w:sz w:val="24"/>
          <w:szCs w:val="24"/>
        </w:rPr>
        <w:t>Based on the chart in figure 2 and the correlation above, a</w:t>
      </w:r>
      <w:r w:rsidR="3BC84D81" w:rsidRPr="06EF0FC4">
        <w:rPr>
          <w:rFonts w:asciiTheme="minorHAnsi" w:eastAsiaTheme="minorEastAsia" w:hAnsiTheme="minorHAnsi" w:cstheme="minorBidi"/>
          <w:color w:val="000000" w:themeColor="text1"/>
          <w:sz w:val="24"/>
          <w:szCs w:val="24"/>
        </w:rPr>
        <w:t xml:space="preserve">daptivity between IT Student and Non-IT Student supports that an IT Student is </w:t>
      </w:r>
      <w:proofErr w:type="gramStart"/>
      <w:r w:rsidR="3BC84D81" w:rsidRPr="06EF0FC4">
        <w:rPr>
          <w:rFonts w:asciiTheme="minorHAnsi" w:eastAsiaTheme="minorEastAsia" w:hAnsiTheme="minorHAnsi" w:cstheme="minorBidi"/>
          <w:color w:val="000000" w:themeColor="text1"/>
          <w:sz w:val="24"/>
          <w:szCs w:val="24"/>
        </w:rPr>
        <w:t>relatively more</w:t>
      </w:r>
      <w:proofErr w:type="gramEnd"/>
      <w:r w:rsidR="3BC84D81" w:rsidRPr="06EF0FC4">
        <w:rPr>
          <w:rFonts w:asciiTheme="minorHAnsi" w:eastAsiaTheme="minorEastAsia" w:hAnsiTheme="minorHAnsi" w:cstheme="minorBidi"/>
          <w:color w:val="000000" w:themeColor="text1"/>
          <w:sz w:val="24"/>
          <w:szCs w:val="24"/>
        </w:rPr>
        <w:t xml:space="preserve"> (not significant) adaptable to online learning vs. a non-IT student.</w:t>
      </w:r>
    </w:p>
    <w:p w14:paraId="1986779B" w14:textId="262133AC" w:rsidR="00D92D9A" w:rsidRDefault="00D92D9A" w:rsidP="06EF0FC4">
      <w:pPr>
        <w:spacing w:before="240" w:after="240"/>
        <w:rPr>
          <w:rFonts w:asciiTheme="minorHAnsi" w:eastAsiaTheme="minorEastAsia" w:hAnsiTheme="minorHAnsi" w:cstheme="minorBidi"/>
          <w:color w:val="000000" w:themeColor="text1"/>
          <w:sz w:val="24"/>
          <w:szCs w:val="24"/>
        </w:rPr>
      </w:pPr>
    </w:p>
    <w:p w14:paraId="1BFECB67" w14:textId="115E39E3" w:rsidR="00D92D9A" w:rsidRDefault="00D92D9A" w:rsidP="06EF0FC4">
      <w:pPr>
        <w:spacing w:before="240" w:after="240"/>
        <w:rPr>
          <w:rFonts w:asciiTheme="minorHAnsi" w:eastAsiaTheme="minorEastAsia" w:hAnsiTheme="minorHAnsi" w:cstheme="minorBidi"/>
          <w:color w:val="000000" w:themeColor="text1"/>
          <w:sz w:val="24"/>
          <w:szCs w:val="24"/>
        </w:rPr>
      </w:pPr>
    </w:p>
    <w:p w14:paraId="43038D99" w14:textId="7317B071" w:rsidR="00D92D9A" w:rsidRDefault="00D92D9A" w:rsidP="06EF0FC4">
      <w:pPr>
        <w:spacing w:before="240" w:after="240"/>
        <w:rPr>
          <w:rFonts w:asciiTheme="minorHAnsi" w:eastAsiaTheme="minorEastAsia" w:hAnsiTheme="minorHAnsi" w:cstheme="minorBidi"/>
          <w:color w:val="000000" w:themeColor="text1"/>
          <w:sz w:val="24"/>
          <w:szCs w:val="24"/>
        </w:rPr>
      </w:pPr>
    </w:p>
    <w:p w14:paraId="6ADB6329" w14:textId="3933D400" w:rsidR="00D92D9A" w:rsidRDefault="3BC84D81" w:rsidP="06EF0FC4">
      <w:pPr>
        <w:pStyle w:val="Heading2"/>
        <w:rPr>
          <w:rFonts w:asciiTheme="minorHAnsi" w:eastAsiaTheme="minorEastAsia" w:hAnsiTheme="minorHAnsi" w:cstheme="minorBidi"/>
          <w:smallCaps w:val="0"/>
          <w:color w:val="000000" w:themeColor="text1"/>
          <w:sz w:val="24"/>
          <w:szCs w:val="24"/>
        </w:rPr>
      </w:pPr>
      <w:bookmarkStart w:id="6" w:name="_Toc180331641"/>
      <w:r w:rsidRPr="06EF0FC4">
        <w:t>Adaptivity by level of education</w:t>
      </w:r>
      <w:bookmarkEnd w:id="6"/>
    </w:p>
    <w:p w14:paraId="612DD348" w14:textId="77777777" w:rsidR="007A2FBC" w:rsidRDefault="0304991F" w:rsidP="007A2FBC">
      <w:pPr>
        <w:keepNext/>
        <w:spacing w:before="240" w:after="240"/>
      </w:pPr>
      <w:r>
        <w:rPr>
          <w:noProof/>
        </w:rPr>
        <w:lastRenderedPageBreak/>
        <w:drawing>
          <wp:inline distT="0" distB="0" distL="0" distR="0" wp14:anchorId="6FEA5062" wp14:editId="721A2C39">
            <wp:extent cx="4056270" cy="2827689"/>
            <wp:effectExtent l="0" t="0" r="0" b="0"/>
            <wp:docPr id="64251094" name="Picture 6425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56270" cy="2827689"/>
                    </a:xfrm>
                    <a:prstGeom prst="rect">
                      <a:avLst/>
                    </a:prstGeom>
                  </pic:spPr>
                </pic:pic>
              </a:graphicData>
            </a:graphic>
          </wp:inline>
        </w:drawing>
      </w:r>
    </w:p>
    <w:p w14:paraId="66A4FDD5" w14:textId="264B9D21" w:rsidR="00D92D9A" w:rsidRDefault="007A2FBC" w:rsidP="007A2FBC">
      <w:pPr>
        <w:pStyle w:val="Caption"/>
      </w:pPr>
      <w:r>
        <w:t xml:space="preserve">Figure </w:t>
      </w:r>
      <w:fldSimple w:instr=" SEQ Figure \* ARABIC ">
        <w:r>
          <w:rPr>
            <w:noProof/>
          </w:rPr>
          <w:t>3</w:t>
        </w:r>
      </w:fldSimple>
    </w:p>
    <w:p w14:paraId="614C86F8" w14:textId="60671D7C" w:rsidR="00D92D9A" w:rsidRDefault="3BC84D81"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color w:val="000000" w:themeColor="text1"/>
          <w:sz w:val="24"/>
          <w:szCs w:val="24"/>
        </w:rPr>
        <w:t xml:space="preserve">Based on the bar graph </w:t>
      </w:r>
      <w:r w:rsidR="007A2FBC">
        <w:rPr>
          <w:rFonts w:asciiTheme="minorHAnsi" w:eastAsiaTheme="minorEastAsia" w:hAnsiTheme="minorHAnsi" w:cstheme="minorBidi"/>
          <w:color w:val="000000" w:themeColor="text1"/>
          <w:sz w:val="24"/>
          <w:szCs w:val="24"/>
        </w:rPr>
        <w:t xml:space="preserve">above (figure 3) </w:t>
      </w:r>
      <w:r w:rsidRPr="06EF0FC4">
        <w:rPr>
          <w:rFonts w:asciiTheme="minorHAnsi" w:eastAsiaTheme="minorEastAsia" w:hAnsiTheme="minorHAnsi" w:cstheme="minorBidi"/>
          <w:color w:val="000000" w:themeColor="text1"/>
          <w:sz w:val="24"/>
          <w:szCs w:val="24"/>
        </w:rPr>
        <w:t xml:space="preserve">that breaks down adaptivity level per education level, </w:t>
      </w:r>
      <w:proofErr w:type="gramStart"/>
      <w:r w:rsidRPr="06EF0FC4">
        <w:rPr>
          <w:rFonts w:asciiTheme="minorHAnsi" w:eastAsiaTheme="minorEastAsia" w:hAnsiTheme="minorHAnsi" w:cstheme="minorBidi"/>
          <w:color w:val="000000" w:themeColor="text1"/>
          <w:sz w:val="24"/>
          <w:szCs w:val="24"/>
        </w:rPr>
        <w:t>at a glance</w:t>
      </w:r>
      <w:proofErr w:type="gramEnd"/>
      <w:r w:rsidRPr="06EF0FC4">
        <w:rPr>
          <w:rFonts w:asciiTheme="minorHAnsi" w:eastAsiaTheme="minorEastAsia" w:hAnsiTheme="minorHAnsi" w:cstheme="minorBidi"/>
          <w:color w:val="000000" w:themeColor="text1"/>
          <w:sz w:val="24"/>
          <w:szCs w:val="24"/>
        </w:rPr>
        <w:t xml:space="preserve"> the University has the highest rate adaptivity.</w:t>
      </w:r>
    </w:p>
    <w:p w14:paraId="059FB48F" w14:textId="7BB3095A" w:rsidR="00D92D9A" w:rsidRDefault="3BC84D81" w:rsidP="06EF0FC4">
      <w:pPr>
        <w:pStyle w:val="Heading2"/>
        <w:rPr>
          <w:rFonts w:asciiTheme="minorHAnsi" w:eastAsiaTheme="minorEastAsia" w:hAnsiTheme="minorHAnsi" w:cstheme="minorBidi"/>
          <w:smallCaps w:val="0"/>
          <w:color w:val="000000" w:themeColor="text1"/>
          <w:sz w:val="24"/>
          <w:szCs w:val="24"/>
        </w:rPr>
      </w:pPr>
      <w:bookmarkStart w:id="7" w:name="_Toc180331642"/>
      <w:r w:rsidRPr="06EF0FC4">
        <w:t>Institution type and the level of adaptivity</w:t>
      </w:r>
      <w:bookmarkEnd w:id="7"/>
    </w:p>
    <w:p w14:paraId="45FF8F14" w14:textId="77777777" w:rsidR="007A2FBC" w:rsidRDefault="37E55BE1" w:rsidP="007A2FBC">
      <w:pPr>
        <w:keepNext/>
        <w:spacing w:before="240" w:after="240"/>
      </w:pPr>
      <w:r>
        <w:rPr>
          <w:noProof/>
        </w:rPr>
        <w:drawing>
          <wp:inline distT="0" distB="0" distL="0" distR="0" wp14:anchorId="1373D72D" wp14:editId="541C5726">
            <wp:extent cx="4333750" cy="3180862"/>
            <wp:effectExtent l="0" t="0" r="0" b="0"/>
            <wp:docPr id="1680137107" name="Picture 1680137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33750" cy="3180862"/>
                    </a:xfrm>
                    <a:prstGeom prst="rect">
                      <a:avLst/>
                    </a:prstGeom>
                  </pic:spPr>
                </pic:pic>
              </a:graphicData>
            </a:graphic>
          </wp:inline>
        </w:drawing>
      </w:r>
    </w:p>
    <w:p w14:paraId="583DF530" w14:textId="7F644479" w:rsidR="00D92D9A" w:rsidRDefault="007A2FBC" w:rsidP="007A2FBC">
      <w:pPr>
        <w:pStyle w:val="Caption"/>
      </w:pPr>
      <w:r>
        <w:t xml:space="preserve">Figure </w:t>
      </w:r>
      <w:fldSimple w:instr=" SEQ Figure \* ARABIC ">
        <w:r>
          <w:rPr>
            <w:noProof/>
          </w:rPr>
          <w:t>4</w:t>
        </w:r>
      </w:fldSimple>
    </w:p>
    <w:p w14:paraId="44D99E8C" w14:textId="0E0B54A7" w:rsidR="00D92D9A" w:rsidRDefault="3BC84D81" w:rsidP="06EF0FC4">
      <w:pPr>
        <w:spacing w:before="240" w:after="240"/>
        <w:rPr>
          <w:rFonts w:asciiTheme="minorHAnsi" w:eastAsiaTheme="minorEastAsia" w:hAnsiTheme="minorHAnsi" w:cstheme="minorBidi"/>
          <w:b/>
          <w:bCs/>
          <w:color w:val="000000" w:themeColor="text1"/>
          <w:sz w:val="24"/>
          <w:szCs w:val="24"/>
        </w:rPr>
      </w:pPr>
      <w:r w:rsidRPr="06EF0FC4">
        <w:rPr>
          <w:rFonts w:asciiTheme="minorHAnsi" w:eastAsiaTheme="minorEastAsia" w:hAnsiTheme="minorHAnsi" w:cstheme="minorBidi"/>
          <w:b/>
          <w:bCs/>
          <w:color w:val="000000" w:themeColor="text1"/>
          <w:sz w:val="24"/>
          <w:szCs w:val="24"/>
        </w:rPr>
        <w:t>Institution Type</w:t>
      </w:r>
    </w:p>
    <w:p w14:paraId="13D00932" w14:textId="1E75D221" w:rsidR="00D92D9A" w:rsidRDefault="3BC84D81"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lastRenderedPageBreak/>
        <w:t>Government</w:t>
      </w:r>
      <w:r w:rsidR="68945647" w:rsidRPr="06EF0FC4">
        <w:rPr>
          <w:rFonts w:asciiTheme="minorHAnsi" w:eastAsiaTheme="minorEastAsia" w:hAnsiTheme="minorHAnsi" w:cstheme="minorBidi"/>
          <w:b/>
          <w:bCs/>
          <w:color w:val="000000" w:themeColor="text1"/>
          <w:sz w:val="24"/>
          <w:szCs w:val="24"/>
        </w:rPr>
        <w:t>:</w:t>
      </w:r>
      <w:r w:rsidRPr="06EF0FC4">
        <w:rPr>
          <w:rFonts w:asciiTheme="minorHAnsi" w:eastAsiaTheme="minorEastAsia" w:hAnsiTheme="minorHAnsi" w:cstheme="minorBidi"/>
          <w:b/>
          <w:bCs/>
          <w:color w:val="000000" w:themeColor="text1"/>
          <w:sz w:val="24"/>
          <w:szCs w:val="24"/>
        </w:rPr>
        <w:t xml:space="preserve"> </w:t>
      </w:r>
      <w:r w:rsidRPr="06EF0FC4">
        <w:rPr>
          <w:rFonts w:asciiTheme="minorHAnsi" w:eastAsiaTheme="minorEastAsia" w:hAnsiTheme="minorHAnsi" w:cstheme="minorBidi"/>
          <w:color w:val="000000" w:themeColor="text1"/>
          <w:sz w:val="24"/>
          <w:szCs w:val="24"/>
        </w:rPr>
        <w:t>1.454839</w:t>
      </w:r>
    </w:p>
    <w:p w14:paraId="43819B8F" w14:textId="31B77875" w:rsidR="00D92D9A" w:rsidRDefault="3BC84D81"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Non-Government</w:t>
      </w:r>
      <w:r w:rsidR="34FB29C7" w:rsidRPr="06EF0FC4">
        <w:rPr>
          <w:rFonts w:asciiTheme="minorHAnsi" w:eastAsiaTheme="minorEastAsia" w:hAnsiTheme="minorHAnsi" w:cstheme="minorBidi"/>
          <w:b/>
          <w:bCs/>
          <w:color w:val="000000" w:themeColor="text1"/>
          <w:sz w:val="24"/>
          <w:szCs w:val="24"/>
        </w:rPr>
        <w:t>:</w:t>
      </w:r>
      <w:r w:rsidRPr="06EF0FC4">
        <w:rPr>
          <w:rFonts w:asciiTheme="minorHAnsi" w:eastAsiaTheme="minorEastAsia" w:hAnsiTheme="minorHAnsi" w:cstheme="minorBidi"/>
          <w:color w:val="000000" w:themeColor="text1"/>
          <w:sz w:val="24"/>
          <w:szCs w:val="24"/>
        </w:rPr>
        <w:t xml:space="preserve"> 1.768293</w:t>
      </w:r>
    </w:p>
    <w:p w14:paraId="4774F77F" w14:textId="136785FE" w:rsidR="00D92D9A" w:rsidRDefault="3BC84D81"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color w:val="000000" w:themeColor="text1"/>
          <w:sz w:val="24"/>
          <w:szCs w:val="24"/>
        </w:rPr>
        <w:t>Per my observation</w:t>
      </w:r>
      <w:r w:rsidR="007A2FBC">
        <w:rPr>
          <w:rFonts w:asciiTheme="minorHAnsi" w:eastAsiaTheme="minorEastAsia" w:hAnsiTheme="minorHAnsi" w:cstheme="minorBidi"/>
          <w:color w:val="000000" w:themeColor="text1"/>
          <w:sz w:val="24"/>
          <w:szCs w:val="24"/>
        </w:rPr>
        <w:t xml:space="preserve"> (figure 4)</w:t>
      </w:r>
      <w:r w:rsidRPr="06EF0FC4">
        <w:rPr>
          <w:rFonts w:asciiTheme="minorHAnsi" w:eastAsiaTheme="minorEastAsia" w:hAnsiTheme="minorHAnsi" w:cstheme="minorBidi"/>
          <w:color w:val="000000" w:themeColor="text1"/>
          <w:sz w:val="24"/>
          <w:szCs w:val="24"/>
        </w:rPr>
        <w:t>, the institution type does support that Non-Government institutions tend to have a higher adaptivity level.</w:t>
      </w:r>
    </w:p>
    <w:p w14:paraId="3D1A0B88" w14:textId="5C6F2672" w:rsidR="00D92D9A" w:rsidRDefault="00D92D9A" w:rsidP="06EF0FC4">
      <w:pPr>
        <w:spacing w:before="240" w:after="240"/>
        <w:rPr>
          <w:rFonts w:asciiTheme="minorHAnsi" w:eastAsiaTheme="minorEastAsia" w:hAnsiTheme="minorHAnsi" w:cstheme="minorBidi"/>
          <w:color w:val="000000" w:themeColor="text1"/>
          <w:sz w:val="24"/>
          <w:szCs w:val="24"/>
        </w:rPr>
      </w:pPr>
    </w:p>
    <w:p w14:paraId="0A9BFFA4" w14:textId="04266182" w:rsidR="00D92D9A" w:rsidRDefault="3BC84D81" w:rsidP="06EF0FC4">
      <w:pPr>
        <w:rPr>
          <w:sz w:val="28"/>
          <w:szCs w:val="28"/>
        </w:rPr>
      </w:pPr>
      <w:r w:rsidRPr="06EF0FC4">
        <w:rPr>
          <w:sz w:val="28"/>
          <w:szCs w:val="28"/>
        </w:rPr>
        <w:t>What demographic factors are most strongly associated with adaptivity in online learning?</w:t>
      </w:r>
    </w:p>
    <w:p w14:paraId="16E830A5" w14:textId="6FBF25E1" w:rsidR="00D92D9A" w:rsidRDefault="3BC84D81" w:rsidP="06EF0FC4">
      <w:pPr>
        <w:pStyle w:val="NoSpacing"/>
        <w:rPr>
          <w:rFonts w:asciiTheme="minorHAnsi" w:eastAsiaTheme="minorEastAsia" w:hAnsiTheme="minorHAnsi" w:cstheme="minorBidi"/>
          <w:color w:val="000000" w:themeColor="text1"/>
          <w:sz w:val="24"/>
          <w:szCs w:val="24"/>
        </w:rPr>
      </w:pPr>
      <w:r w:rsidRPr="06EF0FC4">
        <w:rPr>
          <w:sz w:val="24"/>
          <w:szCs w:val="24"/>
        </w:rPr>
        <w:t>Coefficients for each variable:</w:t>
      </w:r>
    </w:p>
    <w:p w14:paraId="37E6D897" w14:textId="503C3C93" w:rsidR="00D92D9A" w:rsidRDefault="00D92D9A" w:rsidP="06EF0FC4">
      <w:pPr>
        <w:pStyle w:val="NoSpacing"/>
        <w:rPr>
          <w:sz w:val="24"/>
          <w:szCs w:val="24"/>
        </w:rPr>
      </w:pPr>
    </w:p>
    <w:p w14:paraId="7F16C6F9" w14:textId="05E62D04" w:rsidR="00D92D9A" w:rsidRDefault="3BC84D81" w:rsidP="06EF0FC4">
      <w:pPr>
        <w:pStyle w:val="NoSpacing"/>
        <w:rPr>
          <w:rFonts w:asciiTheme="minorHAnsi" w:eastAsiaTheme="minorEastAsia" w:hAnsiTheme="minorHAnsi" w:cstheme="minorBidi"/>
          <w:color w:val="000000" w:themeColor="text1"/>
          <w:sz w:val="24"/>
          <w:szCs w:val="24"/>
        </w:rPr>
      </w:pPr>
      <w:r w:rsidRPr="06EF0FC4">
        <w:rPr>
          <w:sz w:val="24"/>
          <w:szCs w:val="24"/>
        </w:rPr>
        <w:t>Gender: -0.20575842186607562</w:t>
      </w:r>
    </w:p>
    <w:p w14:paraId="025CA09E" w14:textId="30CBE337" w:rsidR="00D92D9A" w:rsidRDefault="3BC84D81" w:rsidP="06EF0FC4">
      <w:pPr>
        <w:pStyle w:val="NoSpacing"/>
        <w:rPr>
          <w:rFonts w:asciiTheme="minorHAnsi" w:eastAsiaTheme="minorEastAsia" w:hAnsiTheme="minorHAnsi" w:cstheme="minorBidi"/>
          <w:color w:val="000000" w:themeColor="text1"/>
          <w:sz w:val="24"/>
          <w:szCs w:val="24"/>
        </w:rPr>
      </w:pPr>
      <w:r w:rsidRPr="06EF0FC4">
        <w:rPr>
          <w:sz w:val="24"/>
          <w:szCs w:val="24"/>
        </w:rPr>
        <w:t>Education Level: -0.026660507564430252</w:t>
      </w:r>
    </w:p>
    <w:p w14:paraId="7623BC59" w14:textId="7B1D680A" w:rsidR="00D92D9A" w:rsidRDefault="3BC84D81" w:rsidP="06EF0FC4">
      <w:pPr>
        <w:pStyle w:val="NoSpacing"/>
        <w:rPr>
          <w:rFonts w:asciiTheme="minorHAnsi" w:eastAsiaTheme="minorEastAsia" w:hAnsiTheme="minorHAnsi" w:cstheme="minorBidi"/>
          <w:color w:val="000000" w:themeColor="text1"/>
          <w:sz w:val="24"/>
          <w:szCs w:val="24"/>
        </w:rPr>
      </w:pPr>
      <w:r w:rsidRPr="06EF0FC4">
        <w:rPr>
          <w:sz w:val="24"/>
          <w:szCs w:val="24"/>
        </w:rPr>
        <w:t>Institution Type: 0.20240265465248092</w:t>
      </w:r>
    </w:p>
    <w:p w14:paraId="43017ABD" w14:textId="1616967F" w:rsidR="00D92D9A" w:rsidRDefault="3BC84D81" w:rsidP="06EF0FC4">
      <w:pPr>
        <w:pStyle w:val="NoSpacing"/>
        <w:rPr>
          <w:rFonts w:asciiTheme="minorHAnsi" w:eastAsiaTheme="minorEastAsia" w:hAnsiTheme="minorHAnsi" w:cstheme="minorBidi"/>
          <w:color w:val="000000" w:themeColor="text1"/>
          <w:sz w:val="24"/>
          <w:szCs w:val="24"/>
        </w:rPr>
      </w:pPr>
      <w:r w:rsidRPr="06EF0FC4">
        <w:rPr>
          <w:sz w:val="24"/>
          <w:szCs w:val="24"/>
        </w:rPr>
        <w:t>IT Student: -0.03650433320463228</w:t>
      </w:r>
    </w:p>
    <w:p w14:paraId="21FD550B" w14:textId="29BA4DDD" w:rsidR="00D92D9A" w:rsidRDefault="3BC84D81" w:rsidP="06EF0FC4">
      <w:pPr>
        <w:pStyle w:val="NoSpacing"/>
        <w:rPr>
          <w:rFonts w:asciiTheme="minorHAnsi" w:eastAsiaTheme="minorEastAsia" w:hAnsiTheme="minorHAnsi" w:cstheme="minorBidi"/>
          <w:color w:val="000000" w:themeColor="text1"/>
          <w:sz w:val="24"/>
          <w:szCs w:val="24"/>
        </w:rPr>
      </w:pPr>
      <w:r w:rsidRPr="06EF0FC4">
        <w:rPr>
          <w:sz w:val="24"/>
          <w:szCs w:val="24"/>
        </w:rPr>
        <w:t>Location: 0.05742767335839569</w:t>
      </w:r>
    </w:p>
    <w:p w14:paraId="6604D582" w14:textId="6C68B5C2" w:rsidR="00D92D9A" w:rsidRDefault="3BC84D81" w:rsidP="06EF0FC4">
      <w:pPr>
        <w:pStyle w:val="NoSpacing"/>
        <w:rPr>
          <w:rFonts w:asciiTheme="minorHAnsi" w:eastAsiaTheme="minorEastAsia" w:hAnsiTheme="minorHAnsi" w:cstheme="minorBidi"/>
          <w:color w:val="000000" w:themeColor="text1"/>
          <w:sz w:val="24"/>
          <w:szCs w:val="24"/>
        </w:rPr>
      </w:pPr>
      <w:r w:rsidRPr="06EF0FC4">
        <w:rPr>
          <w:sz w:val="24"/>
          <w:szCs w:val="24"/>
        </w:rPr>
        <w:t>Load-shedding: 0.05107844474611202</w:t>
      </w:r>
    </w:p>
    <w:p w14:paraId="1837DF5C" w14:textId="66EF1EDC" w:rsidR="00D92D9A" w:rsidRDefault="3BC84D81" w:rsidP="06EF0FC4">
      <w:pPr>
        <w:pStyle w:val="NoSpacing"/>
        <w:rPr>
          <w:rFonts w:asciiTheme="minorHAnsi" w:eastAsiaTheme="minorEastAsia" w:hAnsiTheme="minorHAnsi" w:cstheme="minorBidi"/>
          <w:color w:val="000000" w:themeColor="text1"/>
          <w:sz w:val="24"/>
          <w:szCs w:val="24"/>
        </w:rPr>
      </w:pPr>
      <w:r w:rsidRPr="06EF0FC4">
        <w:rPr>
          <w:sz w:val="24"/>
          <w:szCs w:val="24"/>
        </w:rPr>
        <w:t>Financial Condition: 0.2512793513790662</w:t>
      </w:r>
    </w:p>
    <w:p w14:paraId="3747DEAE" w14:textId="73562C24" w:rsidR="00D92D9A" w:rsidRDefault="58EC1393" w:rsidP="06EF0FC4">
      <w:pPr>
        <w:pStyle w:val="NoSpacing"/>
        <w:rPr>
          <w:rFonts w:asciiTheme="minorHAnsi" w:eastAsiaTheme="minorEastAsia" w:hAnsiTheme="minorHAnsi" w:cstheme="minorBidi"/>
          <w:color w:val="000000" w:themeColor="text1"/>
          <w:sz w:val="24"/>
          <w:szCs w:val="24"/>
        </w:rPr>
      </w:pPr>
      <w:r w:rsidRPr="06EF0FC4">
        <w:rPr>
          <w:sz w:val="24"/>
          <w:szCs w:val="24"/>
        </w:rPr>
        <w:t>Internet Type: -0.00673222484892326</w:t>
      </w:r>
    </w:p>
    <w:p w14:paraId="02D4697B" w14:textId="7FC70DBC" w:rsidR="00D92D9A" w:rsidRDefault="58EC1393" w:rsidP="06EF0FC4">
      <w:pPr>
        <w:pStyle w:val="NoSpacing"/>
        <w:rPr>
          <w:rFonts w:asciiTheme="minorHAnsi" w:eastAsiaTheme="minorEastAsia" w:hAnsiTheme="minorHAnsi" w:cstheme="minorBidi"/>
          <w:color w:val="000000" w:themeColor="text1"/>
          <w:sz w:val="24"/>
          <w:szCs w:val="24"/>
        </w:rPr>
      </w:pPr>
      <w:r w:rsidRPr="06EF0FC4">
        <w:rPr>
          <w:sz w:val="24"/>
          <w:szCs w:val="24"/>
        </w:rPr>
        <w:t>Network Type: 0.22620841467088298</w:t>
      </w:r>
    </w:p>
    <w:p w14:paraId="420785CA" w14:textId="4C52C437" w:rsidR="00D92D9A" w:rsidRDefault="58EC1393" w:rsidP="06EF0FC4">
      <w:pPr>
        <w:pStyle w:val="NoSpacing"/>
        <w:rPr>
          <w:rFonts w:asciiTheme="minorHAnsi" w:eastAsiaTheme="minorEastAsia" w:hAnsiTheme="minorHAnsi" w:cstheme="minorBidi"/>
          <w:color w:val="000000" w:themeColor="text1"/>
          <w:sz w:val="24"/>
          <w:szCs w:val="24"/>
        </w:rPr>
      </w:pPr>
      <w:r w:rsidRPr="06EF0FC4">
        <w:rPr>
          <w:sz w:val="24"/>
          <w:szCs w:val="24"/>
        </w:rPr>
        <w:t>Class Duration: 0.20390933855200652</w:t>
      </w:r>
    </w:p>
    <w:p w14:paraId="7E56CA8D" w14:textId="300A8EFE" w:rsidR="00D92D9A" w:rsidRDefault="58EC1393" w:rsidP="06EF0FC4">
      <w:pPr>
        <w:pStyle w:val="NoSpacing"/>
        <w:rPr>
          <w:rFonts w:asciiTheme="minorHAnsi" w:eastAsiaTheme="minorEastAsia" w:hAnsiTheme="minorHAnsi" w:cstheme="minorBidi"/>
          <w:color w:val="000000" w:themeColor="text1"/>
          <w:sz w:val="24"/>
          <w:szCs w:val="24"/>
        </w:rPr>
      </w:pPr>
      <w:r w:rsidRPr="06EF0FC4">
        <w:rPr>
          <w:sz w:val="24"/>
          <w:szCs w:val="24"/>
        </w:rPr>
        <w:t xml:space="preserve">Self </w:t>
      </w:r>
      <w:proofErr w:type="spellStart"/>
      <w:r w:rsidRPr="06EF0FC4">
        <w:rPr>
          <w:sz w:val="24"/>
          <w:szCs w:val="24"/>
        </w:rPr>
        <w:t>Lms</w:t>
      </w:r>
      <w:proofErr w:type="spellEnd"/>
      <w:r w:rsidRPr="06EF0FC4">
        <w:rPr>
          <w:sz w:val="24"/>
          <w:szCs w:val="24"/>
        </w:rPr>
        <w:t>: 0.3066633369196816</w:t>
      </w:r>
    </w:p>
    <w:p w14:paraId="326EEAD4" w14:textId="1501F3DB" w:rsidR="00D92D9A" w:rsidRDefault="58EC1393" w:rsidP="06EF0FC4">
      <w:pPr>
        <w:pStyle w:val="NoSpacing"/>
        <w:rPr>
          <w:rFonts w:asciiTheme="minorHAnsi" w:eastAsiaTheme="minorEastAsia" w:hAnsiTheme="minorHAnsi" w:cstheme="minorBidi"/>
          <w:color w:val="000000" w:themeColor="text1"/>
          <w:sz w:val="24"/>
          <w:szCs w:val="24"/>
        </w:rPr>
      </w:pPr>
      <w:r w:rsidRPr="06EF0FC4">
        <w:rPr>
          <w:sz w:val="24"/>
          <w:szCs w:val="24"/>
        </w:rPr>
        <w:t>Device: -0.09421504261379565</w:t>
      </w:r>
    </w:p>
    <w:p w14:paraId="445C876F" w14:textId="08A7BFC4" w:rsidR="00D92D9A" w:rsidRDefault="58EC1393" w:rsidP="06EF0FC4">
      <w:pPr>
        <w:pStyle w:val="NoSpacing"/>
        <w:rPr>
          <w:rFonts w:asciiTheme="minorHAnsi" w:eastAsiaTheme="minorEastAsia" w:hAnsiTheme="minorHAnsi" w:cstheme="minorBidi"/>
          <w:color w:val="000000" w:themeColor="text1"/>
          <w:sz w:val="24"/>
          <w:szCs w:val="24"/>
        </w:rPr>
      </w:pPr>
      <w:r w:rsidRPr="06EF0FC4">
        <w:rPr>
          <w:sz w:val="24"/>
          <w:szCs w:val="24"/>
        </w:rPr>
        <w:t>Age: 0.055450973718619775</w:t>
      </w:r>
    </w:p>
    <w:p w14:paraId="290C84DE" w14:textId="219BF537" w:rsidR="00D92D9A" w:rsidRDefault="58EC1393" w:rsidP="06EF0FC4">
      <w:pPr>
        <w:spacing w:before="240" w:after="240"/>
        <w:rPr>
          <w:rFonts w:asciiTheme="minorHAnsi" w:eastAsiaTheme="minorEastAsia" w:hAnsiTheme="minorHAnsi" w:cstheme="minorBidi"/>
          <w:b/>
          <w:bCs/>
          <w:color w:val="000000" w:themeColor="text1"/>
          <w:sz w:val="24"/>
          <w:szCs w:val="24"/>
        </w:rPr>
      </w:pPr>
      <w:r w:rsidRPr="06EF0FC4">
        <w:rPr>
          <w:rFonts w:asciiTheme="minorHAnsi" w:eastAsiaTheme="minorEastAsia" w:hAnsiTheme="minorHAnsi" w:cstheme="minorBidi"/>
          <w:b/>
          <w:bCs/>
          <w:color w:val="000000" w:themeColor="text1"/>
          <w:sz w:val="24"/>
          <w:szCs w:val="24"/>
        </w:rPr>
        <w:t xml:space="preserve">Below </w:t>
      </w:r>
      <w:r w:rsidR="2436D958" w:rsidRPr="06EF0FC4">
        <w:rPr>
          <w:rFonts w:asciiTheme="minorHAnsi" w:eastAsiaTheme="minorEastAsia" w:hAnsiTheme="minorHAnsi" w:cstheme="minorBidi"/>
          <w:b/>
          <w:bCs/>
          <w:color w:val="000000" w:themeColor="text1"/>
          <w:sz w:val="24"/>
          <w:szCs w:val="24"/>
        </w:rPr>
        <w:t>we</w:t>
      </w:r>
      <w:r w:rsidRPr="06EF0FC4">
        <w:rPr>
          <w:rFonts w:asciiTheme="minorHAnsi" w:eastAsiaTheme="minorEastAsia" w:hAnsiTheme="minorHAnsi" w:cstheme="minorBidi"/>
          <w:b/>
          <w:bCs/>
          <w:color w:val="000000" w:themeColor="text1"/>
          <w:sz w:val="24"/>
          <w:szCs w:val="24"/>
        </w:rPr>
        <w:t xml:space="preserve"> have explained the results from the Multiple Linear Regression model:</w:t>
      </w:r>
    </w:p>
    <w:p w14:paraId="15C086CB" w14:textId="4A035F8A"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Gender</w:t>
      </w:r>
      <w:r w:rsidRPr="06EF0FC4">
        <w:rPr>
          <w:rFonts w:asciiTheme="minorHAnsi" w:eastAsiaTheme="minorEastAsia" w:hAnsiTheme="minorHAnsi" w:cstheme="minorBidi"/>
          <w:color w:val="000000" w:themeColor="text1"/>
          <w:sz w:val="24"/>
          <w:szCs w:val="24"/>
        </w:rPr>
        <w:t>: Being a specific gender is associated with a decrease of about 0.206 units in the dependent variable, holding all other factors constant.</w:t>
      </w:r>
    </w:p>
    <w:p w14:paraId="6492CFB9" w14:textId="72C4FCEA"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Education Level</w:t>
      </w:r>
      <w:r w:rsidRPr="06EF0FC4">
        <w:rPr>
          <w:rFonts w:asciiTheme="minorHAnsi" w:eastAsiaTheme="minorEastAsia" w:hAnsiTheme="minorHAnsi" w:cstheme="minorBidi"/>
          <w:color w:val="000000" w:themeColor="text1"/>
          <w:sz w:val="24"/>
          <w:szCs w:val="24"/>
        </w:rPr>
        <w:t>: A decrease in education level is linked to a decrease of approximately 0.027 units in the dependent variable, indicating a negative impact.</w:t>
      </w:r>
    </w:p>
    <w:p w14:paraId="2BB1FB35" w14:textId="7830FC0B"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Institution Type</w:t>
      </w:r>
      <w:r w:rsidRPr="06EF0FC4">
        <w:rPr>
          <w:rFonts w:asciiTheme="minorHAnsi" w:eastAsiaTheme="minorEastAsia" w:hAnsiTheme="minorHAnsi" w:cstheme="minorBidi"/>
          <w:color w:val="000000" w:themeColor="text1"/>
          <w:sz w:val="24"/>
          <w:szCs w:val="24"/>
        </w:rPr>
        <w:t>: Attending a certain type of institution (Government or Non-Government) is associated with an increase of about 0.202 units in the dependent variable, suggesting a positive effect.</w:t>
      </w:r>
    </w:p>
    <w:p w14:paraId="019375FB" w14:textId="496FCB78"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IT Student</w:t>
      </w:r>
      <w:r w:rsidRPr="06EF0FC4">
        <w:rPr>
          <w:rFonts w:asciiTheme="minorHAnsi" w:eastAsiaTheme="minorEastAsia" w:hAnsiTheme="minorHAnsi" w:cstheme="minorBidi"/>
          <w:color w:val="000000" w:themeColor="text1"/>
          <w:sz w:val="24"/>
          <w:szCs w:val="24"/>
        </w:rPr>
        <w:t>: Being an IT student or not is associated with a decrease of about 0.037 units in the dependent variable.</w:t>
      </w:r>
    </w:p>
    <w:p w14:paraId="1CA8DC39" w14:textId="58857A5F"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lastRenderedPageBreak/>
        <w:t>Location</w:t>
      </w:r>
      <w:r w:rsidRPr="06EF0FC4">
        <w:rPr>
          <w:rFonts w:asciiTheme="minorHAnsi" w:eastAsiaTheme="minorEastAsia" w:hAnsiTheme="minorHAnsi" w:cstheme="minorBidi"/>
          <w:color w:val="000000" w:themeColor="text1"/>
          <w:sz w:val="24"/>
          <w:szCs w:val="24"/>
        </w:rPr>
        <w:t>: This positive coefficient indicates that being in a particular location is associated with an increase of about 0.057 units in the dependent variable.</w:t>
      </w:r>
    </w:p>
    <w:p w14:paraId="4894A63C" w14:textId="1376D8A6"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Load-shedding</w:t>
      </w:r>
      <w:r w:rsidRPr="06EF0FC4">
        <w:rPr>
          <w:rFonts w:asciiTheme="minorHAnsi" w:eastAsiaTheme="minorEastAsia" w:hAnsiTheme="minorHAnsi" w:cstheme="minorBidi"/>
          <w:color w:val="000000" w:themeColor="text1"/>
          <w:sz w:val="24"/>
          <w:szCs w:val="24"/>
        </w:rPr>
        <w:t>: Interestingly, load-shedding (power outages) is associated with an increase of about 0.051 units in the dependent variable. This might suggest that it has some counterintuitive or contextual effect that needs further exploration.</w:t>
      </w:r>
    </w:p>
    <w:p w14:paraId="673EF739" w14:textId="12263013"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Financial Condition</w:t>
      </w:r>
      <w:r w:rsidRPr="06EF0FC4">
        <w:rPr>
          <w:rFonts w:asciiTheme="minorHAnsi" w:eastAsiaTheme="minorEastAsia" w:hAnsiTheme="minorHAnsi" w:cstheme="minorBidi"/>
          <w:color w:val="000000" w:themeColor="text1"/>
          <w:sz w:val="24"/>
          <w:szCs w:val="24"/>
        </w:rPr>
        <w:t>: A better financial condition is strongly associated with an increase of about .251 units in the dependent variable, indicating that this factor has a significant positive effect.</w:t>
      </w:r>
    </w:p>
    <w:p w14:paraId="798AE34F" w14:textId="6630DD7F"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Internet Type</w:t>
      </w:r>
      <w:r w:rsidRPr="06EF0FC4">
        <w:rPr>
          <w:rFonts w:asciiTheme="minorHAnsi" w:eastAsiaTheme="minorEastAsia" w:hAnsiTheme="minorHAnsi" w:cstheme="minorBidi"/>
          <w:color w:val="000000" w:themeColor="text1"/>
          <w:sz w:val="24"/>
          <w:szCs w:val="24"/>
        </w:rPr>
        <w:t>: This very small negative coefficient indicates a slight decrease of 0.007 units in the dependent variable associated with a specific type of internet connection.</w:t>
      </w:r>
    </w:p>
    <w:p w14:paraId="03289B9F" w14:textId="19584C46"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Network Type</w:t>
      </w:r>
      <w:r w:rsidRPr="06EF0FC4">
        <w:rPr>
          <w:rFonts w:asciiTheme="minorHAnsi" w:eastAsiaTheme="minorEastAsia" w:hAnsiTheme="minorHAnsi" w:cstheme="minorBidi"/>
          <w:color w:val="000000" w:themeColor="text1"/>
          <w:sz w:val="24"/>
          <w:szCs w:val="24"/>
        </w:rPr>
        <w:t>: This suggests that using a certain type of network is associated with an increase of about 0.226 units in the dependent variable.</w:t>
      </w:r>
    </w:p>
    <w:p w14:paraId="59BB2233" w14:textId="52E68AE9"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Class Duration</w:t>
      </w:r>
      <w:r w:rsidRPr="06EF0FC4">
        <w:rPr>
          <w:rFonts w:asciiTheme="minorHAnsi" w:eastAsiaTheme="minorEastAsia" w:hAnsiTheme="minorHAnsi" w:cstheme="minorBidi"/>
          <w:color w:val="000000" w:themeColor="text1"/>
          <w:sz w:val="24"/>
          <w:szCs w:val="24"/>
        </w:rPr>
        <w:t>: Longer class durations are associated with an increase of approximately 0.204 units in the dependent variable.</w:t>
      </w:r>
    </w:p>
    <w:p w14:paraId="2E99BBCB" w14:textId="64962988"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 xml:space="preserve">Self </w:t>
      </w:r>
      <w:proofErr w:type="spellStart"/>
      <w:r w:rsidRPr="06EF0FC4">
        <w:rPr>
          <w:rFonts w:asciiTheme="minorHAnsi" w:eastAsiaTheme="minorEastAsia" w:hAnsiTheme="minorHAnsi" w:cstheme="minorBidi"/>
          <w:b/>
          <w:bCs/>
          <w:color w:val="000000" w:themeColor="text1"/>
          <w:sz w:val="24"/>
          <w:szCs w:val="24"/>
        </w:rPr>
        <w:t>Lms</w:t>
      </w:r>
      <w:proofErr w:type="spellEnd"/>
      <w:r w:rsidRPr="06EF0FC4">
        <w:rPr>
          <w:rFonts w:asciiTheme="minorHAnsi" w:eastAsiaTheme="minorEastAsia" w:hAnsiTheme="minorHAnsi" w:cstheme="minorBidi"/>
          <w:color w:val="000000" w:themeColor="text1"/>
          <w:sz w:val="24"/>
          <w:szCs w:val="24"/>
        </w:rPr>
        <w:t>: This coefficient indicates a strong positive relationship, suggesting that self-directed learning management systems (Self LMS) are associated with an increase of about 0.307 units in the dependent variable.</w:t>
      </w:r>
    </w:p>
    <w:p w14:paraId="104FFFD3" w14:textId="10F9832B"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Device</w:t>
      </w:r>
      <w:r w:rsidRPr="06EF0FC4">
        <w:rPr>
          <w:rFonts w:asciiTheme="minorHAnsi" w:eastAsiaTheme="minorEastAsia" w:hAnsiTheme="minorHAnsi" w:cstheme="minorBidi"/>
          <w:color w:val="000000" w:themeColor="text1"/>
          <w:sz w:val="24"/>
          <w:szCs w:val="24"/>
        </w:rPr>
        <w:t>: The type of device used is associated with a decrease of about 0.094 units in the dependent variable, indicating a negative impact.</w:t>
      </w:r>
    </w:p>
    <w:p w14:paraId="1818B2A1" w14:textId="136718BA"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b/>
          <w:bCs/>
          <w:color w:val="000000" w:themeColor="text1"/>
          <w:sz w:val="24"/>
          <w:szCs w:val="24"/>
        </w:rPr>
        <w:t>Age</w:t>
      </w:r>
      <w:r w:rsidRPr="06EF0FC4">
        <w:rPr>
          <w:rFonts w:asciiTheme="minorHAnsi" w:eastAsiaTheme="minorEastAsia" w:hAnsiTheme="minorHAnsi" w:cstheme="minorBidi"/>
          <w:color w:val="000000" w:themeColor="text1"/>
          <w:sz w:val="24"/>
          <w:szCs w:val="24"/>
        </w:rPr>
        <w:t>: An increase in age is associated with an increase of approximately 0.055 units in the dependent variable.</w:t>
      </w:r>
    </w:p>
    <w:p w14:paraId="75ADB82E" w14:textId="3178C04E" w:rsidR="00D92D9A" w:rsidRDefault="58EC1393" w:rsidP="06EF0FC4">
      <w:pPr>
        <w:spacing w:before="240" w:after="240"/>
        <w:rPr>
          <w:rFonts w:asciiTheme="minorHAnsi" w:eastAsiaTheme="minorEastAsia" w:hAnsiTheme="minorHAnsi" w:cstheme="minorBidi"/>
          <w:color w:val="000000" w:themeColor="text1"/>
          <w:sz w:val="24"/>
          <w:szCs w:val="24"/>
        </w:rPr>
      </w:pPr>
      <w:r w:rsidRPr="06EF0FC4">
        <w:rPr>
          <w:rFonts w:asciiTheme="minorHAnsi" w:eastAsiaTheme="minorEastAsia" w:hAnsiTheme="minorHAnsi" w:cstheme="minorBidi"/>
          <w:color w:val="000000" w:themeColor="text1"/>
          <w:sz w:val="24"/>
          <w:szCs w:val="24"/>
        </w:rPr>
        <w:t>** In summary, these coefficients show correlation, not causation. They indicate relationships but do not confirm that changes in the independent variables cause changes in the dependent variable.</w:t>
      </w:r>
    </w:p>
    <w:p w14:paraId="3C18288F" w14:textId="53352069" w:rsidR="00D92D9A" w:rsidRDefault="00D92D9A" w:rsidP="06EF0FC4">
      <w:pPr>
        <w:spacing w:before="240" w:after="240"/>
        <w:rPr>
          <w:rFonts w:asciiTheme="minorHAnsi" w:eastAsiaTheme="minorEastAsia" w:hAnsiTheme="minorHAnsi" w:cstheme="minorBidi"/>
          <w:color w:val="000000" w:themeColor="text1"/>
        </w:rPr>
      </w:pPr>
    </w:p>
    <w:p w14:paraId="00000022" w14:textId="70A87B95" w:rsidR="00D92D9A" w:rsidRDefault="00D92D9A" w:rsidP="06EF0FC4">
      <w:pPr>
        <w:rPr>
          <w:rFonts w:asciiTheme="minorHAnsi" w:eastAsiaTheme="minorEastAsia" w:hAnsiTheme="minorHAnsi" w:cstheme="minorBidi"/>
        </w:rPr>
      </w:pPr>
    </w:p>
    <w:p w14:paraId="00000023" w14:textId="77777777" w:rsidR="00D92D9A" w:rsidRDefault="18308BB8" w:rsidP="06EF0FC4">
      <w:pPr>
        <w:pStyle w:val="Heading1"/>
        <w:rPr>
          <w:rFonts w:asciiTheme="minorHAnsi" w:eastAsiaTheme="minorEastAsia" w:hAnsiTheme="minorHAnsi" w:cstheme="minorBidi"/>
        </w:rPr>
      </w:pPr>
      <w:bookmarkStart w:id="8" w:name="_Toc180331643"/>
      <w:r w:rsidRPr="06EF0FC4">
        <w:rPr>
          <w:rFonts w:asciiTheme="minorHAnsi" w:eastAsiaTheme="minorEastAsia" w:hAnsiTheme="minorHAnsi" w:cstheme="minorBidi"/>
        </w:rPr>
        <w:t>Results</w:t>
      </w:r>
      <w:bookmarkEnd w:id="8"/>
    </w:p>
    <w:p w14:paraId="4430FA31" w14:textId="0C778CCB" w:rsidR="06EF0FC4" w:rsidRDefault="06EF0FC4" w:rsidP="06EF0FC4">
      <w:pPr>
        <w:rPr>
          <w:rFonts w:asciiTheme="minorHAnsi" w:eastAsiaTheme="minorEastAsia" w:hAnsiTheme="minorHAnsi" w:cstheme="minorBidi"/>
        </w:rPr>
      </w:pPr>
    </w:p>
    <w:p w14:paraId="26D28BCE" w14:textId="268448F7" w:rsidR="641E0548" w:rsidRDefault="641E0548" w:rsidP="06EF0FC4">
      <w:pPr>
        <w:spacing w:after="160"/>
        <w:rPr>
          <w:rFonts w:asciiTheme="minorHAnsi" w:eastAsiaTheme="minorEastAsia" w:hAnsiTheme="minorHAnsi" w:cstheme="minorBidi"/>
          <w:b/>
          <w:bCs/>
          <w:i/>
          <w:iCs/>
          <w:sz w:val="24"/>
          <w:szCs w:val="24"/>
        </w:rPr>
      </w:pPr>
      <w:r w:rsidRPr="06EF0FC4">
        <w:rPr>
          <w:rFonts w:asciiTheme="minorHAnsi" w:eastAsiaTheme="minorEastAsia" w:hAnsiTheme="minorHAnsi" w:cstheme="minorBidi"/>
          <w:b/>
          <w:bCs/>
          <w:i/>
          <w:iCs/>
          <w:sz w:val="24"/>
          <w:szCs w:val="24"/>
        </w:rPr>
        <w:t xml:space="preserve">Adaptation Levels </w:t>
      </w:r>
    </w:p>
    <w:p w14:paraId="3154441C" w14:textId="465A71CB" w:rsidR="641E0548" w:rsidRDefault="641E0548"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sz w:val="24"/>
          <w:szCs w:val="24"/>
        </w:rPr>
        <w:lastRenderedPageBreak/>
        <w:t>Overall Adaptation</w:t>
      </w:r>
      <w:r w:rsidRPr="06EF0FC4">
        <w:rPr>
          <w:rFonts w:asciiTheme="minorHAnsi" w:eastAsiaTheme="minorEastAsia" w:hAnsiTheme="minorHAnsi" w:cstheme="minorBidi"/>
          <w:sz w:val="24"/>
          <w:szCs w:val="24"/>
        </w:rPr>
        <w:t xml:space="preserve">: Out of 1,205 participants, only 7.6% highly adapted to online education, 48.1% performed moderately, and 44.3% performed poorly. This indicates a significant challenge in adapting to online learning for </w:t>
      </w:r>
      <w:proofErr w:type="gramStart"/>
      <w:r w:rsidRPr="06EF0FC4">
        <w:rPr>
          <w:rFonts w:asciiTheme="minorHAnsi" w:eastAsiaTheme="minorEastAsia" w:hAnsiTheme="minorHAnsi" w:cstheme="minorBidi"/>
          <w:sz w:val="24"/>
          <w:szCs w:val="24"/>
        </w:rPr>
        <w:t>the majority of</w:t>
      </w:r>
      <w:proofErr w:type="gramEnd"/>
      <w:r w:rsidRPr="06EF0FC4">
        <w:rPr>
          <w:rFonts w:asciiTheme="minorHAnsi" w:eastAsiaTheme="minorEastAsia" w:hAnsiTheme="minorHAnsi" w:cstheme="minorBidi"/>
          <w:sz w:val="24"/>
          <w:szCs w:val="24"/>
        </w:rPr>
        <w:t xml:space="preserve"> students. </w:t>
      </w:r>
    </w:p>
    <w:p w14:paraId="4C076B5E" w14:textId="3F88AEB5" w:rsidR="641E0548" w:rsidRDefault="641E0548" w:rsidP="06EF0FC4">
      <w:pPr>
        <w:spacing w:after="160"/>
        <w:rPr>
          <w:rFonts w:asciiTheme="minorHAnsi" w:eastAsiaTheme="minorEastAsia" w:hAnsiTheme="minorHAnsi" w:cstheme="minorBidi"/>
          <w:b/>
          <w:bCs/>
          <w:i/>
          <w:iCs/>
          <w:sz w:val="24"/>
          <w:szCs w:val="24"/>
        </w:rPr>
      </w:pPr>
      <w:r w:rsidRPr="06EF0FC4">
        <w:rPr>
          <w:rFonts w:asciiTheme="minorHAnsi" w:eastAsiaTheme="minorEastAsia" w:hAnsiTheme="minorHAnsi" w:cstheme="minorBidi"/>
          <w:b/>
          <w:bCs/>
          <w:i/>
          <w:iCs/>
          <w:sz w:val="24"/>
          <w:szCs w:val="24"/>
        </w:rPr>
        <w:t xml:space="preserve">IT Students vs. Non-IT Students </w:t>
      </w:r>
    </w:p>
    <w:p w14:paraId="662019C5" w14:textId="7CE65B4E" w:rsidR="641E0548" w:rsidRDefault="641E0548"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sz w:val="24"/>
          <w:szCs w:val="24"/>
        </w:rPr>
        <w:t>Comparison</w:t>
      </w:r>
      <w:r w:rsidRPr="06EF0FC4">
        <w:rPr>
          <w:rFonts w:asciiTheme="minorHAnsi" w:eastAsiaTheme="minorEastAsia" w:hAnsiTheme="minorHAnsi" w:cstheme="minorBidi"/>
          <w:sz w:val="24"/>
          <w:szCs w:val="24"/>
        </w:rPr>
        <w:t xml:space="preserve">: IT students had a slightly higher adaptability score (1.798) compared to non-IT students (1.530). Although the difference is not statistically significant, it suggests that IT students might have a slight edge in adapting to online learning environments. </w:t>
      </w:r>
    </w:p>
    <w:p w14:paraId="1D87BA50" w14:textId="11F0EB99" w:rsidR="641E0548" w:rsidRDefault="641E0548" w:rsidP="06EF0FC4">
      <w:pPr>
        <w:spacing w:after="160"/>
        <w:rPr>
          <w:rFonts w:asciiTheme="minorHAnsi" w:eastAsiaTheme="minorEastAsia" w:hAnsiTheme="minorHAnsi" w:cstheme="minorBidi"/>
          <w:b/>
          <w:bCs/>
          <w:i/>
          <w:iCs/>
          <w:sz w:val="24"/>
          <w:szCs w:val="24"/>
        </w:rPr>
      </w:pPr>
      <w:r w:rsidRPr="06EF0FC4">
        <w:rPr>
          <w:rFonts w:asciiTheme="minorHAnsi" w:eastAsiaTheme="minorEastAsia" w:hAnsiTheme="minorHAnsi" w:cstheme="minorBidi"/>
          <w:b/>
          <w:bCs/>
          <w:i/>
          <w:iCs/>
          <w:sz w:val="24"/>
          <w:szCs w:val="24"/>
        </w:rPr>
        <w:t xml:space="preserve">Education Level </w:t>
      </w:r>
    </w:p>
    <w:p w14:paraId="6650E873" w14:textId="40979C6B" w:rsidR="641E0548" w:rsidRDefault="641E0548"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sz w:val="24"/>
          <w:szCs w:val="24"/>
        </w:rPr>
        <w:t>University Students</w:t>
      </w:r>
      <w:r w:rsidRPr="06EF0FC4">
        <w:rPr>
          <w:rFonts w:asciiTheme="minorHAnsi" w:eastAsiaTheme="minorEastAsia" w:hAnsiTheme="minorHAnsi" w:cstheme="minorBidi"/>
          <w:sz w:val="24"/>
          <w:szCs w:val="24"/>
        </w:rPr>
        <w:t xml:space="preserve">: The bar graph analysis shows that university students have the highest adaptability rates compared to other education levels. This could be due to their higher exposure to technology and self-directed learning. </w:t>
      </w:r>
    </w:p>
    <w:p w14:paraId="0FFB84AD" w14:textId="31B36E3D" w:rsidR="641E0548" w:rsidRDefault="641E0548" w:rsidP="06EF0FC4">
      <w:pPr>
        <w:spacing w:after="160"/>
        <w:rPr>
          <w:rFonts w:asciiTheme="minorHAnsi" w:eastAsiaTheme="minorEastAsia" w:hAnsiTheme="minorHAnsi" w:cstheme="minorBidi"/>
          <w:sz w:val="24"/>
          <w:szCs w:val="24"/>
        </w:rPr>
      </w:pPr>
      <w:r w:rsidRPr="06EF0FC4">
        <w:rPr>
          <w:rFonts w:asciiTheme="minorHAnsi" w:eastAsiaTheme="minorEastAsia" w:hAnsiTheme="minorHAnsi" w:cstheme="minorBidi"/>
          <w:b/>
          <w:bCs/>
          <w:i/>
          <w:iCs/>
          <w:sz w:val="24"/>
          <w:szCs w:val="24"/>
        </w:rPr>
        <w:t>Institution Type</w:t>
      </w:r>
      <w:r w:rsidRPr="06EF0FC4">
        <w:rPr>
          <w:rFonts w:asciiTheme="minorHAnsi" w:eastAsiaTheme="minorEastAsia" w:hAnsiTheme="minorHAnsi" w:cstheme="minorBidi"/>
          <w:sz w:val="24"/>
          <w:szCs w:val="24"/>
        </w:rPr>
        <w:t xml:space="preserve"> </w:t>
      </w:r>
    </w:p>
    <w:p w14:paraId="59244567" w14:textId="320F6413" w:rsidR="641E0548" w:rsidRDefault="641E0548"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sz w:val="24"/>
          <w:szCs w:val="24"/>
        </w:rPr>
        <w:t>Government vs. Non-Government</w:t>
      </w:r>
      <w:r w:rsidRPr="06EF0FC4">
        <w:rPr>
          <w:rFonts w:asciiTheme="minorHAnsi" w:eastAsiaTheme="minorEastAsia" w:hAnsiTheme="minorHAnsi" w:cstheme="minorBidi"/>
          <w:sz w:val="24"/>
          <w:szCs w:val="24"/>
        </w:rPr>
        <w:t xml:space="preserve">: Students from non-government institutions had higher adaptability scores (1.768) compared to those from government institutions (1.455). This suggests that non-government institutions might provide better resources or support for online learning. </w:t>
      </w:r>
    </w:p>
    <w:p w14:paraId="466535CD" w14:textId="4BF02C15" w:rsidR="641E0548" w:rsidRDefault="641E0548" w:rsidP="06EF0FC4">
      <w:pPr>
        <w:spacing w:after="160"/>
        <w:rPr>
          <w:rFonts w:asciiTheme="minorHAnsi" w:eastAsiaTheme="minorEastAsia" w:hAnsiTheme="minorHAnsi" w:cstheme="minorBidi"/>
          <w:b/>
          <w:bCs/>
          <w:i/>
          <w:iCs/>
          <w:sz w:val="24"/>
          <w:szCs w:val="24"/>
        </w:rPr>
      </w:pPr>
      <w:r w:rsidRPr="06EF0FC4">
        <w:rPr>
          <w:rFonts w:asciiTheme="minorHAnsi" w:eastAsiaTheme="minorEastAsia" w:hAnsiTheme="minorHAnsi" w:cstheme="minorBidi"/>
          <w:b/>
          <w:bCs/>
          <w:i/>
          <w:iCs/>
          <w:sz w:val="24"/>
          <w:szCs w:val="24"/>
        </w:rPr>
        <w:t xml:space="preserve">Demographic Factors </w:t>
      </w:r>
    </w:p>
    <w:p w14:paraId="3A7FE2B9" w14:textId="692474E0" w:rsidR="641E0548" w:rsidRDefault="641E0548"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sz w:val="24"/>
          <w:szCs w:val="24"/>
        </w:rPr>
        <w:t>Multiple Linear Regression Analysis</w:t>
      </w:r>
      <w:r w:rsidRPr="06EF0FC4">
        <w:rPr>
          <w:rFonts w:asciiTheme="minorHAnsi" w:eastAsiaTheme="minorEastAsia" w:hAnsiTheme="minorHAnsi" w:cstheme="minorBidi"/>
          <w:sz w:val="24"/>
          <w:szCs w:val="24"/>
        </w:rPr>
        <w:t>: The coefficients indicate the strength and direction of the relationship between each demographic factor and adaptability. For example, financial condition (0.251) and self-directed learning management systems (0.307) have strong positive associations with adaptability, while gender (-0.206) and device type (-0.094) have negative associations.</w:t>
      </w:r>
    </w:p>
    <w:p w14:paraId="00000025" w14:textId="77777777" w:rsidR="00D92D9A" w:rsidRDefault="18308BB8" w:rsidP="06EF0FC4">
      <w:pPr>
        <w:pStyle w:val="Heading1"/>
        <w:rPr>
          <w:rFonts w:asciiTheme="minorHAnsi" w:eastAsiaTheme="minorEastAsia" w:hAnsiTheme="minorHAnsi" w:cstheme="minorBidi"/>
        </w:rPr>
      </w:pPr>
      <w:bookmarkStart w:id="9" w:name="_heading=h.gjdgxs"/>
      <w:bookmarkStart w:id="10" w:name="_Toc180331644"/>
      <w:bookmarkEnd w:id="9"/>
      <w:r w:rsidRPr="06EF0FC4">
        <w:rPr>
          <w:rFonts w:asciiTheme="minorHAnsi" w:eastAsiaTheme="minorEastAsia" w:hAnsiTheme="minorHAnsi" w:cstheme="minorBidi"/>
        </w:rPr>
        <w:t>Recommendations/Ethical Considerations</w:t>
      </w:r>
      <w:bookmarkEnd w:id="10"/>
    </w:p>
    <w:p w14:paraId="79DAC839" w14:textId="1F4E5500" w:rsidR="00D92D9A" w:rsidRDefault="00D92D9A" w:rsidP="06EF0FC4">
      <w:pPr>
        <w:rPr>
          <w:rFonts w:asciiTheme="minorHAnsi" w:eastAsiaTheme="minorEastAsia" w:hAnsiTheme="minorHAnsi" w:cstheme="minorBidi"/>
        </w:rPr>
      </w:pPr>
    </w:p>
    <w:p w14:paraId="6274C4D4" w14:textId="76A503FF" w:rsidR="00D92D9A" w:rsidRDefault="455FAB3B" w:rsidP="06EF0FC4">
      <w:pPr>
        <w:spacing w:after="160"/>
        <w:rPr>
          <w:rFonts w:asciiTheme="minorHAnsi" w:eastAsiaTheme="minorEastAsia" w:hAnsiTheme="minorHAnsi" w:cstheme="minorBidi"/>
          <w:b/>
          <w:bCs/>
          <w:i/>
          <w:iCs/>
          <w:sz w:val="24"/>
          <w:szCs w:val="24"/>
        </w:rPr>
      </w:pPr>
      <w:r w:rsidRPr="06EF0FC4">
        <w:rPr>
          <w:rFonts w:asciiTheme="minorHAnsi" w:eastAsiaTheme="minorEastAsia" w:hAnsiTheme="minorHAnsi" w:cstheme="minorBidi"/>
          <w:b/>
          <w:bCs/>
          <w:i/>
          <w:iCs/>
          <w:sz w:val="24"/>
          <w:szCs w:val="24"/>
        </w:rPr>
        <w:t>Improving Adaptability</w:t>
      </w:r>
    </w:p>
    <w:p w14:paraId="6CC27F16" w14:textId="4CDB0D6A" w:rsidR="00D92D9A" w:rsidRDefault="455FAB3B"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sz w:val="24"/>
          <w:szCs w:val="24"/>
        </w:rPr>
        <w:t>Targeted Support</w:t>
      </w:r>
      <w:r w:rsidRPr="06EF0FC4">
        <w:rPr>
          <w:rFonts w:asciiTheme="minorHAnsi" w:eastAsiaTheme="minorEastAsia" w:hAnsiTheme="minorHAnsi" w:cstheme="minorBidi"/>
          <w:sz w:val="24"/>
          <w:szCs w:val="24"/>
        </w:rPr>
        <w:t>: Provide additional resources and support for non-IT students and those from government institutions to improve their adaptability to online learning.</w:t>
      </w:r>
    </w:p>
    <w:p w14:paraId="3D99FC74" w14:textId="0446CD0B" w:rsidR="00D92D9A" w:rsidRDefault="455FAB3B"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sz w:val="24"/>
          <w:szCs w:val="24"/>
        </w:rPr>
        <w:t>Technology Access</w:t>
      </w:r>
      <w:r w:rsidRPr="06EF0FC4">
        <w:rPr>
          <w:rFonts w:asciiTheme="minorHAnsi" w:eastAsiaTheme="minorEastAsia" w:hAnsiTheme="minorHAnsi" w:cstheme="minorBidi"/>
          <w:sz w:val="24"/>
          <w:szCs w:val="24"/>
        </w:rPr>
        <w:t>: Ensure all students have access to reliable internet and appropriate devices. This could involve providing subsidies or loan programs for necessary technology.</w:t>
      </w:r>
    </w:p>
    <w:p w14:paraId="766DCCD7" w14:textId="403CF85A" w:rsidR="00D92D9A" w:rsidRDefault="455FAB3B" w:rsidP="06EF0FC4">
      <w:pPr>
        <w:spacing w:after="160"/>
        <w:rPr>
          <w:rFonts w:asciiTheme="minorHAnsi" w:eastAsiaTheme="minorEastAsia" w:hAnsiTheme="minorHAnsi" w:cstheme="minorBidi"/>
          <w:b/>
          <w:bCs/>
          <w:i/>
          <w:iCs/>
          <w:sz w:val="24"/>
          <w:szCs w:val="24"/>
        </w:rPr>
      </w:pPr>
      <w:r w:rsidRPr="06EF0FC4">
        <w:rPr>
          <w:rFonts w:asciiTheme="minorHAnsi" w:eastAsiaTheme="minorEastAsia" w:hAnsiTheme="minorHAnsi" w:cstheme="minorBidi"/>
          <w:b/>
          <w:bCs/>
          <w:i/>
          <w:iCs/>
          <w:sz w:val="24"/>
          <w:szCs w:val="24"/>
        </w:rPr>
        <w:t>Financial Support</w:t>
      </w:r>
    </w:p>
    <w:p w14:paraId="05131FA8" w14:textId="34111DA2" w:rsidR="00D92D9A" w:rsidRDefault="455FAB3B"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sz w:val="24"/>
          <w:szCs w:val="24"/>
        </w:rPr>
        <w:lastRenderedPageBreak/>
        <w:t>Aid Programs</w:t>
      </w:r>
      <w:r w:rsidRPr="06EF0FC4">
        <w:rPr>
          <w:rFonts w:asciiTheme="minorHAnsi" w:eastAsiaTheme="minorEastAsia" w:hAnsiTheme="minorHAnsi" w:cstheme="minorBidi"/>
          <w:sz w:val="24"/>
          <w:szCs w:val="24"/>
        </w:rPr>
        <w:t>: Implement financial aid programs to assist students in poorer financial conditions, as financial stability is strongly associated with better adaptability.</w:t>
      </w:r>
    </w:p>
    <w:p w14:paraId="292376D7" w14:textId="792BA1C2" w:rsidR="00D92D9A" w:rsidRDefault="455FAB3B" w:rsidP="06EF0FC4">
      <w:pPr>
        <w:spacing w:after="160"/>
        <w:rPr>
          <w:rFonts w:asciiTheme="minorHAnsi" w:eastAsiaTheme="minorEastAsia" w:hAnsiTheme="minorHAnsi" w:cstheme="minorBidi"/>
          <w:b/>
          <w:bCs/>
          <w:i/>
          <w:iCs/>
          <w:sz w:val="24"/>
          <w:szCs w:val="24"/>
        </w:rPr>
      </w:pPr>
      <w:r w:rsidRPr="06EF0FC4">
        <w:rPr>
          <w:rFonts w:asciiTheme="minorHAnsi" w:eastAsiaTheme="minorEastAsia" w:hAnsiTheme="minorHAnsi" w:cstheme="minorBidi"/>
          <w:b/>
          <w:bCs/>
          <w:i/>
          <w:iCs/>
          <w:sz w:val="24"/>
          <w:szCs w:val="24"/>
        </w:rPr>
        <w:t>Ethical Considerations</w:t>
      </w:r>
    </w:p>
    <w:p w14:paraId="5BE83655" w14:textId="20C1D7F3" w:rsidR="00D92D9A" w:rsidRDefault="455FAB3B"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sz w:val="24"/>
          <w:szCs w:val="24"/>
        </w:rPr>
        <w:t>Privacy and Confidentiality</w:t>
      </w:r>
      <w:r w:rsidRPr="06EF0FC4">
        <w:rPr>
          <w:rFonts w:asciiTheme="minorHAnsi" w:eastAsiaTheme="minorEastAsia" w:hAnsiTheme="minorHAnsi" w:cstheme="minorBidi"/>
          <w:sz w:val="24"/>
          <w:szCs w:val="24"/>
        </w:rPr>
        <w:t>: Maintain strict confidentiality of student data collected through the survey. Ensure that any interventions are equitable and do not disadvantage any group.</w:t>
      </w:r>
    </w:p>
    <w:p w14:paraId="00000026" w14:textId="5DA4CCC1" w:rsidR="00D92D9A" w:rsidRDefault="455FAB3B" w:rsidP="06EF0FC4">
      <w:pPr>
        <w:spacing w:after="160"/>
        <w:ind w:left="720"/>
        <w:rPr>
          <w:rFonts w:asciiTheme="minorHAnsi" w:eastAsiaTheme="minorEastAsia" w:hAnsiTheme="minorHAnsi" w:cstheme="minorBidi"/>
          <w:sz w:val="24"/>
          <w:szCs w:val="24"/>
        </w:rPr>
      </w:pPr>
      <w:r w:rsidRPr="660AF0A8">
        <w:rPr>
          <w:rFonts w:asciiTheme="minorHAnsi" w:eastAsiaTheme="minorEastAsia" w:hAnsiTheme="minorHAnsi" w:cstheme="minorBidi"/>
          <w:b/>
          <w:bCs/>
          <w:sz w:val="24"/>
          <w:szCs w:val="24"/>
        </w:rPr>
        <w:t>Informed Consent</w:t>
      </w:r>
      <w:r w:rsidRPr="660AF0A8">
        <w:rPr>
          <w:rFonts w:asciiTheme="minorHAnsi" w:eastAsiaTheme="minorEastAsia" w:hAnsiTheme="minorHAnsi" w:cstheme="minorBidi"/>
          <w:sz w:val="24"/>
          <w:szCs w:val="24"/>
        </w:rPr>
        <w:t>: Ensure that all participants provided informed consent before participating in the survey.</w:t>
      </w:r>
    </w:p>
    <w:p w14:paraId="13110152" w14:textId="624228A3" w:rsidR="06EF0FC4" w:rsidRDefault="06EF0FC4" w:rsidP="06EF0FC4">
      <w:pPr>
        <w:spacing w:after="160"/>
        <w:rPr>
          <w:rFonts w:asciiTheme="minorHAnsi" w:eastAsiaTheme="minorEastAsia" w:hAnsiTheme="minorHAnsi" w:cstheme="minorBidi"/>
          <w:sz w:val="24"/>
          <w:szCs w:val="24"/>
        </w:rPr>
      </w:pPr>
    </w:p>
    <w:p w14:paraId="00000027" w14:textId="77777777" w:rsidR="00D92D9A" w:rsidRDefault="18308BB8" w:rsidP="06EF0FC4">
      <w:pPr>
        <w:pStyle w:val="Heading1"/>
        <w:rPr>
          <w:rFonts w:asciiTheme="minorHAnsi" w:eastAsiaTheme="minorEastAsia" w:hAnsiTheme="minorHAnsi" w:cstheme="minorBidi"/>
        </w:rPr>
      </w:pPr>
      <w:bookmarkStart w:id="11" w:name="_Toc180331645"/>
      <w:r w:rsidRPr="06EF0FC4">
        <w:rPr>
          <w:rFonts w:asciiTheme="minorHAnsi" w:eastAsiaTheme="minorEastAsia" w:hAnsiTheme="minorHAnsi" w:cstheme="minorBidi"/>
        </w:rPr>
        <w:t>Conclusion</w:t>
      </w:r>
      <w:bookmarkEnd w:id="11"/>
    </w:p>
    <w:p w14:paraId="1F95E96C" w14:textId="460A1425" w:rsidR="00D92D9A" w:rsidRDefault="00D92D9A" w:rsidP="06EF0FC4">
      <w:pPr>
        <w:rPr>
          <w:rFonts w:asciiTheme="minorHAnsi" w:eastAsiaTheme="minorEastAsia" w:hAnsiTheme="minorHAnsi" w:cstheme="minorBidi"/>
        </w:rPr>
      </w:pPr>
    </w:p>
    <w:p w14:paraId="0BDDDD14" w14:textId="3B55922B" w:rsidR="00D92D9A" w:rsidRDefault="08C7A4F8"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i/>
          <w:iCs/>
          <w:sz w:val="24"/>
          <w:szCs w:val="24"/>
        </w:rPr>
        <w:t xml:space="preserve">Summary of Findings: </w:t>
      </w:r>
      <w:r w:rsidRPr="06EF0FC4">
        <w:rPr>
          <w:rFonts w:asciiTheme="minorHAnsi" w:eastAsiaTheme="minorEastAsia" w:hAnsiTheme="minorHAnsi" w:cstheme="minorBidi"/>
          <w:sz w:val="24"/>
          <w:szCs w:val="24"/>
        </w:rPr>
        <w:t xml:space="preserve">The study reveals that </w:t>
      </w:r>
      <w:proofErr w:type="gramStart"/>
      <w:r w:rsidRPr="06EF0FC4">
        <w:rPr>
          <w:rFonts w:asciiTheme="minorHAnsi" w:eastAsiaTheme="minorEastAsia" w:hAnsiTheme="minorHAnsi" w:cstheme="minorBidi"/>
          <w:sz w:val="24"/>
          <w:szCs w:val="24"/>
        </w:rPr>
        <w:t>a majority of</w:t>
      </w:r>
      <w:proofErr w:type="gramEnd"/>
      <w:r w:rsidRPr="06EF0FC4">
        <w:rPr>
          <w:rFonts w:asciiTheme="minorHAnsi" w:eastAsiaTheme="minorEastAsia" w:hAnsiTheme="minorHAnsi" w:cstheme="minorBidi"/>
          <w:sz w:val="24"/>
          <w:szCs w:val="24"/>
        </w:rPr>
        <w:t xml:space="preserve"> students struggle with adapting to online learning, with only a small percentage highly adapted. Key factors influencing adaptability include financial condition, self-directed learning management systems, and institution type.</w:t>
      </w:r>
    </w:p>
    <w:p w14:paraId="2E8A9587" w14:textId="49DC5FC8" w:rsidR="00D92D9A" w:rsidRDefault="08C7A4F8"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i/>
          <w:iCs/>
          <w:sz w:val="24"/>
          <w:szCs w:val="24"/>
        </w:rPr>
        <w:t xml:space="preserve">Implications: </w:t>
      </w:r>
      <w:r w:rsidRPr="06EF0FC4">
        <w:rPr>
          <w:rFonts w:asciiTheme="minorHAnsi" w:eastAsiaTheme="minorEastAsia" w:hAnsiTheme="minorHAnsi" w:cstheme="minorBidi"/>
          <w:sz w:val="24"/>
          <w:szCs w:val="24"/>
        </w:rPr>
        <w:t>These findings suggest that educational institutions need to focus on providing better support and resources for online learning, especially for students from disadvantaged backgrounds.</w:t>
      </w:r>
    </w:p>
    <w:p w14:paraId="73ED9A7F" w14:textId="420B660E" w:rsidR="00D92D9A" w:rsidRDefault="08C7A4F8" w:rsidP="06EF0FC4">
      <w:pPr>
        <w:spacing w:after="160"/>
        <w:ind w:left="720"/>
        <w:rPr>
          <w:rFonts w:asciiTheme="minorHAnsi" w:eastAsiaTheme="minorEastAsia" w:hAnsiTheme="minorHAnsi" w:cstheme="minorBidi"/>
          <w:sz w:val="24"/>
          <w:szCs w:val="24"/>
        </w:rPr>
      </w:pPr>
      <w:r w:rsidRPr="06EF0FC4">
        <w:rPr>
          <w:rFonts w:asciiTheme="minorHAnsi" w:eastAsiaTheme="minorEastAsia" w:hAnsiTheme="minorHAnsi" w:cstheme="minorBidi"/>
          <w:b/>
          <w:bCs/>
          <w:i/>
          <w:iCs/>
          <w:sz w:val="24"/>
          <w:szCs w:val="24"/>
        </w:rPr>
        <w:t xml:space="preserve">Future Research: </w:t>
      </w:r>
      <w:r w:rsidRPr="06EF0FC4">
        <w:rPr>
          <w:rFonts w:asciiTheme="minorHAnsi" w:eastAsiaTheme="minorEastAsia" w:hAnsiTheme="minorHAnsi" w:cstheme="minorBidi"/>
          <w:sz w:val="24"/>
          <w:szCs w:val="24"/>
        </w:rPr>
        <w:t>Further research is needed to explore the reasons behind the counterintuitive effect of load-shedding and to investigate other potential factors influencing adaptability.</w:t>
      </w:r>
    </w:p>
    <w:p w14:paraId="00000028" w14:textId="3B0D7340" w:rsidR="00D92D9A" w:rsidRDefault="00D92D9A" w:rsidP="06EF0FC4">
      <w:pPr>
        <w:rPr>
          <w:rFonts w:asciiTheme="minorHAnsi" w:eastAsiaTheme="minorEastAsia" w:hAnsiTheme="minorHAnsi" w:cstheme="minorBidi"/>
        </w:rPr>
      </w:pPr>
    </w:p>
    <w:p w14:paraId="00000029" w14:textId="77777777" w:rsidR="00D92D9A" w:rsidRDefault="18308BB8" w:rsidP="06EF0FC4">
      <w:pPr>
        <w:pStyle w:val="Heading1"/>
        <w:rPr>
          <w:rFonts w:asciiTheme="minorHAnsi" w:eastAsiaTheme="minorEastAsia" w:hAnsiTheme="minorHAnsi" w:cstheme="minorBidi"/>
        </w:rPr>
      </w:pPr>
      <w:bookmarkStart w:id="12" w:name="_Toc180331646"/>
      <w:r w:rsidRPr="660AF0A8">
        <w:rPr>
          <w:rFonts w:asciiTheme="minorHAnsi" w:eastAsiaTheme="minorEastAsia" w:hAnsiTheme="minorHAnsi" w:cstheme="minorBidi"/>
        </w:rPr>
        <w:t>References</w:t>
      </w:r>
      <w:bookmarkEnd w:id="12"/>
    </w:p>
    <w:p w14:paraId="1A33F622" w14:textId="44055E32" w:rsidR="00D92D9A" w:rsidRDefault="3A0E859E"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Allen, I. E., &amp; Seaman, J. (2017). </w:t>
      </w:r>
      <w:r w:rsidRPr="660AF0A8">
        <w:rPr>
          <w:rFonts w:asciiTheme="minorHAnsi" w:eastAsiaTheme="minorEastAsia" w:hAnsiTheme="minorHAnsi" w:cstheme="minorBidi"/>
          <w:i/>
          <w:iCs/>
          <w:sz w:val="24"/>
          <w:szCs w:val="24"/>
        </w:rPr>
        <w:t>Digital learning compass: Distance education enrollment report 2017</w:t>
      </w:r>
      <w:r w:rsidRPr="660AF0A8">
        <w:rPr>
          <w:rFonts w:asciiTheme="minorHAnsi" w:eastAsiaTheme="minorEastAsia" w:hAnsiTheme="minorHAnsi" w:cstheme="minorBidi"/>
          <w:sz w:val="24"/>
          <w:szCs w:val="24"/>
        </w:rPr>
        <w:t xml:space="preserve">. Babson Survey Research Group. Retrieved from </w:t>
      </w:r>
      <w:hyperlink r:id="rId10">
        <w:r w:rsidRPr="660AF0A8">
          <w:rPr>
            <w:rStyle w:val="Hyperlink"/>
            <w:rFonts w:asciiTheme="minorHAnsi" w:eastAsiaTheme="minorEastAsia" w:hAnsiTheme="minorHAnsi" w:cstheme="minorBidi"/>
            <w:sz w:val="24"/>
            <w:szCs w:val="24"/>
          </w:rPr>
          <w:t>https://onlinelearningsurvey.com/reports/digtiallearningcompassenrollment2017.pdf</w:t>
        </w:r>
      </w:hyperlink>
    </w:p>
    <w:p w14:paraId="45A5035C" w14:textId="454ACC0D" w:rsidR="00D92D9A" w:rsidRDefault="00D92D9A" w:rsidP="660AF0A8">
      <w:pPr>
        <w:spacing w:after="0"/>
        <w:rPr>
          <w:rFonts w:asciiTheme="minorHAnsi" w:eastAsiaTheme="minorEastAsia" w:hAnsiTheme="minorHAnsi" w:cstheme="minorBidi"/>
          <w:sz w:val="24"/>
          <w:szCs w:val="24"/>
        </w:rPr>
      </w:pPr>
    </w:p>
    <w:p w14:paraId="0370B068" w14:textId="7AA824BC" w:rsidR="00D92D9A" w:rsidRDefault="3A0E859E"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Hiltz, S. R., &amp; Turoff, M. (2005). </w:t>
      </w:r>
      <w:r w:rsidRPr="660AF0A8">
        <w:rPr>
          <w:rFonts w:asciiTheme="minorHAnsi" w:eastAsiaTheme="minorEastAsia" w:hAnsiTheme="minorHAnsi" w:cstheme="minorBidi"/>
          <w:i/>
          <w:iCs/>
          <w:sz w:val="24"/>
          <w:szCs w:val="24"/>
        </w:rPr>
        <w:t>Education goes digital: The evolution of online learning and the revolution in higher education</w:t>
      </w:r>
      <w:r w:rsidRPr="660AF0A8">
        <w:rPr>
          <w:rFonts w:asciiTheme="minorHAnsi" w:eastAsiaTheme="minorEastAsia" w:hAnsiTheme="minorHAnsi" w:cstheme="minorBidi"/>
          <w:sz w:val="24"/>
          <w:szCs w:val="24"/>
        </w:rPr>
        <w:t xml:space="preserve">. Communications of the ACM, 48(10), 59-64. Retrieved from </w:t>
      </w:r>
      <w:hyperlink r:id="rId11">
        <w:r w:rsidRPr="660AF0A8">
          <w:rPr>
            <w:rStyle w:val="Hyperlink"/>
            <w:rFonts w:asciiTheme="minorHAnsi" w:eastAsiaTheme="minorEastAsia" w:hAnsiTheme="minorHAnsi" w:cstheme="minorBidi"/>
            <w:sz w:val="24"/>
            <w:szCs w:val="24"/>
          </w:rPr>
          <w:t>https://dl.acm.org/doi/10.1145/1089107.1089139</w:t>
        </w:r>
      </w:hyperlink>
    </w:p>
    <w:p w14:paraId="0DDD80AD" w14:textId="3BDB56DC" w:rsidR="00D92D9A" w:rsidRDefault="00D92D9A" w:rsidP="660AF0A8">
      <w:pPr>
        <w:spacing w:after="0"/>
        <w:rPr>
          <w:rFonts w:asciiTheme="minorHAnsi" w:eastAsiaTheme="minorEastAsia" w:hAnsiTheme="minorHAnsi" w:cstheme="minorBidi"/>
          <w:sz w:val="24"/>
          <w:szCs w:val="24"/>
        </w:rPr>
      </w:pPr>
    </w:p>
    <w:p w14:paraId="30CE4F25" w14:textId="207B88DE" w:rsidR="00D92D9A" w:rsidRDefault="3A0E859E"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lastRenderedPageBreak/>
        <w:t xml:space="preserve">Liguori, E. W., &amp; Winkler, C. (2020). </w:t>
      </w:r>
      <w:r w:rsidRPr="660AF0A8">
        <w:rPr>
          <w:rFonts w:asciiTheme="minorHAnsi" w:eastAsiaTheme="minorEastAsia" w:hAnsiTheme="minorHAnsi" w:cstheme="minorBidi"/>
          <w:i/>
          <w:iCs/>
          <w:sz w:val="24"/>
          <w:szCs w:val="24"/>
        </w:rPr>
        <w:t>From offline to online: Challenges and opportunities for entrepreneurship education following the COVID-19 pandemic</w:t>
      </w:r>
      <w:r w:rsidRPr="660AF0A8">
        <w:rPr>
          <w:rFonts w:asciiTheme="minorHAnsi" w:eastAsiaTheme="minorEastAsia" w:hAnsiTheme="minorHAnsi" w:cstheme="minorBidi"/>
          <w:sz w:val="24"/>
          <w:szCs w:val="24"/>
        </w:rPr>
        <w:t xml:space="preserve">. Entrepreneurship Education and Pedagogy, 3(4), 346-351. Retrieved from </w:t>
      </w:r>
      <w:hyperlink r:id="rId12">
        <w:r w:rsidRPr="660AF0A8">
          <w:rPr>
            <w:rStyle w:val="Hyperlink"/>
            <w:rFonts w:asciiTheme="minorHAnsi" w:eastAsiaTheme="minorEastAsia" w:hAnsiTheme="minorHAnsi" w:cstheme="minorBidi"/>
            <w:sz w:val="24"/>
            <w:szCs w:val="24"/>
          </w:rPr>
          <w:t>https://journals.sagepub.com/doi/full/10.1177/2515127420916738</w:t>
        </w:r>
      </w:hyperlink>
    </w:p>
    <w:p w14:paraId="5340E551" w14:textId="55F1C8E5" w:rsidR="00D92D9A" w:rsidRDefault="00D92D9A" w:rsidP="660AF0A8">
      <w:pPr>
        <w:spacing w:after="0"/>
        <w:rPr>
          <w:rFonts w:asciiTheme="minorHAnsi" w:eastAsiaTheme="minorEastAsia" w:hAnsiTheme="minorHAnsi" w:cstheme="minorBidi"/>
          <w:sz w:val="24"/>
          <w:szCs w:val="24"/>
        </w:rPr>
      </w:pPr>
    </w:p>
    <w:p w14:paraId="286C3592" w14:textId="5B037299" w:rsidR="00D92D9A" w:rsidRDefault="3A0E859E"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Davis, R., Gough, T., &amp; Taylor, L. (2021). </w:t>
      </w:r>
      <w:r w:rsidRPr="660AF0A8">
        <w:rPr>
          <w:rFonts w:asciiTheme="minorHAnsi" w:eastAsiaTheme="minorEastAsia" w:hAnsiTheme="minorHAnsi" w:cstheme="minorBidi"/>
          <w:i/>
          <w:iCs/>
          <w:sz w:val="24"/>
          <w:szCs w:val="24"/>
        </w:rPr>
        <w:t>Institutional adaptability in the digital learning age</w:t>
      </w:r>
      <w:r w:rsidRPr="660AF0A8">
        <w:rPr>
          <w:rFonts w:asciiTheme="minorHAnsi" w:eastAsiaTheme="minorEastAsia" w:hAnsiTheme="minorHAnsi" w:cstheme="minorBidi"/>
          <w:sz w:val="24"/>
          <w:szCs w:val="24"/>
        </w:rPr>
        <w:t xml:space="preserve">. Journal of Educational Technology Systems, 50(1), 5-23. Retrieved from </w:t>
      </w:r>
      <w:hyperlink r:id="rId13">
        <w:r w:rsidRPr="660AF0A8">
          <w:rPr>
            <w:rStyle w:val="Hyperlink"/>
            <w:rFonts w:asciiTheme="minorHAnsi" w:eastAsiaTheme="minorEastAsia" w:hAnsiTheme="minorHAnsi" w:cstheme="minorBidi"/>
            <w:sz w:val="24"/>
            <w:szCs w:val="24"/>
          </w:rPr>
          <w:t>https://journals.sagepub.com/doi/full/10.1177/00472395211029432</w:t>
        </w:r>
      </w:hyperlink>
    </w:p>
    <w:p w14:paraId="0000002A" w14:textId="054CD67F" w:rsidR="00D92D9A" w:rsidRDefault="00D92D9A" w:rsidP="660AF0A8">
      <w:pPr>
        <w:rPr>
          <w:rFonts w:asciiTheme="minorHAnsi" w:eastAsiaTheme="minorEastAsia" w:hAnsiTheme="minorHAnsi" w:cstheme="minorBidi"/>
        </w:rPr>
      </w:pPr>
    </w:p>
    <w:p w14:paraId="0000002B" w14:textId="77777777" w:rsidR="00D92D9A" w:rsidRDefault="18308BB8" w:rsidP="06EF0FC4">
      <w:pPr>
        <w:pStyle w:val="Heading1"/>
        <w:rPr>
          <w:rFonts w:asciiTheme="minorHAnsi" w:eastAsiaTheme="minorEastAsia" w:hAnsiTheme="minorHAnsi" w:cstheme="minorBidi"/>
        </w:rPr>
      </w:pPr>
      <w:bookmarkStart w:id="13" w:name="_Toc180331647"/>
      <w:r w:rsidRPr="660AF0A8">
        <w:rPr>
          <w:rFonts w:asciiTheme="minorHAnsi" w:eastAsiaTheme="minorEastAsia" w:hAnsiTheme="minorHAnsi" w:cstheme="minorBidi"/>
        </w:rPr>
        <w:t>Appendix</w:t>
      </w:r>
      <w:bookmarkEnd w:id="13"/>
    </w:p>
    <w:p w14:paraId="74450B54" w14:textId="489D1AA2" w:rsidR="00D92D9A" w:rsidRDefault="5470E088" w:rsidP="660AF0A8">
      <w:pPr>
        <w:pStyle w:val="Heading3"/>
        <w:spacing w:before="281" w:after="281"/>
      </w:pPr>
      <w:r w:rsidRPr="660AF0A8">
        <w:rPr>
          <w:b/>
          <w:bCs/>
          <w:sz w:val="28"/>
          <w:szCs w:val="28"/>
        </w:rPr>
        <w:t>Appendix A: Survey Methodology</w:t>
      </w:r>
    </w:p>
    <w:p w14:paraId="50B01A6F" w14:textId="75FED771" w:rsidR="00D92D9A" w:rsidRDefault="5470E088" w:rsidP="660AF0A8">
      <w:pPr>
        <w:spacing w:before="240" w:after="240"/>
        <w:jc w:val="left"/>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This survey was conducted among 1,205 participants. The survey aimed to measure students’ adaptability to online learning, their internet connectivity, and the role of technology in facilitating or hindering their learning experience.</w:t>
      </w:r>
    </w:p>
    <w:p w14:paraId="624C8A9E" w14:textId="0342D4F2" w:rsidR="00D92D9A" w:rsidRDefault="5470E088" w:rsidP="660AF0A8">
      <w:pPr>
        <w:pStyle w:val="ListParagraph"/>
        <w:numPr>
          <w:ilvl w:val="0"/>
          <w:numId w:val="2"/>
        </w:numPr>
        <w:spacing w:after="0"/>
        <w:jc w:val="left"/>
        <w:rPr>
          <w:rFonts w:asciiTheme="minorHAnsi" w:eastAsiaTheme="minorEastAsia" w:hAnsiTheme="minorHAnsi" w:cstheme="minorBidi"/>
          <w:sz w:val="24"/>
          <w:szCs w:val="24"/>
        </w:rPr>
      </w:pPr>
      <w:r w:rsidRPr="660AF0A8">
        <w:rPr>
          <w:rFonts w:asciiTheme="minorHAnsi" w:eastAsiaTheme="minorEastAsia" w:hAnsiTheme="minorHAnsi" w:cstheme="minorBidi"/>
          <w:b/>
          <w:bCs/>
          <w:sz w:val="24"/>
          <w:szCs w:val="24"/>
        </w:rPr>
        <w:t>Demographics</w:t>
      </w:r>
      <w:r w:rsidRPr="660AF0A8">
        <w:rPr>
          <w:rFonts w:asciiTheme="minorHAnsi" w:eastAsiaTheme="minorEastAsia" w:hAnsiTheme="minorHAnsi" w:cstheme="minorBidi"/>
          <w:sz w:val="24"/>
          <w:szCs w:val="24"/>
        </w:rPr>
        <w:t>: The sample consisted of IT and non-IT students, representing various levels of education and institution types (government and non-government).</w:t>
      </w:r>
    </w:p>
    <w:p w14:paraId="7EB6F195" w14:textId="08D3AF82" w:rsidR="00D92D9A" w:rsidRDefault="5470E088" w:rsidP="660AF0A8">
      <w:pPr>
        <w:pStyle w:val="ListParagraph"/>
        <w:numPr>
          <w:ilvl w:val="0"/>
          <w:numId w:val="2"/>
        </w:numPr>
        <w:spacing w:after="0"/>
        <w:jc w:val="left"/>
        <w:rPr>
          <w:rFonts w:asciiTheme="minorHAnsi" w:eastAsiaTheme="minorEastAsia" w:hAnsiTheme="minorHAnsi" w:cstheme="minorBidi"/>
          <w:sz w:val="24"/>
          <w:szCs w:val="24"/>
        </w:rPr>
      </w:pPr>
      <w:r w:rsidRPr="660AF0A8">
        <w:rPr>
          <w:rFonts w:asciiTheme="minorHAnsi" w:eastAsiaTheme="minorEastAsia" w:hAnsiTheme="minorHAnsi" w:cstheme="minorBidi"/>
          <w:b/>
          <w:bCs/>
          <w:sz w:val="24"/>
          <w:szCs w:val="24"/>
        </w:rPr>
        <w:t>Survey Format</w:t>
      </w:r>
      <w:r w:rsidRPr="660AF0A8">
        <w:rPr>
          <w:rFonts w:asciiTheme="minorHAnsi" w:eastAsiaTheme="minorEastAsia" w:hAnsiTheme="minorHAnsi" w:cstheme="minorBidi"/>
          <w:sz w:val="24"/>
          <w:szCs w:val="24"/>
        </w:rPr>
        <w:t>: The survey included questions that captured demographic factors (age, gender, education level), technology access (internet type, device type), and adaptability indicators (adaptability level, use of self-directed learning platforms).</w:t>
      </w:r>
    </w:p>
    <w:p w14:paraId="574A10D2" w14:textId="7082ABC5" w:rsidR="00D92D9A" w:rsidRDefault="5470E088" w:rsidP="660AF0A8">
      <w:pPr>
        <w:pStyle w:val="Heading3"/>
        <w:spacing w:before="281" w:after="281"/>
      </w:pPr>
      <w:r w:rsidRPr="660AF0A8">
        <w:rPr>
          <w:b/>
          <w:bCs/>
          <w:sz w:val="28"/>
          <w:szCs w:val="28"/>
        </w:rPr>
        <w:t>Appendix B: Regression Coefficients</w:t>
      </w:r>
    </w:p>
    <w:p w14:paraId="210B964C" w14:textId="7B9A2900" w:rsidR="00D92D9A" w:rsidRDefault="5470E088" w:rsidP="660AF0A8">
      <w:pPr>
        <w:spacing w:before="240" w:after="240"/>
        <w:jc w:val="left"/>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The multiple linear regression model provided the following coefficients to predict adaptability to online learning:</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66"/>
        <w:gridCol w:w="1260"/>
        <w:gridCol w:w="6534"/>
      </w:tblGrid>
      <w:tr w:rsidR="660AF0A8" w14:paraId="4EE3157A" w14:textId="77777777" w:rsidTr="660AF0A8">
        <w:trPr>
          <w:trHeight w:val="300"/>
        </w:trPr>
        <w:tc>
          <w:tcPr>
            <w:tcW w:w="1566" w:type="dxa"/>
            <w:vAlign w:val="center"/>
          </w:tcPr>
          <w:p w14:paraId="12A57A63" w14:textId="7869D972" w:rsidR="660AF0A8" w:rsidRDefault="660AF0A8" w:rsidP="660AF0A8">
            <w:pPr>
              <w:spacing w:after="0"/>
              <w:jc w:val="center"/>
              <w:rPr>
                <w:rFonts w:asciiTheme="minorHAnsi" w:eastAsiaTheme="minorEastAsia" w:hAnsiTheme="minorHAnsi" w:cstheme="minorBidi"/>
                <w:b/>
                <w:bCs/>
                <w:sz w:val="24"/>
                <w:szCs w:val="24"/>
              </w:rPr>
            </w:pPr>
            <w:r w:rsidRPr="660AF0A8">
              <w:rPr>
                <w:rFonts w:asciiTheme="minorHAnsi" w:eastAsiaTheme="minorEastAsia" w:hAnsiTheme="minorHAnsi" w:cstheme="minorBidi"/>
                <w:b/>
                <w:bCs/>
                <w:sz w:val="24"/>
                <w:szCs w:val="24"/>
              </w:rPr>
              <w:t>Variable</w:t>
            </w:r>
          </w:p>
        </w:tc>
        <w:tc>
          <w:tcPr>
            <w:tcW w:w="1260" w:type="dxa"/>
            <w:vAlign w:val="center"/>
          </w:tcPr>
          <w:p w14:paraId="538B44D3" w14:textId="5171642D" w:rsidR="660AF0A8" w:rsidRDefault="660AF0A8" w:rsidP="660AF0A8">
            <w:pPr>
              <w:spacing w:after="0"/>
              <w:jc w:val="center"/>
              <w:rPr>
                <w:rFonts w:asciiTheme="minorHAnsi" w:eastAsiaTheme="minorEastAsia" w:hAnsiTheme="minorHAnsi" w:cstheme="minorBidi"/>
                <w:b/>
                <w:bCs/>
                <w:sz w:val="24"/>
                <w:szCs w:val="24"/>
              </w:rPr>
            </w:pPr>
            <w:r w:rsidRPr="660AF0A8">
              <w:rPr>
                <w:rFonts w:asciiTheme="minorHAnsi" w:eastAsiaTheme="minorEastAsia" w:hAnsiTheme="minorHAnsi" w:cstheme="minorBidi"/>
                <w:b/>
                <w:bCs/>
                <w:sz w:val="24"/>
                <w:szCs w:val="24"/>
              </w:rPr>
              <w:t>Coefficient</w:t>
            </w:r>
          </w:p>
        </w:tc>
        <w:tc>
          <w:tcPr>
            <w:tcW w:w="6534" w:type="dxa"/>
            <w:vAlign w:val="center"/>
          </w:tcPr>
          <w:p w14:paraId="1127903D" w14:textId="5BA22E88" w:rsidR="660AF0A8" w:rsidRDefault="660AF0A8" w:rsidP="660AF0A8">
            <w:pPr>
              <w:spacing w:after="0"/>
              <w:jc w:val="center"/>
              <w:rPr>
                <w:rFonts w:asciiTheme="minorHAnsi" w:eastAsiaTheme="minorEastAsia" w:hAnsiTheme="minorHAnsi" w:cstheme="minorBidi"/>
                <w:b/>
                <w:bCs/>
                <w:sz w:val="24"/>
                <w:szCs w:val="24"/>
              </w:rPr>
            </w:pPr>
            <w:r w:rsidRPr="660AF0A8">
              <w:rPr>
                <w:rFonts w:asciiTheme="minorHAnsi" w:eastAsiaTheme="minorEastAsia" w:hAnsiTheme="minorHAnsi" w:cstheme="minorBidi"/>
                <w:b/>
                <w:bCs/>
                <w:sz w:val="24"/>
                <w:szCs w:val="24"/>
              </w:rPr>
              <w:t>Interpretation</w:t>
            </w:r>
          </w:p>
        </w:tc>
      </w:tr>
      <w:tr w:rsidR="660AF0A8" w14:paraId="2253882F" w14:textId="77777777" w:rsidTr="660AF0A8">
        <w:trPr>
          <w:trHeight w:val="300"/>
        </w:trPr>
        <w:tc>
          <w:tcPr>
            <w:tcW w:w="1566" w:type="dxa"/>
            <w:vAlign w:val="center"/>
          </w:tcPr>
          <w:p w14:paraId="578FD1AB" w14:textId="4734D197"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Gender</w:t>
            </w:r>
          </w:p>
        </w:tc>
        <w:tc>
          <w:tcPr>
            <w:tcW w:w="1260" w:type="dxa"/>
            <w:vAlign w:val="center"/>
          </w:tcPr>
          <w:p w14:paraId="6B81DB32" w14:textId="4CE1312C"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-0.205758</w:t>
            </w:r>
          </w:p>
        </w:tc>
        <w:tc>
          <w:tcPr>
            <w:tcW w:w="6534" w:type="dxa"/>
            <w:vAlign w:val="center"/>
          </w:tcPr>
          <w:p w14:paraId="2322F8B5" w14:textId="22B6B95B"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Negative association; suggests male or female identity impacts adaptability negatively.</w:t>
            </w:r>
          </w:p>
        </w:tc>
      </w:tr>
      <w:tr w:rsidR="660AF0A8" w14:paraId="13026C00" w14:textId="77777777" w:rsidTr="660AF0A8">
        <w:trPr>
          <w:trHeight w:val="300"/>
        </w:trPr>
        <w:tc>
          <w:tcPr>
            <w:tcW w:w="1566" w:type="dxa"/>
            <w:vAlign w:val="center"/>
          </w:tcPr>
          <w:p w14:paraId="1546D349" w14:textId="5B73C5FE"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Education Level</w:t>
            </w:r>
          </w:p>
        </w:tc>
        <w:tc>
          <w:tcPr>
            <w:tcW w:w="1260" w:type="dxa"/>
            <w:vAlign w:val="center"/>
          </w:tcPr>
          <w:p w14:paraId="5D1161AC" w14:textId="399F0D16"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-0.026661</w:t>
            </w:r>
          </w:p>
        </w:tc>
        <w:tc>
          <w:tcPr>
            <w:tcW w:w="6534" w:type="dxa"/>
            <w:vAlign w:val="center"/>
          </w:tcPr>
          <w:p w14:paraId="1A0D8DF1" w14:textId="34A778CA"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Slight negative </w:t>
            </w:r>
            <w:proofErr w:type="gramStart"/>
            <w:r w:rsidRPr="660AF0A8">
              <w:rPr>
                <w:rFonts w:asciiTheme="minorHAnsi" w:eastAsiaTheme="minorEastAsia" w:hAnsiTheme="minorHAnsi" w:cstheme="minorBidi"/>
                <w:sz w:val="24"/>
                <w:szCs w:val="24"/>
              </w:rPr>
              <w:t>impact;</w:t>
            </w:r>
            <w:proofErr w:type="gramEnd"/>
            <w:r w:rsidRPr="660AF0A8">
              <w:rPr>
                <w:rFonts w:asciiTheme="minorHAnsi" w:eastAsiaTheme="minorEastAsia" w:hAnsiTheme="minorHAnsi" w:cstheme="minorBidi"/>
                <w:sz w:val="24"/>
                <w:szCs w:val="24"/>
              </w:rPr>
              <w:t xml:space="preserve"> lower education levels are linked to less adaptability.</w:t>
            </w:r>
          </w:p>
        </w:tc>
      </w:tr>
      <w:tr w:rsidR="660AF0A8" w14:paraId="11E8E742" w14:textId="77777777" w:rsidTr="660AF0A8">
        <w:trPr>
          <w:trHeight w:val="300"/>
        </w:trPr>
        <w:tc>
          <w:tcPr>
            <w:tcW w:w="1566" w:type="dxa"/>
            <w:vAlign w:val="center"/>
          </w:tcPr>
          <w:p w14:paraId="7F74C0EB" w14:textId="32C79D73"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Institution Type</w:t>
            </w:r>
          </w:p>
        </w:tc>
        <w:tc>
          <w:tcPr>
            <w:tcW w:w="1260" w:type="dxa"/>
            <w:vAlign w:val="center"/>
          </w:tcPr>
          <w:p w14:paraId="793ECDC1" w14:textId="1BF2E032"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0.202403</w:t>
            </w:r>
          </w:p>
        </w:tc>
        <w:tc>
          <w:tcPr>
            <w:tcW w:w="6534" w:type="dxa"/>
            <w:vAlign w:val="center"/>
          </w:tcPr>
          <w:p w14:paraId="51D67EBC" w14:textId="76612A50"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Positive </w:t>
            </w:r>
            <w:proofErr w:type="gramStart"/>
            <w:r w:rsidRPr="660AF0A8">
              <w:rPr>
                <w:rFonts w:asciiTheme="minorHAnsi" w:eastAsiaTheme="minorEastAsia" w:hAnsiTheme="minorHAnsi" w:cstheme="minorBidi"/>
                <w:sz w:val="24"/>
                <w:szCs w:val="24"/>
              </w:rPr>
              <w:t>effect;</w:t>
            </w:r>
            <w:proofErr w:type="gramEnd"/>
            <w:r w:rsidRPr="660AF0A8">
              <w:rPr>
                <w:rFonts w:asciiTheme="minorHAnsi" w:eastAsiaTheme="minorEastAsia" w:hAnsiTheme="minorHAnsi" w:cstheme="minorBidi"/>
                <w:sz w:val="24"/>
                <w:szCs w:val="24"/>
              </w:rPr>
              <w:t xml:space="preserve"> non-government institution enrollment is linked to higher adaptability.</w:t>
            </w:r>
          </w:p>
        </w:tc>
      </w:tr>
      <w:tr w:rsidR="660AF0A8" w14:paraId="17F03E2B" w14:textId="77777777" w:rsidTr="660AF0A8">
        <w:trPr>
          <w:trHeight w:val="300"/>
        </w:trPr>
        <w:tc>
          <w:tcPr>
            <w:tcW w:w="1566" w:type="dxa"/>
            <w:vAlign w:val="center"/>
          </w:tcPr>
          <w:p w14:paraId="0CCAE020" w14:textId="1427140F"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lastRenderedPageBreak/>
              <w:t>IT Student</w:t>
            </w:r>
          </w:p>
        </w:tc>
        <w:tc>
          <w:tcPr>
            <w:tcW w:w="1260" w:type="dxa"/>
            <w:vAlign w:val="center"/>
          </w:tcPr>
          <w:p w14:paraId="391961AA" w14:textId="51926A68"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-0.036504</w:t>
            </w:r>
          </w:p>
        </w:tc>
        <w:tc>
          <w:tcPr>
            <w:tcW w:w="6534" w:type="dxa"/>
            <w:vAlign w:val="center"/>
          </w:tcPr>
          <w:p w14:paraId="29E9E83E" w14:textId="79DE3C28"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Minor negative </w:t>
            </w:r>
            <w:proofErr w:type="gramStart"/>
            <w:r w:rsidRPr="660AF0A8">
              <w:rPr>
                <w:rFonts w:asciiTheme="minorHAnsi" w:eastAsiaTheme="minorEastAsia" w:hAnsiTheme="minorHAnsi" w:cstheme="minorBidi"/>
                <w:sz w:val="24"/>
                <w:szCs w:val="24"/>
              </w:rPr>
              <w:t>effect;</w:t>
            </w:r>
            <w:proofErr w:type="gramEnd"/>
            <w:r w:rsidRPr="660AF0A8">
              <w:rPr>
                <w:rFonts w:asciiTheme="minorHAnsi" w:eastAsiaTheme="minorEastAsia" w:hAnsiTheme="minorHAnsi" w:cstheme="minorBidi"/>
                <w:sz w:val="24"/>
                <w:szCs w:val="24"/>
              </w:rPr>
              <w:t xml:space="preserve"> IT students show slightly lower adaptability than expected.</w:t>
            </w:r>
          </w:p>
        </w:tc>
      </w:tr>
      <w:tr w:rsidR="660AF0A8" w14:paraId="63AC6ACB" w14:textId="77777777" w:rsidTr="660AF0A8">
        <w:trPr>
          <w:trHeight w:val="300"/>
        </w:trPr>
        <w:tc>
          <w:tcPr>
            <w:tcW w:w="1566" w:type="dxa"/>
            <w:vAlign w:val="center"/>
          </w:tcPr>
          <w:p w14:paraId="4EF3C599" w14:textId="2F509E84"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Location</w:t>
            </w:r>
          </w:p>
        </w:tc>
        <w:tc>
          <w:tcPr>
            <w:tcW w:w="1260" w:type="dxa"/>
            <w:vAlign w:val="center"/>
          </w:tcPr>
          <w:p w14:paraId="2118DFAF" w14:textId="27B992FE"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0.057428</w:t>
            </w:r>
          </w:p>
        </w:tc>
        <w:tc>
          <w:tcPr>
            <w:tcW w:w="6534" w:type="dxa"/>
            <w:vAlign w:val="center"/>
          </w:tcPr>
          <w:p w14:paraId="539B8F3E" w14:textId="4440B6B5"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Positive </w:t>
            </w:r>
            <w:proofErr w:type="gramStart"/>
            <w:r w:rsidRPr="660AF0A8">
              <w:rPr>
                <w:rFonts w:asciiTheme="minorHAnsi" w:eastAsiaTheme="minorEastAsia" w:hAnsiTheme="minorHAnsi" w:cstheme="minorBidi"/>
                <w:sz w:val="24"/>
                <w:szCs w:val="24"/>
              </w:rPr>
              <w:t>effect;</w:t>
            </w:r>
            <w:proofErr w:type="gramEnd"/>
            <w:r w:rsidRPr="660AF0A8">
              <w:rPr>
                <w:rFonts w:asciiTheme="minorHAnsi" w:eastAsiaTheme="minorEastAsia" w:hAnsiTheme="minorHAnsi" w:cstheme="minorBidi"/>
                <w:sz w:val="24"/>
                <w:szCs w:val="24"/>
              </w:rPr>
              <w:t xml:space="preserve"> location seems to impact adaptability positively.</w:t>
            </w:r>
          </w:p>
        </w:tc>
      </w:tr>
      <w:tr w:rsidR="660AF0A8" w14:paraId="6574B522" w14:textId="77777777" w:rsidTr="660AF0A8">
        <w:trPr>
          <w:trHeight w:val="300"/>
        </w:trPr>
        <w:tc>
          <w:tcPr>
            <w:tcW w:w="1566" w:type="dxa"/>
            <w:vAlign w:val="center"/>
          </w:tcPr>
          <w:p w14:paraId="0809334F" w14:textId="1446E90E"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Load-shedding</w:t>
            </w:r>
          </w:p>
        </w:tc>
        <w:tc>
          <w:tcPr>
            <w:tcW w:w="1260" w:type="dxa"/>
            <w:vAlign w:val="center"/>
          </w:tcPr>
          <w:p w14:paraId="5C11C96C" w14:textId="2C24509F"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0.051078</w:t>
            </w:r>
          </w:p>
        </w:tc>
        <w:tc>
          <w:tcPr>
            <w:tcW w:w="6534" w:type="dxa"/>
            <w:vAlign w:val="center"/>
          </w:tcPr>
          <w:p w14:paraId="026DBE85" w14:textId="4834DA61"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Surprisingly, load-shedding is associated with higher adaptability.</w:t>
            </w:r>
          </w:p>
        </w:tc>
      </w:tr>
      <w:tr w:rsidR="660AF0A8" w14:paraId="35B9C667" w14:textId="77777777" w:rsidTr="660AF0A8">
        <w:trPr>
          <w:trHeight w:val="300"/>
        </w:trPr>
        <w:tc>
          <w:tcPr>
            <w:tcW w:w="1566" w:type="dxa"/>
            <w:vAlign w:val="center"/>
          </w:tcPr>
          <w:p w14:paraId="6F726F2A" w14:textId="047556CD"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Financial Condition</w:t>
            </w:r>
          </w:p>
        </w:tc>
        <w:tc>
          <w:tcPr>
            <w:tcW w:w="1260" w:type="dxa"/>
            <w:vAlign w:val="center"/>
          </w:tcPr>
          <w:p w14:paraId="6EAD4B35" w14:textId="399E0BEF"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0.251279</w:t>
            </w:r>
          </w:p>
        </w:tc>
        <w:tc>
          <w:tcPr>
            <w:tcW w:w="6534" w:type="dxa"/>
            <w:vAlign w:val="center"/>
          </w:tcPr>
          <w:p w14:paraId="2CBAE74B" w14:textId="3F02F09A"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Strong positive impact; better financial standing leads to improved adaptability.</w:t>
            </w:r>
          </w:p>
        </w:tc>
      </w:tr>
      <w:tr w:rsidR="660AF0A8" w14:paraId="4C89E938" w14:textId="77777777" w:rsidTr="660AF0A8">
        <w:trPr>
          <w:trHeight w:val="300"/>
        </w:trPr>
        <w:tc>
          <w:tcPr>
            <w:tcW w:w="1566" w:type="dxa"/>
            <w:vAlign w:val="center"/>
          </w:tcPr>
          <w:p w14:paraId="0B250CD8" w14:textId="1C196660"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Internet Type</w:t>
            </w:r>
          </w:p>
        </w:tc>
        <w:tc>
          <w:tcPr>
            <w:tcW w:w="1260" w:type="dxa"/>
            <w:vAlign w:val="center"/>
          </w:tcPr>
          <w:p w14:paraId="6CA2CCCB" w14:textId="7F1D1C52"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-0.006732</w:t>
            </w:r>
          </w:p>
        </w:tc>
        <w:tc>
          <w:tcPr>
            <w:tcW w:w="6534" w:type="dxa"/>
            <w:vAlign w:val="center"/>
          </w:tcPr>
          <w:p w14:paraId="3195B392" w14:textId="7EFB7F87"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Slight negative </w:t>
            </w:r>
            <w:proofErr w:type="gramStart"/>
            <w:r w:rsidRPr="660AF0A8">
              <w:rPr>
                <w:rFonts w:asciiTheme="minorHAnsi" w:eastAsiaTheme="minorEastAsia" w:hAnsiTheme="minorHAnsi" w:cstheme="minorBidi"/>
                <w:sz w:val="24"/>
                <w:szCs w:val="24"/>
              </w:rPr>
              <w:t>impact;</w:t>
            </w:r>
            <w:proofErr w:type="gramEnd"/>
            <w:r w:rsidRPr="660AF0A8">
              <w:rPr>
                <w:rFonts w:asciiTheme="minorHAnsi" w:eastAsiaTheme="minorEastAsia" w:hAnsiTheme="minorHAnsi" w:cstheme="minorBidi"/>
                <w:sz w:val="24"/>
                <w:szCs w:val="24"/>
              </w:rPr>
              <w:t xml:space="preserve"> </w:t>
            </w:r>
            <w:proofErr w:type="gramStart"/>
            <w:r w:rsidRPr="660AF0A8">
              <w:rPr>
                <w:rFonts w:asciiTheme="minorHAnsi" w:eastAsiaTheme="minorEastAsia" w:hAnsiTheme="minorHAnsi" w:cstheme="minorBidi"/>
                <w:sz w:val="24"/>
                <w:szCs w:val="24"/>
              </w:rPr>
              <w:t>type</w:t>
            </w:r>
            <w:proofErr w:type="gramEnd"/>
            <w:r w:rsidRPr="660AF0A8">
              <w:rPr>
                <w:rFonts w:asciiTheme="minorHAnsi" w:eastAsiaTheme="minorEastAsia" w:hAnsiTheme="minorHAnsi" w:cstheme="minorBidi"/>
                <w:sz w:val="24"/>
                <w:szCs w:val="24"/>
              </w:rPr>
              <w:t xml:space="preserve"> of internet connection appears to play a minor role.</w:t>
            </w:r>
          </w:p>
        </w:tc>
      </w:tr>
      <w:tr w:rsidR="660AF0A8" w14:paraId="5A989347" w14:textId="77777777" w:rsidTr="660AF0A8">
        <w:trPr>
          <w:trHeight w:val="300"/>
        </w:trPr>
        <w:tc>
          <w:tcPr>
            <w:tcW w:w="1566" w:type="dxa"/>
            <w:vAlign w:val="center"/>
          </w:tcPr>
          <w:p w14:paraId="3CCB2A1B" w14:textId="7FD4D4BE"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Network Type</w:t>
            </w:r>
          </w:p>
        </w:tc>
        <w:tc>
          <w:tcPr>
            <w:tcW w:w="1260" w:type="dxa"/>
            <w:vAlign w:val="center"/>
          </w:tcPr>
          <w:p w14:paraId="1AC3E773" w14:textId="10A6067F"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0.226208</w:t>
            </w:r>
          </w:p>
        </w:tc>
        <w:tc>
          <w:tcPr>
            <w:tcW w:w="6534" w:type="dxa"/>
            <w:vAlign w:val="center"/>
          </w:tcPr>
          <w:p w14:paraId="2254609F" w14:textId="746C72CE"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Positive </w:t>
            </w:r>
            <w:proofErr w:type="gramStart"/>
            <w:r w:rsidRPr="660AF0A8">
              <w:rPr>
                <w:rFonts w:asciiTheme="minorHAnsi" w:eastAsiaTheme="minorEastAsia" w:hAnsiTheme="minorHAnsi" w:cstheme="minorBidi"/>
                <w:sz w:val="24"/>
                <w:szCs w:val="24"/>
              </w:rPr>
              <w:t>effect;</w:t>
            </w:r>
            <w:proofErr w:type="gramEnd"/>
            <w:r w:rsidRPr="660AF0A8">
              <w:rPr>
                <w:rFonts w:asciiTheme="minorHAnsi" w:eastAsiaTheme="minorEastAsia" w:hAnsiTheme="minorHAnsi" w:cstheme="minorBidi"/>
                <w:sz w:val="24"/>
                <w:szCs w:val="24"/>
              </w:rPr>
              <w:t xml:space="preserve"> network reliability increases adaptability.</w:t>
            </w:r>
          </w:p>
        </w:tc>
      </w:tr>
      <w:tr w:rsidR="660AF0A8" w14:paraId="68AD49FD" w14:textId="77777777" w:rsidTr="660AF0A8">
        <w:trPr>
          <w:trHeight w:val="300"/>
        </w:trPr>
        <w:tc>
          <w:tcPr>
            <w:tcW w:w="1566" w:type="dxa"/>
            <w:vAlign w:val="center"/>
          </w:tcPr>
          <w:p w14:paraId="30809DB1" w14:textId="7BEE8144"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Class Duration</w:t>
            </w:r>
          </w:p>
        </w:tc>
        <w:tc>
          <w:tcPr>
            <w:tcW w:w="1260" w:type="dxa"/>
            <w:vAlign w:val="center"/>
          </w:tcPr>
          <w:p w14:paraId="00A38849" w14:textId="41FDB344"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0.203909</w:t>
            </w:r>
          </w:p>
        </w:tc>
        <w:tc>
          <w:tcPr>
            <w:tcW w:w="6534" w:type="dxa"/>
            <w:vAlign w:val="center"/>
          </w:tcPr>
          <w:p w14:paraId="7E0B3E25" w14:textId="5B4EE35C"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Longer class durations are linked with better adaptability.</w:t>
            </w:r>
          </w:p>
        </w:tc>
      </w:tr>
      <w:tr w:rsidR="660AF0A8" w14:paraId="2BABFC33" w14:textId="77777777" w:rsidTr="660AF0A8">
        <w:trPr>
          <w:trHeight w:val="300"/>
        </w:trPr>
        <w:tc>
          <w:tcPr>
            <w:tcW w:w="1566" w:type="dxa"/>
            <w:vAlign w:val="center"/>
          </w:tcPr>
          <w:p w14:paraId="4D68B963" w14:textId="55FE9A88"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Self </w:t>
            </w:r>
            <w:proofErr w:type="spellStart"/>
            <w:r w:rsidRPr="660AF0A8">
              <w:rPr>
                <w:rFonts w:asciiTheme="minorHAnsi" w:eastAsiaTheme="minorEastAsia" w:hAnsiTheme="minorHAnsi" w:cstheme="minorBidi"/>
                <w:sz w:val="24"/>
                <w:szCs w:val="24"/>
              </w:rPr>
              <w:t>Lms</w:t>
            </w:r>
            <w:proofErr w:type="spellEnd"/>
          </w:p>
        </w:tc>
        <w:tc>
          <w:tcPr>
            <w:tcW w:w="1260" w:type="dxa"/>
            <w:vAlign w:val="center"/>
          </w:tcPr>
          <w:p w14:paraId="6658B18D" w14:textId="3A9F6644"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0.306663</w:t>
            </w:r>
          </w:p>
        </w:tc>
        <w:tc>
          <w:tcPr>
            <w:tcW w:w="6534" w:type="dxa"/>
            <w:vAlign w:val="center"/>
          </w:tcPr>
          <w:p w14:paraId="44FB8B3E" w14:textId="098E9D6B"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Strong positive </w:t>
            </w:r>
            <w:proofErr w:type="gramStart"/>
            <w:r w:rsidRPr="660AF0A8">
              <w:rPr>
                <w:rFonts w:asciiTheme="minorHAnsi" w:eastAsiaTheme="minorEastAsia" w:hAnsiTheme="minorHAnsi" w:cstheme="minorBidi"/>
                <w:sz w:val="24"/>
                <w:szCs w:val="24"/>
              </w:rPr>
              <w:t>impact;</w:t>
            </w:r>
            <w:proofErr w:type="gramEnd"/>
            <w:r w:rsidRPr="660AF0A8">
              <w:rPr>
                <w:rFonts w:asciiTheme="minorHAnsi" w:eastAsiaTheme="minorEastAsia" w:hAnsiTheme="minorHAnsi" w:cstheme="minorBidi"/>
                <w:sz w:val="24"/>
                <w:szCs w:val="24"/>
              </w:rPr>
              <w:t xml:space="preserve"> self-directed learning platforms significantly boost adaptability.</w:t>
            </w:r>
          </w:p>
        </w:tc>
      </w:tr>
      <w:tr w:rsidR="660AF0A8" w14:paraId="55EDFD2E" w14:textId="77777777" w:rsidTr="660AF0A8">
        <w:trPr>
          <w:trHeight w:val="300"/>
        </w:trPr>
        <w:tc>
          <w:tcPr>
            <w:tcW w:w="1566" w:type="dxa"/>
            <w:vAlign w:val="center"/>
          </w:tcPr>
          <w:p w14:paraId="29681F05" w14:textId="65796C7B"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Device</w:t>
            </w:r>
          </w:p>
        </w:tc>
        <w:tc>
          <w:tcPr>
            <w:tcW w:w="1260" w:type="dxa"/>
            <w:vAlign w:val="center"/>
          </w:tcPr>
          <w:p w14:paraId="446CBEBC" w14:textId="3CFA01D0"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-0.094215</w:t>
            </w:r>
          </w:p>
        </w:tc>
        <w:tc>
          <w:tcPr>
            <w:tcW w:w="6534" w:type="dxa"/>
            <w:vAlign w:val="center"/>
          </w:tcPr>
          <w:p w14:paraId="64398A12" w14:textId="227A7855"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Negative </w:t>
            </w:r>
            <w:proofErr w:type="gramStart"/>
            <w:r w:rsidRPr="660AF0A8">
              <w:rPr>
                <w:rFonts w:asciiTheme="minorHAnsi" w:eastAsiaTheme="minorEastAsia" w:hAnsiTheme="minorHAnsi" w:cstheme="minorBidi"/>
                <w:sz w:val="24"/>
                <w:szCs w:val="24"/>
              </w:rPr>
              <w:t>impact;</w:t>
            </w:r>
            <w:proofErr w:type="gramEnd"/>
            <w:r w:rsidRPr="660AF0A8">
              <w:rPr>
                <w:rFonts w:asciiTheme="minorHAnsi" w:eastAsiaTheme="minorEastAsia" w:hAnsiTheme="minorHAnsi" w:cstheme="minorBidi"/>
                <w:sz w:val="24"/>
                <w:szCs w:val="24"/>
              </w:rPr>
              <w:t xml:space="preserve"> certain device types are associated with lower adaptability.</w:t>
            </w:r>
          </w:p>
        </w:tc>
      </w:tr>
      <w:tr w:rsidR="660AF0A8" w14:paraId="58F23D4D" w14:textId="77777777" w:rsidTr="660AF0A8">
        <w:trPr>
          <w:trHeight w:val="300"/>
        </w:trPr>
        <w:tc>
          <w:tcPr>
            <w:tcW w:w="1566" w:type="dxa"/>
            <w:vAlign w:val="center"/>
          </w:tcPr>
          <w:p w14:paraId="684B26D8" w14:textId="472C9DF3"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Age</w:t>
            </w:r>
          </w:p>
        </w:tc>
        <w:tc>
          <w:tcPr>
            <w:tcW w:w="1260" w:type="dxa"/>
            <w:vAlign w:val="center"/>
          </w:tcPr>
          <w:p w14:paraId="1B685584" w14:textId="3247D8B7"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0.055451</w:t>
            </w:r>
          </w:p>
        </w:tc>
        <w:tc>
          <w:tcPr>
            <w:tcW w:w="6534" w:type="dxa"/>
            <w:vAlign w:val="center"/>
          </w:tcPr>
          <w:p w14:paraId="70BA5144" w14:textId="68A073BF" w:rsidR="660AF0A8" w:rsidRDefault="660AF0A8" w:rsidP="660AF0A8">
            <w:pPr>
              <w:spacing w:after="0"/>
              <w:rPr>
                <w:rFonts w:asciiTheme="minorHAnsi" w:eastAsiaTheme="minorEastAsia" w:hAnsiTheme="minorHAnsi" w:cstheme="minorBidi"/>
                <w:sz w:val="24"/>
                <w:szCs w:val="24"/>
              </w:rPr>
            </w:pPr>
            <w:r w:rsidRPr="660AF0A8">
              <w:rPr>
                <w:rFonts w:asciiTheme="minorHAnsi" w:eastAsiaTheme="minorEastAsia" w:hAnsiTheme="minorHAnsi" w:cstheme="minorBidi"/>
                <w:sz w:val="24"/>
                <w:szCs w:val="24"/>
              </w:rPr>
              <w:t xml:space="preserve">Slight positive </w:t>
            </w:r>
            <w:proofErr w:type="gramStart"/>
            <w:r w:rsidRPr="660AF0A8">
              <w:rPr>
                <w:rFonts w:asciiTheme="minorHAnsi" w:eastAsiaTheme="minorEastAsia" w:hAnsiTheme="minorHAnsi" w:cstheme="minorBidi"/>
                <w:sz w:val="24"/>
                <w:szCs w:val="24"/>
              </w:rPr>
              <w:t>impact;</w:t>
            </w:r>
            <w:proofErr w:type="gramEnd"/>
            <w:r w:rsidRPr="660AF0A8">
              <w:rPr>
                <w:rFonts w:asciiTheme="minorHAnsi" w:eastAsiaTheme="minorEastAsia" w:hAnsiTheme="minorHAnsi" w:cstheme="minorBidi"/>
                <w:sz w:val="24"/>
                <w:szCs w:val="24"/>
              </w:rPr>
              <w:t xml:space="preserve"> older students tend to adapt slightly better.</w:t>
            </w:r>
          </w:p>
        </w:tc>
      </w:tr>
    </w:tbl>
    <w:p w14:paraId="1487B791" w14:textId="35A9B600" w:rsidR="00D92D9A" w:rsidRDefault="5470E088" w:rsidP="660AF0A8">
      <w:pPr>
        <w:pStyle w:val="Heading3"/>
        <w:spacing w:before="281" w:after="281"/>
      </w:pPr>
      <w:r w:rsidRPr="660AF0A8">
        <w:rPr>
          <w:b/>
          <w:bCs/>
          <w:sz w:val="28"/>
          <w:szCs w:val="28"/>
        </w:rPr>
        <w:t>Appendix C: Ethical Considerations</w:t>
      </w:r>
    </w:p>
    <w:p w14:paraId="4BAEC0FC" w14:textId="76C5EC7C" w:rsidR="00D92D9A" w:rsidRDefault="5470E088" w:rsidP="660AF0A8">
      <w:pPr>
        <w:pStyle w:val="ListParagraph"/>
        <w:numPr>
          <w:ilvl w:val="0"/>
          <w:numId w:val="1"/>
        </w:numPr>
        <w:spacing w:before="240" w:after="240"/>
        <w:jc w:val="left"/>
        <w:rPr>
          <w:rFonts w:asciiTheme="minorHAnsi" w:eastAsiaTheme="minorEastAsia" w:hAnsiTheme="minorHAnsi" w:cstheme="minorBidi"/>
          <w:sz w:val="24"/>
          <w:szCs w:val="24"/>
        </w:rPr>
      </w:pPr>
      <w:r w:rsidRPr="660AF0A8">
        <w:rPr>
          <w:rFonts w:asciiTheme="minorHAnsi" w:eastAsiaTheme="minorEastAsia" w:hAnsiTheme="minorHAnsi" w:cstheme="minorBidi"/>
          <w:b/>
          <w:bCs/>
          <w:sz w:val="24"/>
          <w:szCs w:val="24"/>
        </w:rPr>
        <w:t>Privacy and Confidentiality</w:t>
      </w:r>
      <w:r w:rsidRPr="660AF0A8">
        <w:rPr>
          <w:rFonts w:asciiTheme="minorHAnsi" w:eastAsiaTheme="minorEastAsia" w:hAnsiTheme="minorHAnsi" w:cstheme="minorBidi"/>
          <w:sz w:val="24"/>
          <w:szCs w:val="24"/>
        </w:rPr>
        <w:t>: All data collected in the survey was anonymized and stored securely to ensure confidentiality. Participants were made aware that their responses would be used only for academic analysis.</w:t>
      </w:r>
    </w:p>
    <w:p w14:paraId="0E67AF22" w14:textId="706C3709" w:rsidR="00D92D9A" w:rsidRDefault="5470E088" w:rsidP="660AF0A8">
      <w:pPr>
        <w:pStyle w:val="ListParagraph"/>
        <w:numPr>
          <w:ilvl w:val="0"/>
          <w:numId w:val="1"/>
        </w:numPr>
        <w:spacing w:before="240" w:after="240"/>
        <w:jc w:val="left"/>
        <w:rPr>
          <w:rFonts w:asciiTheme="minorHAnsi" w:eastAsiaTheme="minorEastAsia" w:hAnsiTheme="minorHAnsi" w:cstheme="minorBidi"/>
          <w:sz w:val="24"/>
          <w:szCs w:val="24"/>
        </w:rPr>
      </w:pPr>
      <w:r w:rsidRPr="660AF0A8">
        <w:rPr>
          <w:rFonts w:asciiTheme="minorHAnsi" w:eastAsiaTheme="minorEastAsia" w:hAnsiTheme="minorHAnsi" w:cstheme="minorBidi"/>
          <w:b/>
          <w:bCs/>
          <w:sz w:val="24"/>
          <w:szCs w:val="24"/>
        </w:rPr>
        <w:t>Informed Consent</w:t>
      </w:r>
      <w:r w:rsidRPr="660AF0A8">
        <w:rPr>
          <w:rFonts w:asciiTheme="minorHAnsi" w:eastAsiaTheme="minorEastAsia" w:hAnsiTheme="minorHAnsi" w:cstheme="minorBidi"/>
          <w:sz w:val="24"/>
          <w:szCs w:val="24"/>
        </w:rPr>
        <w:t>: Prior to participation, all respondents gave informed consent and were fully aware of the scope and purpose of the research.</w:t>
      </w:r>
    </w:p>
    <w:p w14:paraId="0000002F" w14:textId="1233958C" w:rsidR="00D92D9A" w:rsidRDefault="5470E088" w:rsidP="660AF0A8">
      <w:pPr>
        <w:pStyle w:val="ListParagraph"/>
        <w:numPr>
          <w:ilvl w:val="0"/>
          <w:numId w:val="1"/>
        </w:numPr>
        <w:spacing w:before="240" w:after="240"/>
        <w:jc w:val="left"/>
        <w:rPr>
          <w:rFonts w:asciiTheme="minorHAnsi" w:eastAsiaTheme="minorEastAsia" w:hAnsiTheme="minorHAnsi" w:cstheme="minorBidi"/>
          <w:sz w:val="24"/>
          <w:szCs w:val="24"/>
        </w:rPr>
      </w:pPr>
      <w:r w:rsidRPr="660AF0A8">
        <w:rPr>
          <w:rFonts w:asciiTheme="minorHAnsi" w:eastAsiaTheme="minorEastAsia" w:hAnsiTheme="minorHAnsi" w:cstheme="minorBidi"/>
          <w:b/>
          <w:bCs/>
          <w:sz w:val="24"/>
          <w:szCs w:val="24"/>
        </w:rPr>
        <w:t>Equity in Resources</w:t>
      </w:r>
      <w:r w:rsidRPr="660AF0A8">
        <w:rPr>
          <w:rFonts w:asciiTheme="minorHAnsi" w:eastAsiaTheme="minorEastAsia" w:hAnsiTheme="minorHAnsi" w:cstheme="minorBidi"/>
          <w:sz w:val="24"/>
          <w:szCs w:val="24"/>
        </w:rPr>
        <w:t>: The study emphasizes the importance of ensuring that students have equitable access to resources, particularly in terms of technology and financial support, to improve adaptability to online education.</w:t>
      </w:r>
    </w:p>
    <w:sectPr w:rsidR="00D92D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1waTBz2E" int2:invalidationBookmarkName="" int2:hashCode="oju3fPCXtC78mk" int2:id="ivr3f9h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6C0EB"/>
    <w:multiLevelType w:val="hybridMultilevel"/>
    <w:tmpl w:val="E7B818B0"/>
    <w:lvl w:ilvl="0" w:tplc="5B2C3218">
      <w:start w:val="1"/>
      <w:numFmt w:val="bullet"/>
      <w:lvlText w:val=""/>
      <w:lvlJc w:val="left"/>
      <w:pPr>
        <w:ind w:left="720" w:hanging="360"/>
      </w:pPr>
      <w:rPr>
        <w:rFonts w:ascii="Symbol" w:hAnsi="Symbol" w:hint="default"/>
      </w:rPr>
    </w:lvl>
    <w:lvl w:ilvl="1" w:tplc="1006F89C">
      <w:start w:val="1"/>
      <w:numFmt w:val="bullet"/>
      <w:lvlText w:val="o"/>
      <w:lvlJc w:val="left"/>
      <w:pPr>
        <w:ind w:left="1440" w:hanging="360"/>
      </w:pPr>
      <w:rPr>
        <w:rFonts w:ascii="Courier New" w:hAnsi="Courier New" w:hint="default"/>
      </w:rPr>
    </w:lvl>
    <w:lvl w:ilvl="2" w:tplc="3EF2563E">
      <w:start w:val="1"/>
      <w:numFmt w:val="bullet"/>
      <w:lvlText w:val=""/>
      <w:lvlJc w:val="left"/>
      <w:pPr>
        <w:ind w:left="2160" w:hanging="360"/>
      </w:pPr>
      <w:rPr>
        <w:rFonts w:ascii="Wingdings" w:hAnsi="Wingdings" w:hint="default"/>
      </w:rPr>
    </w:lvl>
    <w:lvl w:ilvl="3" w:tplc="F0EE90BE">
      <w:start w:val="1"/>
      <w:numFmt w:val="bullet"/>
      <w:lvlText w:val=""/>
      <w:lvlJc w:val="left"/>
      <w:pPr>
        <w:ind w:left="2880" w:hanging="360"/>
      </w:pPr>
      <w:rPr>
        <w:rFonts w:ascii="Symbol" w:hAnsi="Symbol" w:hint="default"/>
      </w:rPr>
    </w:lvl>
    <w:lvl w:ilvl="4" w:tplc="329031DA">
      <w:start w:val="1"/>
      <w:numFmt w:val="bullet"/>
      <w:lvlText w:val="o"/>
      <w:lvlJc w:val="left"/>
      <w:pPr>
        <w:ind w:left="3600" w:hanging="360"/>
      </w:pPr>
      <w:rPr>
        <w:rFonts w:ascii="Courier New" w:hAnsi="Courier New" w:hint="default"/>
      </w:rPr>
    </w:lvl>
    <w:lvl w:ilvl="5" w:tplc="D6C4BAE2">
      <w:start w:val="1"/>
      <w:numFmt w:val="bullet"/>
      <w:lvlText w:val=""/>
      <w:lvlJc w:val="left"/>
      <w:pPr>
        <w:ind w:left="4320" w:hanging="360"/>
      </w:pPr>
      <w:rPr>
        <w:rFonts w:ascii="Wingdings" w:hAnsi="Wingdings" w:hint="default"/>
      </w:rPr>
    </w:lvl>
    <w:lvl w:ilvl="6" w:tplc="2306E170">
      <w:start w:val="1"/>
      <w:numFmt w:val="bullet"/>
      <w:lvlText w:val=""/>
      <w:lvlJc w:val="left"/>
      <w:pPr>
        <w:ind w:left="5040" w:hanging="360"/>
      </w:pPr>
      <w:rPr>
        <w:rFonts w:ascii="Symbol" w:hAnsi="Symbol" w:hint="default"/>
      </w:rPr>
    </w:lvl>
    <w:lvl w:ilvl="7" w:tplc="3404DC30">
      <w:start w:val="1"/>
      <w:numFmt w:val="bullet"/>
      <w:lvlText w:val="o"/>
      <w:lvlJc w:val="left"/>
      <w:pPr>
        <w:ind w:left="5760" w:hanging="360"/>
      </w:pPr>
      <w:rPr>
        <w:rFonts w:ascii="Courier New" w:hAnsi="Courier New" w:hint="default"/>
      </w:rPr>
    </w:lvl>
    <w:lvl w:ilvl="8" w:tplc="CED205E0">
      <w:start w:val="1"/>
      <w:numFmt w:val="bullet"/>
      <w:lvlText w:val=""/>
      <w:lvlJc w:val="left"/>
      <w:pPr>
        <w:ind w:left="6480" w:hanging="360"/>
      </w:pPr>
      <w:rPr>
        <w:rFonts w:ascii="Wingdings" w:hAnsi="Wingdings" w:hint="default"/>
      </w:rPr>
    </w:lvl>
  </w:abstractNum>
  <w:abstractNum w:abstractNumId="1" w15:restartNumberingAfterBreak="0">
    <w:nsid w:val="20BC3FDF"/>
    <w:multiLevelType w:val="hybridMultilevel"/>
    <w:tmpl w:val="C2360D78"/>
    <w:lvl w:ilvl="0" w:tplc="05DC20D2">
      <w:start w:val="1"/>
      <w:numFmt w:val="decimal"/>
      <w:lvlText w:val="%1."/>
      <w:lvlJc w:val="left"/>
      <w:pPr>
        <w:ind w:left="720" w:hanging="360"/>
      </w:pPr>
    </w:lvl>
    <w:lvl w:ilvl="1" w:tplc="8D0CA898">
      <w:start w:val="1"/>
      <w:numFmt w:val="lowerLetter"/>
      <w:lvlText w:val="%2."/>
      <w:lvlJc w:val="left"/>
      <w:pPr>
        <w:ind w:left="1440" w:hanging="360"/>
      </w:pPr>
    </w:lvl>
    <w:lvl w:ilvl="2" w:tplc="4006B1B6">
      <w:start w:val="1"/>
      <w:numFmt w:val="lowerRoman"/>
      <w:lvlText w:val="%3."/>
      <w:lvlJc w:val="right"/>
      <w:pPr>
        <w:ind w:left="2160" w:hanging="180"/>
      </w:pPr>
    </w:lvl>
    <w:lvl w:ilvl="3" w:tplc="377A9618">
      <w:start w:val="1"/>
      <w:numFmt w:val="decimal"/>
      <w:lvlText w:val="%4."/>
      <w:lvlJc w:val="left"/>
      <w:pPr>
        <w:ind w:left="2880" w:hanging="360"/>
      </w:pPr>
    </w:lvl>
    <w:lvl w:ilvl="4" w:tplc="7C74E866">
      <w:start w:val="1"/>
      <w:numFmt w:val="lowerLetter"/>
      <w:lvlText w:val="%5."/>
      <w:lvlJc w:val="left"/>
      <w:pPr>
        <w:ind w:left="3600" w:hanging="360"/>
      </w:pPr>
    </w:lvl>
    <w:lvl w:ilvl="5" w:tplc="1890B7FC">
      <w:start w:val="1"/>
      <w:numFmt w:val="lowerRoman"/>
      <w:lvlText w:val="%6."/>
      <w:lvlJc w:val="right"/>
      <w:pPr>
        <w:ind w:left="4320" w:hanging="180"/>
      </w:pPr>
    </w:lvl>
    <w:lvl w:ilvl="6" w:tplc="F4260640">
      <w:start w:val="1"/>
      <w:numFmt w:val="decimal"/>
      <w:lvlText w:val="%7."/>
      <w:lvlJc w:val="left"/>
      <w:pPr>
        <w:ind w:left="5040" w:hanging="360"/>
      </w:pPr>
    </w:lvl>
    <w:lvl w:ilvl="7" w:tplc="0DEC8EB6">
      <w:start w:val="1"/>
      <w:numFmt w:val="lowerLetter"/>
      <w:lvlText w:val="%8."/>
      <w:lvlJc w:val="left"/>
      <w:pPr>
        <w:ind w:left="5760" w:hanging="360"/>
      </w:pPr>
    </w:lvl>
    <w:lvl w:ilvl="8" w:tplc="47283C90">
      <w:start w:val="1"/>
      <w:numFmt w:val="lowerRoman"/>
      <w:lvlText w:val="%9."/>
      <w:lvlJc w:val="right"/>
      <w:pPr>
        <w:ind w:left="6480" w:hanging="180"/>
      </w:pPr>
    </w:lvl>
  </w:abstractNum>
  <w:abstractNum w:abstractNumId="2" w15:restartNumberingAfterBreak="0">
    <w:nsid w:val="28938BC3"/>
    <w:multiLevelType w:val="hybridMultilevel"/>
    <w:tmpl w:val="FFFFFFFF"/>
    <w:lvl w:ilvl="0" w:tplc="5A526FE8">
      <w:start w:val="1"/>
      <w:numFmt w:val="bullet"/>
      <w:lvlText w:val=""/>
      <w:lvlJc w:val="left"/>
      <w:pPr>
        <w:ind w:left="720" w:hanging="360"/>
      </w:pPr>
      <w:rPr>
        <w:rFonts w:ascii="Symbol" w:hAnsi="Symbol" w:hint="default"/>
      </w:rPr>
    </w:lvl>
    <w:lvl w:ilvl="1" w:tplc="A42CBEE0">
      <w:start w:val="1"/>
      <w:numFmt w:val="bullet"/>
      <w:lvlText w:val="o"/>
      <w:lvlJc w:val="left"/>
      <w:pPr>
        <w:ind w:left="1440" w:hanging="360"/>
      </w:pPr>
      <w:rPr>
        <w:rFonts w:ascii="Courier New" w:hAnsi="Courier New" w:hint="default"/>
      </w:rPr>
    </w:lvl>
    <w:lvl w:ilvl="2" w:tplc="45CE4D08">
      <w:start w:val="1"/>
      <w:numFmt w:val="bullet"/>
      <w:lvlText w:val=""/>
      <w:lvlJc w:val="left"/>
      <w:pPr>
        <w:ind w:left="2160" w:hanging="360"/>
      </w:pPr>
      <w:rPr>
        <w:rFonts w:ascii="Wingdings" w:hAnsi="Wingdings" w:hint="default"/>
      </w:rPr>
    </w:lvl>
    <w:lvl w:ilvl="3" w:tplc="A190AB56">
      <w:start w:val="1"/>
      <w:numFmt w:val="bullet"/>
      <w:lvlText w:val=""/>
      <w:lvlJc w:val="left"/>
      <w:pPr>
        <w:ind w:left="2880" w:hanging="360"/>
      </w:pPr>
      <w:rPr>
        <w:rFonts w:ascii="Symbol" w:hAnsi="Symbol" w:hint="default"/>
      </w:rPr>
    </w:lvl>
    <w:lvl w:ilvl="4" w:tplc="86724FE0">
      <w:start w:val="1"/>
      <w:numFmt w:val="bullet"/>
      <w:lvlText w:val="o"/>
      <w:lvlJc w:val="left"/>
      <w:pPr>
        <w:ind w:left="3600" w:hanging="360"/>
      </w:pPr>
      <w:rPr>
        <w:rFonts w:ascii="Courier New" w:hAnsi="Courier New" w:hint="default"/>
      </w:rPr>
    </w:lvl>
    <w:lvl w:ilvl="5" w:tplc="DBE477A6">
      <w:start w:val="1"/>
      <w:numFmt w:val="bullet"/>
      <w:lvlText w:val=""/>
      <w:lvlJc w:val="left"/>
      <w:pPr>
        <w:ind w:left="4320" w:hanging="360"/>
      </w:pPr>
      <w:rPr>
        <w:rFonts w:ascii="Wingdings" w:hAnsi="Wingdings" w:hint="default"/>
      </w:rPr>
    </w:lvl>
    <w:lvl w:ilvl="6" w:tplc="B13CB7E2">
      <w:start w:val="1"/>
      <w:numFmt w:val="bullet"/>
      <w:lvlText w:val=""/>
      <w:lvlJc w:val="left"/>
      <w:pPr>
        <w:ind w:left="5040" w:hanging="360"/>
      </w:pPr>
      <w:rPr>
        <w:rFonts w:ascii="Symbol" w:hAnsi="Symbol" w:hint="default"/>
      </w:rPr>
    </w:lvl>
    <w:lvl w:ilvl="7" w:tplc="E1146C6A">
      <w:start w:val="1"/>
      <w:numFmt w:val="bullet"/>
      <w:lvlText w:val="o"/>
      <w:lvlJc w:val="left"/>
      <w:pPr>
        <w:ind w:left="5760" w:hanging="360"/>
      </w:pPr>
      <w:rPr>
        <w:rFonts w:ascii="Courier New" w:hAnsi="Courier New" w:hint="default"/>
      </w:rPr>
    </w:lvl>
    <w:lvl w:ilvl="8" w:tplc="9C72275A">
      <w:start w:val="1"/>
      <w:numFmt w:val="bullet"/>
      <w:lvlText w:val=""/>
      <w:lvlJc w:val="left"/>
      <w:pPr>
        <w:ind w:left="6480" w:hanging="360"/>
      </w:pPr>
      <w:rPr>
        <w:rFonts w:ascii="Wingdings" w:hAnsi="Wingdings" w:hint="default"/>
      </w:rPr>
    </w:lvl>
  </w:abstractNum>
  <w:abstractNum w:abstractNumId="3" w15:restartNumberingAfterBreak="0">
    <w:nsid w:val="3703FE8F"/>
    <w:multiLevelType w:val="hybridMultilevel"/>
    <w:tmpl w:val="FFFFFFFF"/>
    <w:lvl w:ilvl="0" w:tplc="1ACC8EC8">
      <w:start w:val="1"/>
      <w:numFmt w:val="bullet"/>
      <w:lvlText w:val=""/>
      <w:lvlJc w:val="left"/>
      <w:pPr>
        <w:ind w:left="720" w:hanging="360"/>
      </w:pPr>
      <w:rPr>
        <w:rFonts w:ascii="Symbol" w:hAnsi="Symbol" w:hint="default"/>
      </w:rPr>
    </w:lvl>
    <w:lvl w:ilvl="1" w:tplc="2384080E">
      <w:start w:val="1"/>
      <w:numFmt w:val="bullet"/>
      <w:lvlText w:val="o"/>
      <w:lvlJc w:val="left"/>
      <w:pPr>
        <w:ind w:left="1440" w:hanging="360"/>
      </w:pPr>
      <w:rPr>
        <w:rFonts w:ascii="Courier New" w:hAnsi="Courier New" w:hint="default"/>
      </w:rPr>
    </w:lvl>
    <w:lvl w:ilvl="2" w:tplc="4C2C8A0A">
      <w:start w:val="1"/>
      <w:numFmt w:val="bullet"/>
      <w:lvlText w:val=""/>
      <w:lvlJc w:val="left"/>
      <w:pPr>
        <w:ind w:left="2160" w:hanging="360"/>
      </w:pPr>
      <w:rPr>
        <w:rFonts w:ascii="Wingdings" w:hAnsi="Wingdings" w:hint="default"/>
      </w:rPr>
    </w:lvl>
    <w:lvl w:ilvl="3" w:tplc="10EEFDAE">
      <w:start w:val="1"/>
      <w:numFmt w:val="bullet"/>
      <w:lvlText w:val=""/>
      <w:lvlJc w:val="left"/>
      <w:pPr>
        <w:ind w:left="2880" w:hanging="360"/>
      </w:pPr>
      <w:rPr>
        <w:rFonts w:ascii="Symbol" w:hAnsi="Symbol" w:hint="default"/>
      </w:rPr>
    </w:lvl>
    <w:lvl w:ilvl="4" w:tplc="A4B6827E">
      <w:start w:val="1"/>
      <w:numFmt w:val="bullet"/>
      <w:lvlText w:val="o"/>
      <w:lvlJc w:val="left"/>
      <w:pPr>
        <w:ind w:left="3600" w:hanging="360"/>
      </w:pPr>
      <w:rPr>
        <w:rFonts w:ascii="Courier New" w:hAnsi="Courier New" w:hint="default"/>
      </w:rPr>
    </w:lvl>
    <w:lvl w:ilvl="5" w:tplc="851AABFC">
      <w:start w:val="1"/>
      <w:numFmt w:val="bullet"/>
      <w:lvlText w:val=""/>
      <w:lvlJc w:val="left"/>
      <w:pPr>
        <w:ind w:left="4320" w:hanging="360"/>
      </w:pPr>
      <w:rPr>
        <w:rFonts w:ascii="Wingdings" w:hAnsi="Wingdings" w:hint="default"/>
      </w:rPr>
    </w:lvl>
    <w:lvl w:ilvl="6" w:tplc="6240BDAA">
      <w:start w:val="1"/>
      <w:numFmt w:val="bullet"/>
      <w:lvlText w:val=""/>
      <w:lvlJc w:val="left"/>
      <w:pPr>
        <w:ind w:left="5040" w:hanging="360"/>
      </w:pPr>
      <w:rPr>
        <w:rFonts w:ascii="Symbol" w:hAnsi="Symbol" w:hint="default"/>
      </w:rPr>
    </w:lvl>
    <w:lvl w:ilvl="7" w:tplc="A14C71C6">
      <w:start w:val="1"/>
      <w:numFmt w:val="bullet"/>
      <w:lvlText w:val="o"/>
      <w:lvlJc w:val="left"/>
      <w:pPr>
        <w:ind w:left="5760" w:hanging="360"/>
      </w:pPr>
      <w:rPr>
        <w:rFonts w:ascii="Courier New" w:hAnsi="Courier New" w:hint="default"/>
      </w:rPr>
    </w:lvl>
    <w:lvl w:ilvl="8" w:tplc="29645886">
      <w:start w:val="1"/>
      <w:numFmt w:val="bullet"/>
      <w:lvlText w:val=""/>
      <w:lvlJc w:val="left"/>
      <w:pPr>
        <w:ind w:left="6480" w:hanging="360"/>
      </w:pPr>
      <w:rPr>
        <w:rFonts w:ascii="Wingdings" w:hAnsi="Wingdings" w:hint="default"/>
      </w:rPr>
    </w:lvl>
  </w:abstractNum>
  <w:abstractNum w:abstractNumId="4" w15:restartNumberingAfterBreak="0">
    <w:nsid w:val="43FD725C"/>
    <w:multiLevelType w:val="hybridMultilevel"/>
    <w:tmpl w:val="FFFFFFFF"/>
    <w:lvl w:ilvl="0" w:tplc="FD08B4E8">
      <w:start w:val="1"/>
      <w:numFmt w:val="bullet"/>
      <w:lvlText w:val=""/>
      <w:lvlJc w:val="left"/>
      <w:pPr>
        <w:ind w:left="720" w:hanging="360"/>
      </w:pPr>
      <w:rPr>
        <w:rFonts w:ascii="Symbol" w:hAnsi="Symbol" w:hint="default"/>
      </w:rPr>
    </w:lvl>
    <w:lvl w:ilvl="1" w:tplc="ADD8DCDE">
      <w:start w:val="1"/>
      <w:numFmt w:val="bullet"/>
      <w:lvlText w:val="o"/>
      <w:lvlJc w:val="left"/>
      <w:pPr>
        <w:ind w:left="1440" w:hanging="360"/>
      </w:pPr>
      <w:rPr>
        <w:rFonts w:ascii="Courier New" w:hAnsi="Courier New" w:hint="default"/>
      </w:rPr>
    </w:lvl>
    <w:lvl w:ilvl="2" w:tplc="DAA4768A">
      <w:start w:val="1"/>
      <w:numFmt w:val="bullet"/>
      <w:lvlText w:val=""/>
      <w:lvlJc w:val="left"/>
      <w:pPr>
        <w:ind w:left="2160" w:hanging="360"/>
      </w:pPr>
      <w:rPr>
        <w:rFonts w:ascii="Wingdings" w:hAnsi="Wingdings" w:hint="default"/>
      </w:rPr>
    </w:lvl>
    <w:lvl w:ilvl="3" w:tplc="F6C44DC0">
      <w:start w:val="1"/>
      <w:numFmt w:val="bullet"/>
      <w:lvlText w:val=""/>
      <w:lvlJc w:val="left"/>
      <w:pPr>
        <w:ind w:left="2880" w:hanging="360"/>
      </w:pPr>
      <w:rPr>
        <w:rFonts w:ascii="Symbol" w:hAnsi="Symbol" w:hint="default"/>
      </w:rPr>
    </w:lvl>
    <w:lvl w:ilvl="4" w:tplc="53A66458">
      <w:start w:val="1"/>
      <w:numFmt w:val="bullet"/>
      <w:lvlText w:val="o"/>
      <w:lvlJc w:val="left"/>
      <w:pPr>
        <w:ind w:left="3600" w:hanging="360"/>
      </w:pPr>
      <w:rPr>
        <w:rFonts w:ascii="Courier New" w:hAnsi="Courier New" w:hint="default"/>
      </w:rPr>
    </w:lvl>
    <w:lvl w:ilvl="5" w:tplc="E12CD79C">
      <w:start w:val="1"/>
      <w:numFmt w:val="bullet"/>
      <w:lvlText w:val=""/>
      <w:lvlJc w:val="left"/>
      <w:pPr>
        <w:ind w:left="4320" w:hanging="360"/>
      </w:pPr>
      <w:rPr>
        <w:rFonts w:ascii="Wingdings" w:hAnsi="Wingdings" w:hint="default"/>
      </w:rPr>
    </w:lvl>
    <w:lvl w:ilvl="6" w:tplc="012AE452">
      <w:start w:val="1"/>
      <w:numFmt w:val="bullet"/>
      <w:lvlText w:val=""/>
      <w:lvlJc w:val="left"/>
      <w:pPr>
        <w:ind w:left="5040" w:hanging="360"/>
      </w:pPr>
      <w:rPr>
        <w:rFonts w:ascii="Symbol" w:hAnsi="Symbol" w:hint="default"/>
      </w:rPr>
    </w:lvl>
    <w:lvl w:ilvl="7" w:tplc="C068EACC">
      <w:start w:val="1"/>
      <w:numFmt w:val="bullet"/>
      <w:lvlText w:val="o"/>
      <w:lvlJc w:val="left"/>
      <w:pPr>
        <w:ind w:left="5760" w:hanging="360"/>
      </w:pPr>
      <w:rPr>
        <w:rFonts w:ascii="Courier New" w:hAnsi="Courier New" w:hint="default"/>
      </w:rPr>
    </w:lvl>
    <w:lvl w:ilvl="8" w:tplc="1C84351E">
      <w:start w:val="1"/>
      <w:numFmt w:val="bullet"/>
      <w:lvlText w:val=""/>
      <w:lvlJc w:val="left"/>
      <w:pPr>
        <w:ind w:left="6480" w:hanging="360"/>
      </w:pPr>
      <w:rPr>
        <w:rFonts w:ascii="Wingdings" w:hAnsi="Wingdings" w:hint="default"/>
      </w:rPr>
    </w:lvl>
  </w:abstractNum>
  <w:abstractNum w:abstractNumId="5" w15:restartNumberingAfterBreak="0">
    <w:nsid w:val="4C965E5E"/>
    <w:multiLevelType w:val="hybridMultilevel"/>
    <w:tmpl w:val="E516050C"/>
    <w:lvl w:ilvl="0" w:tplc="E2E64A16">
      <w:start w:val="1"/>
      <w:numFmt w:val="bullet"/>
      <w:lvlText w:val=""/>
      <w:lvlJc w:val="left"/>
      <w:pPr>
        <w:ind w:left="720" w:hanging="360"/>
      </w:pPr>
      <w:rPr>
        <w:rFonts w:ascii="Symbol" w:hAnsi="Symbol" w:hint="default"/>
      </w:rPr>
    </w:lvl>
    <w:lvl w:ilvl="1" w:tplc="B966FA84">
      <w:start w:val="1"/>
      <w:numFmt w:val="bullet"/>
      <w:lvlText w:val="o"/>
      <w:lvlJc w:val="left"/>
      <w:pPr>
        <w:ind w:left="1440" w:hanging="360"/>
      </w:pPr>
      <w:rPr>
        <w:rFonts w:ascii="Courier New" w:hAnsi="Courier New" w:hint="default"/>
      </w:rPr>
    </w:lvl>
    <w:lvl w:ilvl="2" w:tplc="274CD4EE">
      <w:start w:val="1"/>
      <w:numFmt w:val="bullet"/>
      <w:lvlText w:val=""/>
      <w:lvlJc w:val="left"/>
      <w:pPr>
        <w:ind w:left="2160" w:hanging="360"/>
      </w:pPr>
      <w:rPr>
        <w:rFonts w:ascii="Wingdings" w:hAnsi="Wingdings" w:hint="default"/>
      </w:rPr>
    </w:lvl>
    <w:lvl w:ilvl="3" w:tplc="35C42C36">
      <w:start w:val="1"/>
      <w:numFmt w:val="bullet"/>
      <w:lvlText w:val=""/>
      <w:lvlJc w:val="left"/>
      <w:pPr>
        <w:ind w:left="2880" w:hanging="360"/>
      </w:pPr>
      <w:rPr>
        <w:rFonts w:ascii="Symbol" w:hAnsi="Symbol" w:hint="default"/>
      </w:rPr>
    </w:lvl>
    <w:lvl w:ilvl="4" w:tplc="87DA5946">
      <w:start w:val="1"/>
      <w:numFmt w:val="bullet"/>
      <w:lvlText w:val="o"/>
      <w:lvlJc w:val="left"/>
      <w:pPr>
        <w:ind w:left="3600" w:hanging="360"/>
      </w:pPr>
      <w:rPr>
        <w:rFonts w:ascii="Courier New" w:hAnsi="Courier New" w:hint="default"/>
      </w:rPr>
    </w:lvl>
    <w:lvl w:ilvl="5" w:tplc="64405284">
      <w:start w:val="1"/>
      <w:numFmt w:val="bullet"/>
      <w:lvlText w:val=""/>
      <w:lvlJc w:val="left"/>
      <w:pPr>
        <w:ind w:left="4320" w:hanging="360"/>
      </w:pPr>
      <w:rPr>
        <w:rFonts w:ascii="Wingdings" w:hAnsi="Wingdings" w:hint="default"/>
      </w:rPr>
    </w:lvl>
    <w:lvl w:ilvl="6" w:tplc="10B0B5D8">
      <w:start w:val="1"/>
      <w:numFmt w:val="bullet"/>
      <w:lvlText w:val=""/>
      <w:lvlJc w:val="left"/>
      <w:pPr>
        <w:ind w:left="5040" w:hanging="360"/>
      </w:pPr>
      <w:rPr>
        <w:rFonts w:ascii="Symbol" w:hAnsi="Symbol" w:hint="default"/>
      </w:rPr>
    </w:lvl>
    <w:lvl w:ilvl="7" w:tplc="D1648206">
      <w:start w:val="1"/>
      <w:numFmt w:val="bullet"/>
      <w:lvlText w:val="o"/>
      <w:lvlJc w:val="left"/>
      <w:pPr>
        <w:ind w:left="5760" w:hanging="360"/>
      </w:pPr>
      <w:rPr>
        <w:rFonts w:ascii="Courier New" w:hAnsi="Courier New" w:hint="default"/>
      </w:rPr>
    </w:lvl>
    <w:lvl w:ilvl="8" w:tplc="B3E0509E">
      <w:start w:val="1"/>
      <w:numFmt w:val="bullet"/>
      <w:lvlText w:val=""/>
      <w:lvlJc w:val="left"/>
      <w:pPr>
        <w:ind w:left="6480" w:hanging="360"/>
      </w:pPr>
      <w:rPr>
        <w:rFonts w:ascii="Wingdings" w:hAnsi="Wingdings" w:hint="default"/>
      </w:rPr>
    </w:lvl>
  </w:abstractNum>
  <w:abstractNum w:abstractNumId="6" w15:restartNumberingAfterBreak="0">
    <w:nsid w:val="5B47068F"/>
    <w:multiLevelType w:val="hybridMultilevel"/>
    <w:tmpl w:val="FFFFFFFF"/>
    <w:lvl w:ilvl="0" w:tplc="C6AE74F0">
      <w:start w:val="1"/>
      <w:numFmt w:val="bullet"/>
      <w:lvlText w:val=""/>
      <w:lvlJc w:val="left"/>
      <w:pPr>
        <w:ind w:left="720" w:hanging="360"/>
      </w:pPr>
      <w:rPr>
        <w:rFonts w:ascii="Symbol" w:hAnsi="Symbol" w:hint="default"/>
      </w:rPr>
    </w:lvl>
    <w:lvl w:ilvl="1" w:tplc="819CD3A4">
      <w:start w:val="1"/>
      <w:numFmt w:val="bullet"/>
      <w:lvlText w:val="o"/>
      <w:lvlJc w:val="left"/>
      <w:pPr>
        <w:ind w:left="1440" w:hanging="360"/>
      </w:pPr>
      <w:rPr>
        <w:rFonts w:ascii="Courier New" w:hAnsi="Courier New" w:hint="default"/>
      </w:rPr>
    </w:lvl>
    <w:lvl w:ilvl="2" w:tplc="F1304D68">
      <w:start w:val="1"/>
      <w:numFmt w:val="bullet"/>
      <w:lvlText w:val=""/>
      <w:lvlJc w:val="left"/>
      <w:pPr>
        <w:ind w:left="2160" w:hanging="360"/>
      </w:pPr>
      <w:rPr>
        <w:rFonts w:ascii="Wingdings" w:hAnsi="Wingdings" w:hint="default"/>
      </w:rPr>
    </w:lvl>
    <w:lvl w:ilvl="3" w:tplc="0F0CA53C">
      <w:start w:val="1"/>
      <w:numFmt w:val="bullet"/>
      <w:lvlText w:val=""/>
      <w:lvlJc w:val="left"/>
      <w:pPr>
        <w:ind w:left="2880" w:hanging="360"/>
      </w:pPr>
      <w:rPr>
        <w:rFonts w:ascii="Symbol" w:hAnsi="Symbol" w:hint="default"/>
      </w:rPr>
    </w:lvl>
    <w:lvl w:ilvl="4" w:tplc="57E2DF7E">
      <w:start w:val="1"/>
      <w:numFmt w:val="bullet"/>
      <w:lvlText w:val="o"/>
      <w:lvlJc w:val="left"/>
      <w:pPr>
        <w:ind w:left="3600" w:hanging="360"/>
      </w:pPr>
      <w:rPr>
        <w:rFonts w:ascii="Courier New" w:hAnsi="Courier New" w:hint="default"/>
      </w:rPr>
    </w:lvl>
    <w:lvl w:ilvl="5" w:tplc="88A822AE">
      <w:start w:val="1"/>
      <w:numFmt w:val="bullet"/>
      <w:lvlText w:val=""/>
      <w:lvlJc w:val="left"/>
      <w:pPr>
        <w:ind w:left="4320" w:hanging="360"/>
      </w:pPr>
      <w:rPr>
        <w:rFonts w:ascii="Wingdings" w:hAnsi="Wingdings" w:hint="default"/>
      </w:rPr>
    </w:lvl>
    <w:lvl w:ilvl="6" w:tplc="C6681F22">
      <w:start w:val="1"/>
      <w:numFmt w:val="bullet"/>
      <w:lvlText w:val=""/>
      <w:lvlJc w:val="left"/>
      <w:pPr>
        <w:ind w:left="5040" w:hanging="360"/>
      </w:pPr>
      <w:rPr>
        <w:rFonts w:ascii="Symbol" w:hAnsi="Symbol" w:hint="default"/>
      </w:rPr>
    </w:lvl>
    <w:lvl w:ilvl="7" w:tplc="CDFE13E4">
      <w:start w:val="1"/>
      <w:numFmt w:val="bullet"/>
      <w:lvlText w:val="o"/>
      <w:lvlJc w:val="left"/>
      <w:pPr>
        <w:ind w:left="5760" w:hanging="360"/>
      </w:pPr>
      <w:rPr>
        <w:rFonts w:ascii="Courier New" w:hAnsi="Courier New" w:hint="default"/>
      </w:rPr>
    </w:lvl>
    <w:lvl w:ilvl="8" w:tplc="62B2B1F4">
      <w:start w:val="1"/>
      <w:numFmt w:val="bullet"/>
      <w:lvlText w:val=""/>
      <w:lvlJc w:val="left"/>
      <w:pPr>
        <w:ind w:left="6480" w:hanging="360"/>
      </w:pPr>
      <w:rPr>
        <w:rFonts w:ascii="Wingdings" w:hAnsi="Wingdings" w:hint="default"/>
      </w:rPr>
    </w:lvl>
  </w:abstractNum>
  <w:abstractNum w:abstractNumId="7" w15:restartNumberingAfterBreak="0">
    <w:nsid w:val="6A39C95D"/>
    <w:multiLevelType w:val="hybridMultilevel"/>
    <w:tmpl w:val="FFFFFFFF"/>
    <w:lvl w:ilvl="0" w:tplc="8ECE076E">
      <w:start w:val="1"/>
      <w:numFmt w:val="bullet"/>
      <w:lvlText w:val=""/>
      <w:lvlJc w:val="left"/>
      <w:pPr>
        <w:ind w:left="720" w:hanging="360"/>
      </w:pPr>
      <w:rPr>
        <w:rFonts w:ascii="Symbol" w:hAnsi="Symbol" w:hint="default"/>
      </w:rPr>
    </w:lvl>
    <w:lvl w:ilvl="1" w:tplc="47DC4A72">
      <w:start w:val="1"/>
      <w:numFmt w:val="bullet"/>
      <w:lvlText w:val="o"/>
      <w:lvlJc w:val="left"/>
      <w:pPr>
        <w:ind w:left="1440" w:hanging="360"/>
      </w:pPr>
      <w:rPr>
        <w:rFonts w:ascii="Courier New" w:hAnsi="Courier New" w:hint="default"/>
      </w:rPr>
    </w:lvl>
    <w:lvl w:ilvl="2" w:tplc="6D3C34F0">
      <w:start w:val="1"/>
      <w:numFmt w:val="bullet"/>
      <w:lvlText w:val=""/>
      <w:lvlJc w:val="left"/>
      <w:pPr>
        <w:ind w:left="2160" w:hanging="360"/>
      </w:pPr>
      <w:rPr>
        <w:rFonts w:ascii="Wingdings" w:hAnsi="Wingdings" w:hint="default"/>
      </w:rPr>
    </w:lvl>
    <w:lvl w:ilvl="3" w:tplc="6BC8471A">
      <w:start w:val="1"/>
      <w:numFmt w:val="bullet"/>
      <w:lvlText w:val=""/>
      <w:lvlJc w:val="left"/>
      <w:pPr>
        <w:ind w:left="2880" w:hanging="360"/>
      </w:pPr>
      <w:rPr>
        <w:rFonts w:ascii="Symbol" w:hAnsi="Symbol" w:hint="default"/>
      </w:rPr>
    </w:lvl>
    <w:lvl w:ilvl="4" w:tplc="32CE92B0">
      <w:start w:val="1"/>
      <w:numFmt w:val="bullet"/>
      <w:lvlText w:val="o"/>
      <w:lvlJc w:val="left"/>
      <w:pPr>
        <w:ind w:left="3600" w:hanging="360"/>
      </w:pPr>
      <w:rPr>
        <w:rFonts w:ascii="Courier New" w:hAnsi="Courier New" w:hint="default"/>
      </w:rPr>
    </w:lvl>
    <w:lvl w:ilvl="5" w:tplc="E61E98A8">
      <w:start w:val="1"/>
      <w:numFmt w:val="bullet"/>
      <w:lvlText w:val=""/>
      <w:lvlJc w:val="left"/>
      <w:pPr>
        <w:ind w:left="4320" w:hanging="360"/>
      </w:pPr>
      <w:rPr>
        <w:rFonts w:ascii="Wingdings" w:hAnsi="Wingdings" w:hint="default"/>
      </w:rPr>
    </w:lvl>
    <w:lvl w:ilvl="6" w:tplc="DEDC5C56">
      <w:start w:val="1"/>
      <w:numFmt w:val="bullet"/>
      <w:lvlText w:val=""/>
      <w:lvlJc w:val="left"/>
      <w:pPr>
        <w:ind w:left="5040" w:hanging="360"/>
      </w:pPr>
      <w:rPr>
        <w:rFonts w:ascii="Symbol" w:hAnsi="Symbol" w:hint="default"/>
      </w:rPr>
    </w:lvl>
    <w:lvl w:ilvl="7" w:tplc="C9D80F08">
      <w:start w:val="1"/>
      <w:numFmt w:val="bullet"/>
      <w:lvlText w:val="o"/>
      <w:lvlJc w:val="left"/>
      <w:pPr>
        <w:ind w:left="5760" w:hanging="360"/>
      </w:pPr>
      <w:rPr>
        <w:rFonts w:ascii="Courier New" w:hAnsi="Courier New" w:hint="default"/>
      </w:rPr>
    </w:lvl>
    <w:lvl w:ilvl="8" w:tplc="2464817E">
      <w:start w:val="1"/>
      <w:numFmt w:val="bullet"/>
      <w:lvlText w:val=""/>
      <w:lvlJc w:val="left"/>
      <w:pPr>
        <w:ind w:left="6480" w:hanging="360"/>
      </w:pPr>
      <w:rPr>
        <w:rFonts w:ascii="Wingdings" w:hAnsi="Wingdings" w:hint="default"/>
      </w:rPr>
    </w:lvl>
  </w:abstractNum>
  <w:num w:numId="1" w16cid:durableId="137496020">
    <w:abstractNumId w:val="1"/>
  </w:num>
  <w:num w:numId="2" w16cid:durableId="993025969">
    <w:abstractNumId w:val="5"/>
  </w:num>
  <w:num w:numId="3" w16cid:durableId="292177782">
    <w:abstractNumId w:val="0"/>
  </w:num>
  <w:num w:numId="4" w16cid:durableId="1423717056">
    <w:abstractNumId w:val="7"/>
  </w:num>
  <w:num w:numId="5" w16cid:durableId="1411463985">
    <w:abstractNumId w:val="6"/>
  </w:num>
  <w:num w:numId="6" w16cid:durableId="1343316436">
    <w:abstractNumId w:val="3"/>
  </w:num>
  <w:num w:numId="7" w16cid:durableId="1931548593">
    <w:abstractNumId w:val="4"/>
  </w:num>
  <w:num w:numId="8" w16cid:durableId="1424103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D9A"/>
    <w:rsid w:val="00055C5F"/>
    <w:rsid w:val="004C1B80"/>
    <w:rsid w:val="0055122C"/>
    <w:rsid w:val="007A2FBC"/>
    <w:rsid w:val="00BE26AB"/>
    <w:rsid w:val="00D92D9A"/>
    <w:rsid w:val="00E92E12"/>
    <w:rsid w:val="0304991F"/>
    <w:rsid w:val="06EF0FC4"/>
    <w:rsid w:val="08008B6E"/>
    <w:rsid w:val="08C7A4F8"/>
    <w:rsid w:val="0A306595"/>
    <w:rsid w:val="0AC1FD4F"/>
    <w:rsid w:val="0B970458"/>
    <w:rsid w:val="11A5FEDA"/>
    <w:rsid w:val="12A0934C"/>
    <w:rsid w:val="148C210D"/>
    <w:rsid w:val="18308BB8"/>
    <w:rsid w:val="18F415D8"/>
    <w:rsid w:val="1AF50A13"/>
    <w:rsid w:val="1BAF94E3"/>
    <w:rsid w:val="1EB97B20"/>
    <w:rsid w:val="20E2A195"/>
    <w:rsid w:val="227B38F4"/>
    <w:rsid w:val="2436D958"/>
    <w:rsid w:val="26D60557"/>
    <w:rsid w:val="2805C42A"/>
    <w:rsid w:val="28B504EF"/>
    <w:rsid w:val="2C2B866E"/>
    <w:rsid w:val="2ED32A97"/>
    <w:rsid w:val="2FA5D49E"/>
    <w:rsid w:val="313225C2"/>
    <w:rsid w:val="34FB29C7"/>
    <w:rsid w:val="36182C63"/>
    <w:rsid w:val="36975DF4"/>
    <w:rsid w:val="37E55BE1"/>
    <w:rsid w:val="3986DD48"/>
    <w:rsid w:val="3A0E859E"/>
    <w:rsid w:val="3BC84D81"/>
    <w:rsid w:val="3F5C6E05"/>
    <w:rsid w:val="404EAAB3"/>
    <w:rsid w:val="4545851E"/>
    <w:rsid w:val="455FAB3B"/>
    <w:rsid w:val="45E4C898"/>
    <w:rsid w:val="47F2467C"/>
    <w:rsid w:val="541F960D"/>
    <w:rsid w:val="5470E088"/>
    <w:rsid w:val="5556D43B"/>
    <w:rsid w:val="55EC55F2"/>
    <w:rsid w:val="573204A0"/>
    <w:rsid w:val="57DE1B17"/>
    <w:rsid w:val="58EC1393"/>
    <w:rsid w:val="620FEC9B"/>
    <w:rsid w:val="641E0548"/>
    <w:rsid w:val="660AF0A8"/>
    <w:rsid w:val="67970240"/>
    <w:rsid w:val="68945647"/>
    <w:rsid w:val="6DE01D6F"/>
    <w:rsid w:val="742D05D6"/>
    <w:rsid w:val="752418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6633"/>
  <w15:docId w15:val="{3FB7A16A-41E4-429F-86FA-5EA9EFBD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FCF"/>
  </w:style>
  <w:style w:type="paragraph" w:styleId="Heading1">
    <w:name w:val="heading 1"/>
    <w:basedOn w:val="Normal"/>
    <w:next w:val="Normal"/>
    <w:link w:val="Heading1Char"/>
    <w:uiPriority w:val="9"/>
    <w:qFormat/>
    <w:rsid w:val="00A70FC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70FC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70F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70F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70FCF"/>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70FCF"/>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70FCF"/>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70FCF"/>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70FCF"/>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FCF"/>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70FCF"/>
    <w:rPr>
      <w:smallCaps/>
      <w:sz w:val="48"/>
      <w:szCs w:val="48"/>
    </w:rPr>
  </w:style>
  <w:style w:type="character" w:customStyle="1" w:styleId="Heading1Char">
    <w:name w:val="Heading 1 Char"/>
    <w:basedOn w:val="DefaultParagraphFont"/>
    <w:link w:val="Heading1"/>
    <w:uiPriority w:val="9"/>
    <w:rsid w:val="00A70FCF"/>
    <w:rPr>
      <w:smallCaps/>
      <w:spacing w:val="5"/>
      <w:sz w:val="32"/>
      <w:szCs w:val="32"/>
    </w:rPr>
  </w:style>
  <w:style w:type="character" w:customStyle="1" w:styleId="Heading2Char">
    <w:name w:val="Heading 2 Char"/>
    <w:basedOn w:val="DefaultParagraphFont"/>
    <w:link w:val="Heading2"/>
    <w:uiPriority w:val="9"/>
    <w:semiHidden/>
    <w:rsid w:val="00A70FCF"/>
    <w:rPr>
      <w:smallCaps/>
      <w:spacing w:val="5"/>
      <w:sz w:val="28"/>
      <w:szCs w:val="28"/>
    </w:rPr>
  </w:style>
  <w:style w:type="character" w:customStyle="1" w:styleId="Heading3Char">
    <w:name w:val="Heading 3 Char"/>
    <w:basedOn w:val="DefaultParagraphFont"/>
    <w:link w:val="Heading3"/>
    <w:uiPriority w:val="9"/>
    <w:semiHidden/>
    <w:rsid w:val="00A70FCF"/>
    <w:rPr>
      <w:smallCaps/>
      <w:spacing w:val="5"/>
      <w:sz w:val="24"/>
      <w:szCs w:val="24"/>
    </w:rPr>
  </w:style>
  <w:style w:type="character" w:customStyle="1" w:styleId="Heading4Char">
    <w:name w:val="Heading 4 Char"/>
    <w:basedOn w:val="DefaultParagraphFont"/>
    <w:link w:val="Heading4"/>
    <w:uiPriority w:val="9"/>
    <w:semiHidden/>
    <w:rsid w:val="00A70FCF"/>
    <w:rPr>
      <w:smallCaps/>
      <w:spacing w:val="10"/>
      <w:sz w:val="22"/>
      <w:szCs w:val="22"/>
    </w:rPr>
  </w:style>
  <w:style w:type="character" w:customStyle="1" w:styleId="Heading5Char">
    <w:name w:val="Heading 5 Char"/>
    <w:basedOn w:val="DefaultParagraphFont"/>
    <w:link w:val="Heading5"/>
    <w:uiPriority w:val="9"/>
    <w:semiHidden/>
    <w:rsid w:val="00A70FC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70FCF"/>
    <w:rPr>
      <w:smallCaps/>
      <w:color w:val="ED7D31" w:themeColor="accent2"/>
      <w:spacing w:val="5"/>
      <w:sz w:val="22"/>
    </w:rPr>
  </w:style>
  <w:style w:type="character" w:customStyle="1" w:styleId="Heading7Char">
    <w:name w:val="Heading 7 Char"/>
    <w:basedOn w:val="DefaultParagraphFont"/>
    <w:link w:val="Heading7"/>
    <w:uiPriority w:val="9"/>
    <w:semiHidden/>
    <w:rsid w:val="00A70FCF"/>
    <w:rPr>
      <w:b/>
      <w:smallCaps/>
      <w:color w:val="ED7D31" w:themeColor="accent2"/>
      <w:spacing w:val="10"/>
    </w:rPr>
  </w:style>
  <w:style w:type="character" w:customStyle="1" w:styleId="Heading8Char">
    <w:name w:val="Heading 8 Char"/>
    <w:basedOn w:val="DefaultParagraphFont"/>
    <w:link w:val="Heading8"/>
    <w:uiPriority w:val="9"/>
    <w:semiHidden/>
    <w:rsid w:val="00A70FCF"/>
    <w:rPr>
      <w:b/>
      <w:i/>
      <w:smallCaps/>
      <w:color w:val="C45911" w:themeColor="accent2" w:themeShade="BF"/>
    </w:rPr>
  </w:style>
  <w:style w:type="character" w:customStyle="1" w:styleId="Heading9Char">
    <w:name w:val="Heading 9 Char"/>
    <w:basedOn w:val="DefaultParagraphFont"/>
    <w:link w:val="Heading9"/>
    <w:uiPriority w:val="9"/>
    <w:semiHidden/>
    <w:rsid w:val="00A70FCF"/>
    <w:rPr>
      <w:b/>
      <w:i/>
      <w:smallCaps/>
      <w:color w:val="823B0B" w:themeColor="accent2" w:themeShade="7F"/>
    </w:rPr>
  </w:style>
  <w:style w:type="paragraph" w:styleId="Caption">
    <w:name w:val="caption"/>
    <w:basedOn w:val="Normal"/>
    <w:next w:val="Normal"/>
    <w:uiPriority w:val="35"/>
    <w:unhideWhenUsed/>
    <w:qFormat/>
    <w:rsid w:val="00A70FCF"/>
    <w:rPr>
      <w:b/>
      <w:bCs/>
      <w:caps/>
      <w:sz w:val="16"/>
      <w:szCs w:val="18"/>
    </w:rPr>
  </w:style>
  <w:style w:type="paragraph" w:styleId="Subtitle">
    <w:name w:val="Subtitle"/>
    <w:basedOn w:val="Normal"/>
    <w:next w:val="Normal"/>
    <w:link w:val="SubtitleChar"/>
    <w:uiPriority w:val="11"/>
    <w:qFormat/>
    <w:pPr>
      <w:spacing w:after="720" w:line="240" w:lineRule="auto"/>
      <w:jc w:val="right"/>
    </w:pPr>
  </w:style>
  <w:style w:type="character" w:customStyle="1" w:styleId="SubtitleChar">
    <w:name w:val="Subtitle Char"/>
    <w:basedOn w:val="DefaultParagraphFont"/>
    <w:link w:val="Subtitle"/>
    <w:uiPriority w:val="11"/>
    <w:rsid w:val="00A70FCF"/>
    <w:rPr>
      <w:rFonts w:asciiTheme="majorHAnsi" w:eastAsiaTheme="majorEastAsia" w:hAnsiTheme="majorHAnsi" w:cstheme="majorBidi"/>
      <w:szCs w:val="22"/>
    </w:rPr>
  </w:style>
  <w:style w:type="character" w:styleId="Strong">
    <w:name w:val="Strong"/>
    <w:uiPriority w:val="22"/>
    <w:qFormat/>
    <w:rsid w:val="00A70FCF"/>
    <w:rPr>
      <w:b/>
      <w:color w:val="ED7D31" w:themeColor="accent2"/>
    </w:rPr>
  </w:style>
  <w:style w:type="character" w:styleId="Emphasis">
    <w:name w:val="Emphasis"/>
    <w:uiPriority w:val="20"/>
    <w:qFormat/>
    <w:rsid w:val="00A70FCF"/>
    <w:rPr>
      <w:b/>
      <w:i/>
      <w:spacing w:val="10"/>
    </w:rPr>
  </w:style>
  <w:style w:type="paragraph" w:styleId="NoSpacing">
    <w:name w:val="No Spacing"/>
    <w:basedOn w:val="Normal"/>
    <w:link w:val="NoSpacingChar"/>
    <w:uiPriority w:val="1"/>
    <w:qFormat/>
    <w:rsid w:val="00A70FCF"/>
    <w:pPr>
      <w:spacing w:after="0" w:line="240" w:lineRule="auto"/>
    </w:pPr>
  </w:style>
  <w:style w:type="character" w:customStyle="1" w:styleId="NoSpacingChar">
    <w:name w:val="No Spacing Char"/>
    <w:basedOn w:val="DefaultParagraphFont"/>
    <w:link w:val="NoSpacing"/>
    <w:uiPriority w:val="1"/>
    <w:rsid w:val="00A70FCF"/>
  </w:style>
  <w:style w:type="paragraph" w:styleId="ListParagraph">
    <w:name w:val="List Paragraph"/>
    <w:basedOn w:val="Normal"/>
    <w:uiPriority w:val="34"/>
    <w:qFormat/>
    <w:rsid w:val="00A70FCF"/>
    <w:pPr>
      <w:ind w:left="720"/>
      <w:contextualSpacing/>
    </w:pPr>
  </w:style>
  <w:style w:type="paragraph" w:styleId="Quote">
    <w:name w:val="Quote"/>
    <w:basedOn w:val="Normal"/>
    <w:next w:val="Normal"/>
    <w:link w:val="QuoteChar"/>
    <w:uiPriority w:val="29"/>
    <w:qFormat/>
    <w:rsid w:val="00A70FCF"/>
    <w:rPr>
      <w:i/>
    </w:rPr>
  </w:style>
  <w:style w:type="character" w:customStyle="1" w:styleId="QuoteChar">
    <w:name w:val="Quote Char"/>
    <w:basedOn w:val="DefaultParagraphFont"/>
    <w:link w:val="Quote"/>
    <w:uiPriority w:val="29"/>
    <w:rsid w:val="00A70FCF"/>
    <w:rPr>
      <w:i/>
    </w:rPr>
  </w:style>
  <w:style w:type="paragraph" w:styleId="IntenseQuote">
    <w:name w:val="Intense Quote"/>
    <w:basedOn w:val="Normal"/>
    <w:next w:val="Normal"/>
    <w:link w:val="IntenseQuoteChar"/>
    <w:uiPriority w:val="30"/>
    <w:qFormat/>
    <w:rsid w:val="00A70FC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70FCF"/>
    <w:rPr>
      <w:b/>
      <w:i/>
      <w:color w:val="FFFFFF" w:themeColor="background1"/>
      <w:shd w:val="clear" w:color="auto" w:fill="ED7D31" w:themeFill="accent2"/>
    </w:rPr>
  </w:style>
  <w:style w:type="character" w:styleId="SubtleEmphasis">
    <w:name w:val="Subtle Emphasis"/>
    <w:uiPriority w:val="19"/>
    <w:qFormat/>
    <w:rsid w:val="00A70FCF"/>
    <w:rPr>
      <w:i/>
    </w:rPr>
  </w:style>
  <w:style w:type="character" w:styleId="IntenseEmphasis">
    <w:name w:val="Intense Emphasis"/>
    <w:uiPriority w:val="21"/>
    <w:qFormat/>
    <w:rsid w:val="00A70FCF"/>
    <w:rPr>
      <w:b/>
      <w:i/>
      <w:color w:val="ED7D31" w:themeColor="accent2"/>
      <w:spacing w:val="10"/>
    </w:rPr>
  </w:style>
  <w:style w:type="character" w:styleId="SubtleReference">
    <w:name w:val="Subtle Reference"/>
    <w:uiPriority w:val="31"/>
    <w:qFormat/>
    <w:rsid w:val="00A70FCF"/>
    <w:rPr>
      <w:b/>
    </w:rPr>
  </w:style>
  <w:style w:type="character" w:styleId="IntenseReference">
    <w:name w:val="Intense Reference"/>
    <w:uiPriority w:val="32"/>
    <w:qFormat/>
    <w:rsid w:val="00A70FCF"/>
    <w:rPr>
      <w:b/>
      <w:bCs/>
      <w:smallCaps/>
      <w:spacing w:val="5"/>
      <w:sz w:val="22"/>
      <w:szCs w:val="22"/>
      <w:u w:val="single"/>
    </w:rPr>
  </w:style>
  <w:style w:type="character" w:styleId="BookTitle">
    <w:name w:val="Book Title"/>
    <w:uiPriority w:val="33"/>
    <w:qFormat/>
    <w:rsid w:val="00A70FCF"/>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A70FCF"/>
    <w:pPr>
      <w:outlineLvl w:val="9"/>
    </w:pPr>
  </w:style>
  <w:style w:type="paragraph" w:styleId="TOC1">
    <w:name w:val="toc 1"/>
    <w:basedOn w:val="Normal"/>
    <w:next w:val="Normal"/>
    <w:autoRedefine/>
    <w:uiPriority w:val="39"/>
    <w:unhideWhenUsed/>
    <w:rsid w:val="00A70FCF"/>
    <w:pPr>
      <w:spacing w:before="120" w:after="0"/>
      <w:jc w:val="left"/>
    </w:pPr>
    <w:rPr>
      <w:b/>
      <w:bCs/>
      <w:i/>
      <w:iCs/>
      <w:sz w:val="24"/>
      <w:szCs w:val="24"/>
    </w:rPr>
  </w:style>
  <w:style w:type="paragraph" w:styleId="TOC2">
    <w:name w:val="toc 2"/>
    <w:basedOn w:val="Normal"/>
    <w:next w:val="Normal"/>
    <w:autoRedefine/>
    <w:uiPriority w:val="39"/>
    <w:unhideWhenUsed/>
    <w:rsid w:val="00A70FCF"/>
    <w:pPr>
      <w:spacing w:before="120" w:after="0"/>
      <w:ind w:left="200"/>
      <w:jc w:val="left"/>
    </w:pPr>
    <w:rPr>
      <w:b/>
      <w:bCs/>
      <w:sz w:val="22"/>
      <w:szCs w:val="22"/>
    </w:rPr>
  </w:style>
  <w:style w:type="paragraph" w:styleId="TOC3">
    <w:name w:val="toc 3"/>
    <w:basedOn w:val="Normal"/>
    <w:next w:val="Normal"/>
    <w:autoRedefine/>
    <w:uiPriority w:val="39"/>
    <w:semiHidden/>
    <w:unhideWhenUsed/>
    <w:rsid w:val="00A70FCF"/>
    <w:pPr>
      <w:spacing w:after="0"/>
      <w:ind w:left="400"/>
      <w:jc w:val="left"/>
    </w:pPr>
  </w:style>
  <w:style w:type="paragraph" w:styleId="TOC4">
    <w:name w:val="toc 4"/>
    <w:basedOn w:val="Normal"/>
    <w:next w:val="Normal"/>
    <w:autoRedefine/>
    <w:uiPriority w:val="39"/>
    <w:semiHidden/>
    <w:unhideWhenUsed/>
    <w:rsid w:val="00A70FCF"/>
    <w:pPr>
      <w:spacing w:after="0"/>
      <w:ind w:left="600"/>
      <w:jc w:val="left"/>
    </w:pPr>
  </w:style>
  <w:style w:type="paragraph" w:styleId="TOC5">
    <w:name w:val="toc 5"/>
    <w:basedOn w:val="Normal"/>
    <w:next w:val="Normal"/>
    <w:autoRedefine/>
    <w:uiPriority w:val="39"/>
    <w:semiHidden/>
    <w:unhideWhenUsed/>
    <w:rsid w:val="00A70FCF"/>
    <w:pPr>
      <w:spacing w:after="0"/>
      <w:ind w:left="800"/>
      <w:jc w:val="left"/>
    </w:pPr>
  </w:style>
  <w:style w:type="paragraph" w:styleId="TOC6">
    <w:name w:val="toc 6"/>
    <w:basedOn w:val="Normal"/>
    <w:next w:val="Normal"/>
    <w:autoRedefine/>
    <w:uiPriority w:val="39"/>
    <w:semiHidden/>
    <w:unhideWhenUsed/>
    <w:rsid w:val="00A70FCF"/>
    <w:pPr>
      <w:spacing w:after="0"/>
      <w:ind w:left="1000"/>
      <w:jc w:val="left"/>
    </w:pPr>
  </w:style>
  <w:style w:type="paragraph" w:styleId="TOC7">
    <w:name w:val="toc 7"/>
    <w:basedOn w:val="Normal"/>
    <w:next w:val="Normal"/>
    <w:autoRedefine/>
    <w:uiPriority w:val="39"/>
    <w:semiHidden/>
    <w:unhideWhenUsed/>
    <w:rsid w:val="00A70FCF"/>
    <w:pPr>
      <w:spacing w:after="0"/>
      <w:ind w:left="1200"/>
      <w:jc w:val="left"/>
    </w:pPr>
  </w:style>
  <w:style w:type="paragraph" w:styleId="TOC8">
    <w:name w:val="toc 8"/>
    <w:basedOn w:val="Normal"/>
    <w:next w:val="Normal"/>
    <w:autoRedefine/>
    <w:uiPriority w:val="39"/>
    <w:semiHidden/>
    <w:unhideWhenUsed/>
    <w:rsid w:val="00A70FCF"/>
    <w:pPr>
      <w:spacing w:after="0"/>
      <w:ind w:left="1400"/>
      <w:jc w:val="left"/>
    </w:pPr>
  </w:style>
  <w:style w:type="paragraph" w:styleId="TOC9">
    <w:name w:val="toc 9"/>
    <w:basedOn w:val="Normal"/>
    <w:next w:val="Normal"/>
    <w:autoRedefine/>
    <w:uiPriority w:val="39"/>
    <w:semiHidden/>
    <w:unhideWhenUsed/>
    <w:rsid w:val="00A70FCF"/>
    <w:pPr>
      <w:spacing w:after="0"/>
      <w:ind w:left="1600"/>
      <w:jc w:val="left"/>
    </w:pPr>
  </w:style>
  <w:style w:type="character" w:styleId="Hyperlink">
    <w:name w:val="Hyperlink"/>
    <w:basedOn w:val="DefaultParagraphFont"/>
    <w:uiPriority w:val="99"/>
    <w:unhideWhenUsed/>
    <w:rsid w:val="0055122C"/>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ournals.sagepub.com/doi/full/10.1177/0047239521102943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ournals.sagepub.com/doi/full/10.1177/2515127420916738"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l.acm.org/doi/10.1145/1089107.10891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linelearningsurvey.com/reports/digtiallearningcompassenrollment2017.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2y6th2q0YiyK2t1Eyp39uqTusw==">CgMxLjAyCGguZ2pkZ3hzOAByITEtUi1hSnloS2J5REt4NHAtMlp0bUEwdWd6Q2MwYmczUw==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2203</Words>
  <Characters>12561</Characters>
  <Application>Microsoft Office Word</Application>
  <DocSecurity>0</DocSecurity>
  <Lines>104</Lines>
  <Paragraphs>29</Paragraphs>
  <ScaleCrop>false</ScaleCrop>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Williams</dc:creator>
  <cp:lastModifiedBy>Eliana Alon</cp:lastModifiedBy>
  <cp:revision>4</cp:revision>
  <dcterms:created xsi:type="dcterms:W3CDTF">2024-10-20T22:47:00Z</dcterms:created>
  <dcterms:modified xsi:type="dcterms:W3CDTF">2024-10-27T16:48:00Z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0x010100256ADBEA988823428D22AFBB03F15048</vt:lpwstr>
  </property>
</Properties>
</file>