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80" w:line="276" w:lineRule="auto"/>
      </w:pPr>
      <w:r>
        <w:rPr>
          <w:rFonts w:ascii="Arial" w:hAnsi="Arial"/>
          <w:b/>
          <w:i w:val="0"/>
          <w:color w:val="000000"/>
          <w:sz w:val="44"/>
        </w:rPr>
        <w:t>Manual do Fluxo Jurídico</w:t>
      </w:r>
    </w:p>
    <w:p>
      <w:pPr>
        <w:spacing w:before="0" w:after="320" w:line="276" w:lineRule="auto"/>
      </w:pPr>
      <w:r>
        <w:rPr>
          <w:rFonts w:ascii="Arial" w:hAnsi="Arial"/>
          <w:b w:val="0"/>
          <w:i w:val="0"/>
          <w:color w:val="595959"/>
          <w:sz w:val="24"/>
        </w:rPr>
        <w:t>Como organizar um caso e pedir uma peça jurídica com segurança</w:t>
      </w:r>
    </w:p>
    <w:p>
      <w:pPr>
        <w:spacing w:before="0" w:after="24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Este manual mostra, em linguagem simples, como usar as ferramentas do escritório. Você não precisa entender programação. Basta enviar os documentos, seguir o roteiro e revisar o resultado antes de utilizar a peça.</w:t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O que você passa a ter</w:t>
      </w:r>
    </w:p>
    <w:p>
      <w:pPr>
        <w:pStyle w:val="Commarcadores"/>
        <w:spacing w:after="80" w:line="269" w:lineRule="auto"/>
      </w:pPr>
      <w:r>
        <w:rPr>
          <w:rFonts w:ascii="Arial" w:hAnsi="Arial"/>
          <w:color w:val="000000"/>
          <w:sz w:val="22"/>
        </w:rPr>
        <w:t>Uma pasta de caso organizada, com os originais preservados.</w:t>
      </w:r>
    </w:p>
    <w:p>
      <w:pPr>
        <w:pStyle w:val="Commarcadores"/>
        <w:spacing w:after="80" w:line="269" w:lineRule="auto"/>
      </w:pPr>
      <w:r>
        <w:rPr>
          <w:rFonts w:ascii="Arial" w:hAnsi="Arial"/>
          <w:color w:val="000000"/>
          <w:sz w:val="22"/>
        </w:rPr>
        <w:t>Provas numeradas de forma permanente, como PROVA-0001 e PROVA-0002.</w:t>
      </w:r>
    </w:p>
    <w:p>
      <w:pPr>
        <w:pStyle w:val="Commarcadores"/>
        <w:spacing w:after="80" w:line="269" w:lineRule="auto"/>
      </w:pPr>
      <w:r>
        <w:rPr>
          <w:rFonts w:ascii="Arial" w:hAnsi="Arial"/>
          <w:color w:val="000000"/>
          <w:sz w:val="22"/>
        </w:rPr>
        <w:t>Processos, conversas, áudios e vídeos organizados para consulta posterior.</w:t>
      </w:r>
    </w:p>
    <w:p>
      <w:pPr>
        <w:pStyle w:val="Commarcadores"/>
        <w:spacing w:after="80" w:line="269" w:lineRule="auto"/>
      </w:pPr>
      <w:r>
        <w:rPr>
          <w:rFonts w:ascii="Arial" w:hAnsi="Arial"/>
          <w:color w:val="000000"/>
          <w:sz w:val="22"/>
        </w:rPr>
        <w:t>Resumo do caso, linha do tempo, índice de provas e lista de pendências.</w:t>
      </w:r>
    </w:p>
    <w:p>
      <w:pPr>
        <w:pStyle w:val="Commarcadores"/>
        <w:spacing w:after="80" w:line="269" w:lineRule="auto"/>
      </w:pPr>
      <w:r>
        <w:rPr>
          <w:rFonts w:ascii="Arial" w:hAnsi="Arial"/>
          <w:color w:val="000000"/>
          <w:sz w:val="22"/>
        </w:rPr>
        <w:t>Peças jurídicas em Word, seguindo o padrão do escritório e o papel timbrado oficial.</w:t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Antes de começar</w:t>
      </w:r>
    </w:p>
    <w:p>
      <w:pPr>
        <w:spacing w:before="0" w:after="14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Você precisa de uma pasta no computador para cada caso e acesso ao ChatGPT ou ao Claude configurado pelo escritório. Nunca envie documentos de clientes para o GitHub.</w:t>
      </w:r>
    </w:p>
    <w:p>
      <w:pPr>
        <w:spacing w:before="0" w:after="200" w:line="276" w:lineRule="auto"/>
      </w:pPr>
      <w:r>
        <w:rPr>
          <w:rFonts w:ascii="Arial" w:hAnsi="Arial"/>
          <w:b w:val="0"/>
          <w:i w:val="0"/>
          <w:color w:val="000000"/>
          <w:sz w:val="22"/>
        </w:rPr>
        <w:t>Ao receber documentos, coloque tudo na pasta do caso: processo completo, conversas, áudios, vídeos, fotos, contratos, comprovantes, decisões e intimações.</w:t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Passo a passo para organizar um caso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7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D9C9BA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000000"/>
                <w:sz w:val="21"/>
              </w:rPr>
              <w:t>Nº</w:t>
            </w:r>
          </w:p>
        </w:tc>
        <w:tc>
          <w:tcPr>
            <w:tcW w:type="dxa" w:w="3969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D9C9BA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000000"/>
                <w:sz w:val="21"/>
              </w:rPr>
              <w:t>O que você faz</w:t>
            </w:r>
          </w:p>
        </w:tc>
        <w:tc>
          <w:tcPr>
            <w:tcW w:type="dxa" w:w="3969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D9C9BA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000000"/>
                <w:sz w:val="21"/>
              </w:rPr>
              <w:t>O que a ferramenta entrega</w:t>
            </w:r>
          </w:p>
        </w:tc>
      </w:tr>
      <w:tr>
        <w:tc>
          <w:tcPr>
            <w:tcW w:type="dxa" w:w="7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3969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Crie uma pasta com o nome interno do caso.</w:t>
            </w:r>
          </w:p>
        </w:tc>
        <w:tc>
          <w:tcPr>
            <w:tcW w:type="dxa" w:w="3969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Uma estrutura segura para receber tudo.</w:t>
            </w:r>
          </w:p>
        </w:tc>
      </w:tr>
      <w:tr>
        <w:tc>
          <w:tcPr>
            <w:tcW w:type="dxa" w:w="7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7F3F0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1"/>
              </w:rPr>
              <w:t>2</w:t>
            </w:r>
          </w:p>
        </w:tc>
        <w:tc>
          <w:tcPr>
            <w:tcW w:type="dxa" w:w="3969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7F3F0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Coloque todos os arquivos recebidos nessa pasta.</w:t>
            </w:r>
          </w:p>
        </w:tc>
        <w:tc>
          <w:tcPr>
            <w:tcW w:type="dxa" w:w="3969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7F3F0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Nada é descartado ou alterado nos originais.</w:t>
            </w:r>
          </w:p>
        </w:tc>
      </w:tr>
      <w:tr>
        <w:tc>
          <w:tcPr>
            <w:tcW w:type="dxa" w:w="7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3969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No WhatsApp, exporte a conversa com mídias e guarde o arquivo ZIP intacto.</w:t>
            </w:r>
          </w:p>
        </w:tc>
        <w:tc>
          <w:tcPr>
            <w:tcW w:type="dxa" w:w="3969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A conversa pode ser organizada e transcrita sem perder o arquivo original.</w:t>
            </w:r>
          </w:p>
        </w:tc>
      </w:tr>
      <w:tr>
        <w:tc>
          <w:tcPr>
            <w:tcW w:type="dxa" w:w="7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7F3F0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3969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7F3F0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Abra uma conversa nova e peça a abertura do caso.</w:t>
            </w:r>
          </w:p>
        </w:tc>
        <w:tc>
          <w:tcPr>
            <w:tcW w:type="dxa" w:w="3969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7F3F0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A ferramenta mostra um lembrete do que conferir antes de organizar.</w:t>
            </w:r>
          </w:p>
        </w:tc>
      </w:tr>
      <w:tr>
        <w:tc>
          <w:tcPr>
            <w:tcW w:type="dxa" w:w="7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3969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Quando terminar de enviar tudo, escreva PODE ORGANIZAR.</w:t>
            </w:r>
          </w:p>
        </w:tc>
        <w:tc>
          <w:tcPr>
            <w:tcW w:type="dxa" w:w="3969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Índice, cronologia, provas identificadas, transcrições e pendências.</w:t>
            </w:r>
          </w:p>
        </w:tc>
      </w:tr>
      <w:tr>
        <w:tc>
          <w:tcPr>
            <w:tcW w:type="dxa" w:w="7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7F3F0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color w:val="000000"/>
                <w:sz w:val="21"/>
              </w:rPr>
              <w:t>6</w:t>
            </w:r>
          </w:p>
        </w:tc>
        <w:tc>
          <w:tcPr>
            <w:tcW w:type="dxa" w:w="3969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7F3F0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Leia o resumo e responda às perguntas que ficaram pendentes.</w:t>
            </w:r>
          </w:p>
        </w:tc>
        <w:tc>
          <w:tcPr>
            <w:tcW w:type="dxa" w:w="3969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7F3F0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Contexto completo para análise e redação.</w:t>
            </w:r>
          </w:p>
        </w:tc>
      </w:tr>
    </w:tbl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Frase para abrir um caso</w:t>
      </w:r>
    </w:p>
    <w:p>
      <w:pPr>
        <w:spacing w:before="40" w:after="140" w:line="264" w:lineRule="auto"/>
        <w:ind w:left="312" w:right="312"/>
      </w:pPr>
      <w:r>
        <w:rPr>
          <w:rFonts w:ascii="Courier New" w:hAnsi="Courier New"/>
          <w:color w:val="000000"/>
          <w:sz w:val="21"/>
        </w:rPr>
        <w:t>Quero abrir e organizar um novo caso jurídico.</w:t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Como exportar o WhatsApp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1. </w:t>
      </w:r>
      <w:r>
        <w:rPr>
          <w:rFonts w:ascii="Arial" w:hAnsi="Arial"/>
          <w:b/>
          <w:sz w:val="22"/>
        </w:rPr>
        <w:t>Abra a conversa</w:t>
      </w:r>
      <w:r>
        <w:rPr>
          <w:rFonts w:ascii="Arial" w:hAnsi="Arial"/>
          <w:sz w:val="22"/>
        </w:rPr>
        <w:t>: no WhatsApp.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2. </w:t>
      </w:r>
      <w:r>
        <w:rPr>
          <w:rFonts w:ascii="Arial" w:hAnsi="Arial"/>
          <w:b/>
          <w:sz w:val="22"/>
        </w:rPr>
        <w:t>Abra o menu</w:t>
      </w:r>
      <w:r>
        <w:rPr>
          <w:rFonts w:ascii="Arial" w:hAnsi="Arial"/>
          <w:sz w:val="22"/>
        </w:rPr>
        <w:t>: e escolha Mais ou Exportar conversa, conforme o aparelho.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3. </w:t>
      </w:r>
      <w:r>
        <w:rPr>
          <w:rFonts w:ascii="Arial" w:hAnsi="Arial"/>
          <w:b/>
          <w:sz w:val="22"/>
        </w:rPr>
        <w:t>Escolha incluir mídias</w:t>
      </w:r>
      <w:r>
        <w:rPr>
          <w:rFonts w:ascii="Arial" w:hAnsi="Arial"/>
          <w:sz w:val="22"/>
        </w:rPr>
        <w:t>: para preservar imagens, áudios e vídeos junto com a conversa.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4. </w:t>
      </w:r>
      <w:r>
        <w:rPr>
          <w:rFonts w:ascii="Arial" w:hAnsi="Arial"/>
          <w:b/>
          <w:sz w:val="22"/>
        </w:rPr>
        <w:t>Guarde o arquivo ZIP</w:t>
      </w:r>
      <w:r>
        <w:rPr>
          <w:rFonts w:ascii="Arial" w:hAnsi="Arial"/>
          <w:sz w:val="22"/>
        </w:rPr>
        <w:t>: sem renomear ou retirar arquivos de dentro dele.</w:t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Passo a passo para pedir uma peça jurídica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1. </w:t>
      </w:r>
      <w:r>
        <w:rPr>
          <w:rFonts w:ascii="Arial" w:hAnsi="Arial"/>
          <w:b/>
          <w:sz w:val="22"/>
        </w:rPr>
        <w:t>Aguarde a organização terminar</w:t>
      </w:r>
      <w:r>
        <w:rPr>
          <w:rFonts w:ascii="Arial" w:hAnsi="Arial"/>
          <w:sz w:val="22"/>
        </w:rPr>
        <w:t>: e leia o resumo, a cronologia e as pendências.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2. </w:t>
      </w:r>
      <w:r>
        <w:rPr>
          <w:rFonts w:ascii="Arial" w:hAnsi="Arial"/>
          <w:b/>
          <w:sz w:val="22"/>
        </w:rPr>
        <w:t>Informe o objetivo</w:t>
      </w:r>
      <w:r>
        <w:rPr>
          <w:rFonts w:ascii="Arial" w:hAnsi="Arial"/>
          <w:sz w:val="22"/>
        </w:rPr>
        <w:t>: por exemplo, petição inicial, contestação, réplica, acordo ou recurso.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3. </w:t>
      </w:r>
      <w:r>
        <w:rPr>
          <w:rFonts w:ascii="Arial" w:hAnsi="Arial"/>
          <w:b/>
          <w:sz w:val="22"/>
        </w:rPr>
        <w:t>Informe prazo, audiência ou urgência</w:t>
      </w:r>
      <w:r>
        <w:rPr>
          <w:rFonts w:ascii="Arial" w:hAnsi="Arial"/>
          <w:sz w:val="22"/>
        </w:rPr>
        <w:t>: se houver.</w:t>
      </w:r>
    </w:p>
    <w:p>
      <w:pPr>
        <w:spacing w:before="80" w:after="100" w:line="276" w:lineRule="auto"/>
      </w:pPr>
      <w:r>
        <w:rPr>
          <w:rFonts w:ascii="Arial" w:hAnsi="Arial"/>
          <w:b/>
          <w:sz w:val="22"/>
        </w:rPr>
        <w:t xml:space="preserve">4. </w:t>
      </w:r>
      <w:r>
        <w:rPr>
          <w:rFonts w:ascii="Arial" w:hAnsi="Arial"/>
          <w:b/>
          <w:sz w:val="22"/>
        </w:rPr>
        <w:t>Peça a produção em Word</w:t>
      </w:r>
      <w:r>
        <w:rPr>
          <w:rFonts w:ascii="Arial" w:hAnsi="Arial"/>
          <w:sz w:val="22"/>
        </w:rPr>
        <w:t>: usando o caso já organizado.</w:t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Frase para pedir uma peça</w:t>
      </w:r>
    </w:p>
    <w:p>
      <w:pPr>
        <w:spacing w:before="40" w:after="140" w:line="264" w:lineRule="auto"/>
        <w:ind w:left="312" w:right="312"/>
      </w:pPr>
      <w:r>
        <w:rPr>
          <w:rFonts w:ascii="Courier New" w:hAnsi="Courier New"/>
          <w:color w:val="000000"/>
          <w:sz w:val="21"/>
        </w:rPr>
        <w:t>Analise o caso organizado e produza a peça jurídica adequada em Word. Não invente informações. Antes de concluir, liste as pendências que dependem de confirmação da advogada.</w:t>
      </w:r>
    </w:p>
    <w:p>
      <w:r>
        <w:br w:type="page"/>
      </w:r>
    </w:p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O que a IA faz e o que a advogada confere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43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D9C9BA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000000"/>
                <w:sz w:val="21"/>
              </w:rPr>
              <w:t>A IA prepara</w:t>
            </w:r>
          </w:p>
        </w:tc>
        <w:tc>
          <w:tcPr>
            <w:tcW w:type="dxa" w:w="43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D9C9BA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000000"/>
                <w:sz w:val="21"/>
              </w:rPr>
              <w:t>A advogada confere</w:t>
            </w:r>
          </w:p>
        </w:tc>
      </w:tr>
      <w:tr>
        <w:tc>
          <w:tcPr>
            <w:tcW w:type="dxa" w:w="43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Organização, índices, transcrições e cronologia.</w:t>
            </w:r>
          </w:p>
        </w:tc>
        <w:tc>
          <w:tcPr>
            <w:tcW w:type="dxa" w:w="43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Se todos os documentos importantes foram recebidos.</w:t>
            </w:r>
          </w:p>
        </w:tc>
      </w:tr>
      <w:tr>
        <w:tc>
          <w:tcPr>
            <w:tcW w:type="dxa" w:w="43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7F3F0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Rascunho da peça, estrutura, formatação e relação entre fatos e provas.</w:t>
            </w:r>
          </w:p>
        </w:tc>
        <w:tc>
          <w:tcPr>
            <w:tcW w:type="dxa" w:w="43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7F3F0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Estratégia, fatos, pedidos, valores, prazos e documentos anexados.</w:t>
            </w:r>
          </w:p>
        </w:tc>
      </w:tr>
      <w:tr>
        <w:tc>
          <w:tcPr>
            <w:tcW w:type="dxa" w:w="43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Uso de uma cópia do papel timbrado oficial e revisão visual do Word.</w:t>
            </w:r>
          </w:p>
        </w:tc>
        <w:tc>
          <w:tcPr>
            <w:tcW w:type="dxa" w:w="4337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color w:val="000000"/>
                <w:sz w:val="21"/>
              </w:rPr>
              <w:t>Versão final antes de assinar ou protocolar.</w:t>
            </w:r>
          </w:p>
        </w:tc>
      </w:tr>
    </w:tbl>
    <w:p>
      <w:pPr>
        <w:keepNext/>
        <w:spacing w:before="280" w:after="120"/>
      </w:pPr>
      <w:r>
        <w:rPr>
          <w:rFonts w:ascii="Arial" w:hAnsi="Arial"/>
          <w:b/>
          <w:color w:val="000000"/>
          <w:sz w:val="28"/>
        </w:rPr>
        <w:t>Regra de sigilo</w:t>
      </w:r>
    </w:p>
    <w:p>
      <w:pPr>
        <w:spacing w:before="0" w:after="0" w:line="276" w:lineRule="auto"/>
      </w:pPr>
      <w:r>
        <w:rPr>
          <w:rFonts w:ascii="Arial" w:hAnsi="Arial"/>
          <w:b/>
          <w:i w:val="0"/>
          <w:color w:val="000000"/>
          <w:sz w:val="22"/>
        </w:rPr>
        <w:t>O GitHub guarda somente o manual, as instruções e os modelos vazios. Processos, conversas, provas, documentos pessoais e dados de clientes ficam exclusivamente na pasta de cada caso.</w:t>
      </w:r>
    </w:p>
    <w:sectPr w:rsidR="009436D6" w:rsidRPr="00034953" w:rsidSect="00034616">
      <w:headerReference w:type="default" r:id="rId8"/>
      <w:pgSz w:w="11906" w:h="16838"/>
      <w:pgMar w:top="2268" w:right="1134" w:bottom="1701" w:left="1701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D6F49" w14:textId="77777777" w:rsidR="00ED2B1E" w:rsidRDefault="00ED2B1E">
      <w:pPr>
        <w:spacing w:after="0" w:line="240" w:lineRule="auto"/>
      </w:pPr>
      <w:r>
        <w:separator/>
      </w:r>
    </w:p>
  </w:endnote>
  <w:endnote w:type="continuationSeparator" w:id="0">
    <w:p w14:paraId="2D5B0C4D" w14:textId="77777777" w:rsidR="00ED2B1E" w:rsidRDefault="00ED2B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80943" w14:textId="77777777" w:rsidR="00ED2B1E" w:rsidRDefault="00ED2B1E">
      <w:pPr>
        <w:spacing w:after="0" w:line="240" w:lineRule="auto"/>
      </w:pPr>
      <w:r>
        <w:separator/>
      </w:r>
    </w:p>
  </w:footnote>
  <w:footnote w:type="continuationSeparator" w:id="0">
    <w:p w14:paraId="2C2A2333" w14:textId="77777777" w:rsidR="00ED2B1E" w:rsidRDefault="00ED2B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F223E" w14:textId="77777777" w:rsidR="009436D6" w:rsidRDefault="008F2D99">
    <w:pPr>
      <w:pStyle w:val="Cabealho"/>
      <w:jc w:val="left"/>
    </w:pPr>
    <w:r>
      <w:rPr>
        <w:noProof/>
      </w:rPr>
      <w:drawing>
        <wp:anchor distT="0" distB="0" distL="0" distR="0" simplePos="0" relativeHeight="251658240" behindDoc="1" locked="0" layoutInCell="1" allowOverlap="1" wp14:anchorId="706B603A" wp14:editId="1DB341AD">
          <wp:simplePos x="0" y="0"/>
          <wp:positionH relativeFrom="page">
            <wp:posOffset>0</wp:posOffset>
          </wp:positionH>
          <wp:positionV relativeFrom="page">
            <wp:posOffset>6350</wp:posOffset>
          </wp:positionV>
          <wp:extent cx="7559999" cy="10683022"/>
          <wp:effectExtent l="0" t="0" r="3175" b="4445"/>
          <wp:wrapNone/>
          <wp:docPr id="1" name="Picture 1" descr="Marca Sousa Araújo Advocacia, Dra. Lidiane Sousa Araújo e contatos do escritóri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999" cy="10683022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FC04ACC"/>
    <w:multiLevelType w:val="singleLevel"/>
    <w:tmpl w:val="641E5218"/>
    <w:lvl w:ilvl="0">
      <w:start w:val="1"/>
      <w:numFmt w:val="decimal"/>
      <w:pStyle w:val="Commarcadores"/>
      <w:lvlText w:val="%1."/>
      <w:lvlJc w:val="left"/>
      <w:pPr>
        <w:tabs>
          <w:tab w:val="num" w:pos="720"/>
        </w:tabs>
        <w:spacing w:after="120" w:line="360" w:lineRule="auto"/>
        <w:ind w:left="720" w:hanging="360"/>
      </w:pPr>
    </w:lvl>
  </w:abstractNum>
  <w:num w:numId="1" w16cid:durableId="167557238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4953"/>
    <w:rsid w:val="0006063C"/>
    <w:rsid w:val="0015074B"/>
    <w:rsid w:val="0029639D"/>
    <w:rsid w:val="00326F90"/>
    <w:rsid w:val="0079467A"/>
    <w:rsid w:val="008F2D99"/>
    <w:rsid w:val="009436D6"/>
    <w:rsid w:val="009C4423"/>
    <w:rsid w:val="00A14794"/>
    <w:rsid w:val="00AA1D8D"/>
    <w:rsid w:val="00B47730"/>
    <w:rsid w:val="00CB0664"/>
    <w:rsid w:val="00ED2B1E"/>
    <w:rsid w:val="00F675D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8DF1C156-2F84-4369-BB2B-7003F138C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  <w:jc w:val="both"/>
    </w:pPr>
    <w:rPr>
      <w:rFonts w:ascii="Arial" w:hAnsi="Arial"/>
      <w:color w:val="000000"/>
      <w:sz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80" w:after="140" w:line="276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20" w:after="100" w:line="276" w:lineRule="auto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Fluxo Jurídico</dc:title>
  <dc:subject>Uso do fluxo de organização de casos e criação de peças jurídicas</dc:subject>
  <dc:creator>Sousa Araújo Advocacia</dc:creator>
  <cp:keywords>consumidor; marketplace; Mercado Livre; aliança; devolução; oferta</cp:keywords>
  <dc:description>generated by python-docx</dc:description>
  <cp:lastModifiedBy>Tiago Mix7</cp:lastModifiedBy>
  <cp:revision>4</cp:revision>
  <dcterms:created xsi:type="dcterms:W3CDTF">2026-09-02T01:58:00Z</dcterms:created>
  <dcterms:modified xsi:type="dcterms:W3CDTF">2026-09-02T02:11:00Z</dcterms:modified>
  <cp:category/>
</cp:coreProperties>
</file>