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9D" w:rsidRPr="00FE630C" w:rsidRDefault="00D74A1D" w:rsidP="00261A9F">
      <w:pPr>
        <w:jc w:val="both"/>
        <w:rPr>
          <w:lang w:val="es-MX"/>
        </w:rPr>
      </w:pPr>
      <w:r w:rsidRPr="00FE630C">
        <w:rPr>
          <w:lang w:val="es-MX"/>
        </w:rPr>
        <w:t xml:space="preserve">CONTENIDO </w:t>
      </w:r>
      <w:r w:rsidR="00FE515A">
        <w:rPr>
          <w:lang w:val="es-MX"/>
        </w:rPr>
        <w:t>5</w:t>
      </w:r>
      <w:r w:rsidR="00435C8A">
        <w:rPr>
          <w:lang w:val="es-MX"/>
        </w:rPr>
        <w:t>to</w:t>
      </w:r>
      <w:r w:rsidR="009F3D9D" w:rsidRPr="00FE630C">
        <w:rPr>
          <w:lang w:val="es-MX"/>
        </w:rPr>
        <w:t xml:space="preserve"> </w:t>
      </w:r>
      <w:r w:rsidRPr="00FE630C">
        <w:rPr>
          <w:lang w:val="es-MX"/>
        </w:rPr>
        <w:t>UPDATE</w:t>
      </w:r>
    </w:p>
    <w:p w:rsidR="00EF503F" w:rsidRPr="00FE630C" w:rsidRDefault="00EF503F" w:rsidP="00261A9F">
      <w:pPr>
        <w:jc w:val="both"/>
        <w:rPr>
          <w:lang w:val="es-MX"/>
        </w:rPr>
      </w:pPr>
    </w:p>
    <w:p w:rsidR="009E15E7" w:rsidRDefault="00435C8A" w:rsidP="00261A9F">
      <w:pPr>
        <w:jc w:val="both"/>
        <w:rPr>
          <w:lang w:val="es-MX"/>
        </w:rPr>
      </w:pPr>
      <w:r>
        <w:rPr>
          <w:lang w:val="es-MX"/>
        </w:rPr>
        <w:t>0</w:t>
      </w:r>
      <w:r w:rsidR="00FE515A">
        <w:rPr>
          <w:lang w:val="es-MX"/>
        </w:rPr>
        <w:t>6</w:t>
      </w:r>
      <w:r w:rsidR="009F3D9D" w:rsidRPr="00FE630C">
        <w:rPr>
          <w:lang w:val="es-MX"/>
        </w:rPr>
        <w:t xml:space="preserve"> DE </w:t>
      </w:r>
      <w:r w:rsidR="00FE515A">
        <w:rPr>
          <w:lang w:val="es-MX"/>
        </w:rPr>
        <w:t>MARZO</w:t>
      </w:r>
      <w:r w:rsidR="009F3D9D" w:rsidRPr="00FE630C">
        <w:rPr>
          <w:lang w:val="es-MX"/>
        </w:rPr>
        <w:t xml:space="preserve"> 2014</w:t>
      </w:r>
    </w:p>
    <w:p w:rsidR="009F3D9D" w:rsidRPr="00FE630C" w:rsidRDefault="00EE331D" w:rsidP="00261A9F">
      <w:pPr>
        <w:jc w:val="both"/>
        <w:rPr>
          <w:b/>
          <w:bCs/>
          <w:lang w:val="es-MX"/>
        </w:rPr>
      </w:pPr>
      <w:r w:rsidRPr="00FE630C">
        <w:rPr>
          <w:bCs/>
          <w:lang w:val="es-MX"/>
        </w:rPr>
        <w:t xml:space="preserve"> </w:t>
      </w:r>
      <w:r w:rsidR="00B60123" w:rsidRPr="00FE630C">
        <w:rPr>
          <w:bCs/>
          <w:lang w:val="es-MX"/>
        </w:rPr>
        <w:t>(SECCIÓN FIJA</w:t>
      </w:r>
      <w:r w:rsidR="009F3D9D" w:rsidRPr="00FE630C">
        <w:rPr>
          <w:bCs/>
          <w:lang w:val="es-MX"/>
        </w:rPr>
        <w:t>)</w:t>
      </w:r>
      <w:r w:rsidR="009F3D9D" w:rsidRPr="00FE630C">
        <w:rPr>
          <w:b/>
          <w:bCs/>
          <w:lang w:val="es-MX"/>
        </w:rPr>
        <w:t xml:space="preserve"> </w:t>
      </w:r>
    </w:p>
    <w:p w:rsidR="00A06E01" w:rsidRDefault="00A06E01" w:rsidP="00261A9F">
      <w:pPr>
        <w:ind w:right="49"/>
        <w:contextualSpacing/>
        <w:jc w:val="both"/>
        <w:rPr>
          <w:bCs/>
          <w:lang w:val="es-MX"/>
        </w:rPr>
      </w:pPr>
    </w:p>
    <w:p w:rsidR="00B44B92" w:rsidRDefault="006F0F9A" w:rsidP="00261A9F">
      <w:pPr>
        <w:ind w:right="49"/>
        <w:jc w:val="both"/>
        <w:rPr>
          <w:bCs/>
          <w:lang w:val="es-MX"/>
        </w:rPr>
      </w:pPr>
      <w:r>
        <w:rPr>
          <w:bCs/>
          <w:lang w:val="es-MX"/>
        </w:rPr>
        <w:t xml:space="preserve">Inicia el tercer mes del año </w:t>
      </w:r>
      <w:r w:rsidR="001618AD">
        <w:rPr>
          <w:bCs/>
          <w:lang w:val="es-MX"/>
        </w:rPr>
        <w:t xml:space="preserve">con una tendencia creciente en el fortalecimiento </w:t>
      </w:r>
      <w:r w:rsidR="00071F1E">
        <w:rPr>
          <w:bCs/>
          <w:lang w:val="es-MX"/>
        </w:rPr>
        <w:t>de</w:t>
      </w:r>
      <w:r w:rsidR="00B44B92">
        <w:rPr>
          <w:bCs/>
          <w:lang w:val="es-MX"/>
        </w:rPr>
        <w:t xml:space="preserve">  políticas públicas restrictivas</w:t>
      </w:r>
      <w:r w:rsidR="00126C48">
        <w:rPr>
          <w:bCs/>
          <w:lang w:val="es-MX"/>
        </w:rPr>
        <w:t xml:space="preserve"> en la región</w:t>
      </w:r>
      <w:r>
        <w:rPr>
          <w:bCs/>
          <w:lang w:val="es-MX"/>
        </w:rPr>
        <w:t>.</w:t>
      </w:r>
      <w:r w:rsidR="00126C48">
        <w:rPr>
          <w:bCs/>
          <w:lang w:val="es-MX"/>
        </w:rPr>
        <w:t xml:space="preserve"> Es momento de multiplicar los esfuerzos para equilibrar el debate público y construir una opinión </w:t>
      </w:r>
      <w:r w:rsidR="003E28ED">
        <w:rPr>
          <w:bCs/>
          <w:lang w:val="es-MX"/>
        </w:rPr>
        <w:t xml:space="preserve">balanceada </w:t>
      </w:r>
      <w:r w:rsidR="001618AD">
        <w:rPr>
          <w:bCs/>
          <w:lang w:val="es-MX"/>
        </w:rPr>
        <w:t xml:space="preserve">que blinde la reputación de nuestra Compañía y </w:t>
      </w:r>
      <w:r w:rsidR="003E28ED">
        <w:rPr>
          <w:bCs/>
          <w:lang w:val="es-MX"/>
        </w:rPr>
        <w:t xml:space="preserve">de </w:t>
      </w:r>
      <w:r w:rsidR="00126C48">
        <w:rPr>
          <w:bCs/>
          <w:lang w:val="es-MX"/>
        </w:rPr>
        <w:t>la categoría</w:t>
      </w:r>
      <w:r w:rsidR="00CB4C38">
        <w:rPr>
          <w:bCs/>
          <w:lang w:val="es-MX"/>
        </w:rPr>
        <w:t xml:space="preserve">, </w:t>
      </w:r>
      <w:r w:rsidR="001618AD">
        <w:rPr>
          <w:bCs/>
          <w:lang w:val="es-MX"/>
        </w:rPr>
        <w:t xml:space="preserve">con base </w:t>
      </w:r>
      <w:r w:rsidR="00CB4C38">
        <w:rPr>
          <w:bCs/>
          <w:lang w:val="es-MX"/>
        </w:rPr>
        <w:t>en evidencia científica</w:t>
      </w:r>
      <w:r w:rsidR="001618AD">
        <w:rPr>
          <w:bCs/>
          <w:lang w:val="es-MX"/>
        </w:rPr>
        <w:t xml:space="preserve"> q</w:t>
      </w:r>
      <w:r w:rsidR="00CB4C38">
        <w:rPr>
          <w:bCs/>
          <w:lang w:val="es-MX"/>
        </w:rPr>
        <w:t>ue dé fuerza a nuestra argumentación</w:t>
      </w:r>
      <w:r w:rsidR="00126C48">
        <w:rPr>
          <w:bCs/>
          <w:lang w:val="es-MX"/>
        </w:rPr>
        <w:t>.</w:t>
      </w:r>
      <w:r>
        <w:rPr>
          <w:bCs/>
          <w:lang w:val="es-MX"/>
        </w:rPr>
        <w:t xml:space="preserve"> </w:t>
      </w:r>
    </w:p>
    <w:p w:rsidR="00D336D6" w:rsidRPr="00D336D6" w:rsidRDefault="00E33971" w:rsidP="00D336D6">
      <w:pPr>
        <w:spacing w:after="0"/>
        <w:jc w:val="both"/>
        <w:rPr>
          <w:szCs w:val="24"/>
          <w:lang w:val="es-MX"/>
        </w:rPr>
      </w:pPr>
      <w:r w:rsidRPr="00D336D6">
        <w:rPr>
          <w:bCs/>
          <w:lang w:val="es-MX"/>
        </w:rPr>
        <w:t xml:space="preserve">La Organización Mundial de Salud </w:t>
      </w:r>
      <w:r w:rsidR="001F74C6">
        <w:rPr>
          <w:bCs/>
          <w:lang w:val="es-MX"/>
        </w:rPr>
        <w:t xml:space="preserve"> </w:t>
      </w:r>
      <w:r w:rsidRPr="00D336D6">
        <w:rPr>
          <w:bCs/>
          <w:lang w:val="es-MX"/>
        </w:rPr>
        <w:t>inició una Consulta Pública internacional para actualizar su recomendación respecto a la ingesta diaria del consumo de azúcar y  bajarla de 10 a 5% por adulto, es decir el equivalente a 30 gramos.</w:t>
      </w:r>
      <w:r w:rsidR="00D336D6" w:rsidRPr="00D336D6">
        <w:rPr>
          <w:bCs/>
          <w:lang w:val="es-MX"/>
        </w:rPr>
        <w:t xml:space="preserve"> </w:t>
      </w:r>
      <w:r w:rsidR="00D336D6" w:rsidRPr="00D336D6">
        <w:rPr>
          <w:szCs w:val="24"/>
          <w:lang w:val="es-MX"/>
        </w:rPr>
        <w:t xml:space="preserve">Autoridades de todos los niveles, así como funcionarios de organismos multilaterales podrían ser sensibles a esta consulta, opinar o generar propuestas regulatorias </w:t>
      </w:r>
      <w:r w:rsidR="00A06DA0">
        <w:rPr>
          <w:szCs w:val="24"/>
          <w:lang w:val="es-MX"/>
        </w:rPr>
        <w:t xml:space="preserve">provocando </w:t>
      </w:r>
      <w:r w:rsidR="001F74C6">
        <w:rPr>
          <w:szCs w:val="24"/>
          <w:lang w:val="es-MX"/>
        </w:rPr>
        <w:t>un cambio desfavorable para nuestra categoría. Reforzar l</w:t>
      </w:r>
      <w:r w:rsidR="00A06DA0">
        <w:rPr>
          <w:szCs w:val="24"/>
          <w:lang w:val="es-MX"/>
        </w:rPr>
        <w:t xml:space="preserve">as acciones de </w:t>
      </w:r>
      <w:r w:rsidR="001F74C6">
        <w:rPr>
          <w:szCs w:val="24"/>
          <w:lang w:val="es-MX"/>
        </w:rPr>
        <w:t>nuestra Campaña, adelantarnos a nuestros críticos</w:t>
      </w:r>
      <w:r w:rsidR="00A06DA0">
        <w:rPr>
          <w:szCs w:val="24"/>
          <w:lang w:val="es-MX"/>
        </w:rPr>
        <w:t>,</w:t>
      </w:r>
      <w:r w:rsidR="001F74C6">
        <w:rPr>
          <w:szCs w:val="24"/>
          <w:lang w:val="es-MX"/>
        </w:rPr>
        <w:t xml:space="preserve"> </w:t>
      </w:r>
      <w:r w:rsidR="00A06DA0">
        <w:rPr>
          <w:szCs w:val="24"/>
          <w:lang w:val="es-MX"/>
        </w:rPr>
        <w:t xml:space="preserve">tener un monitoreo puntual </w:t>
      </w:r>
      <w:r w:rsidR="001F74C6">
        <w:rPr>
          <w:szCs w:val="24"/>
          <w:lang w:val="es-MX"/>
        </w:rPr>
        <w:t xml:space="preserve">será fundamental para incidir en el debate. </w:t>
      </w:r>
    </w:p>
    <w:p w:rsidR="002D6769" w:rsidRPr="00A06DA0" w:rsidRDefault="002D6769" w:rsidP="002D6769">
      <w:pPr>
        <w:shd w:val="clear" w:color="auto" w:fill="FFFFFF"/>
        <w:spacing w:before="100" w:beforeAutospacing="1" w:after="100" w:afterAutospacing="1"/>
        <w:jc w:val="both"/>
        <w:rPr>
          <w:rFonts w:eastAsia="Times New Roman" w:cs="Arial"/>
          <w:szCs w:val="24"/>
          <w:lang w:val="es-MX" w:eastAsia="es-MX"/>
        </w:rPr>
      </w:pPr>
      <w:r>
        <w:rPr>
          <w:rFonts w:eastAsia="Times New Roman" w:cs="Arial"/>
          <w:szCs w:val="24"/>
          <w:lang w:val="es-MX" w:eastAsia="es-MX"/>
        </w:rPr>
        <w:t>En la región se han registrado 42 impactos. Si bien la información todavía no es relevant</w:t>
      </w:r>
      <w:r w:rsidR="008B3C08">
        <w:rPr>
          <w:rFonts w:eastAsia="Times New Roman" w:cs="Arial"/>
          <w:szCs w:val="24"/>
          <w:lang w:val="es-MX" w:eastAsia="es-MX"/>
        </w:rPr>
        <w:t xml:space="preserve">e, podría crecer en los próximos días, sobre todo cuando se acerca la fecha del término de la consulta. </w:t>
      </w:r>
      <w:r>
        <w:rPr>
          <w:rFonts w:eastAsia="Times New Roman" w:cs="Arial"/>
          <w:szCs w:val="24"/>
          <w:lang w:val="es-MX" w:eastAsia="es-MX"/>
        </w:rPr>
        <w:t xml:space="preserve"> </w:t>
      </w:r>
    </w:p>
    <w:p w:rsidR="00FD1D1F" w:rsidRDefault="00B44B92" w:rsidP="00261A9F">
      <w:pPr>
        <w:ind w:right="49"/>
        <w:jc w:val="both"/>
        <w:rPr>
          <w:bCs/>
          <w:lang w:val="es-MX"/>
        </w:rPr>
      </w:pPr>
      <w:r>
        <w:rPr>
          <w:bCs/>
          <w:lang w:val="es-MX"/>
        </w:rPr>
        <w:t xml:space="preserve">El 15 de marzo </w:t>
      </w:r>
      <w:r w:rsidR="006F0F9A">
        <w:rPr>
          <w:bCs/>
          <w:lang w:val="es-MX"/>
        </w:rPr>
        <w:t>t</w:t>
      </w:r>
      <w:r w:rsidR="00E17CBD">
        <w:rPr>
          <w:bCs/>
          <w:lang w:val="es-MX"/>
        </w:rPr>
        <w:t>enemos una efeméride importante</w:t>
      </w:r>
      <w:r w:rsidR="006F0F9A">
        <w:rPr>
          <w:bCs/>
          <w:lang w:val="es-MX"/>
        </w:rPr>
        <w:t xml:space="preserve">: </w:t>
      </w:r>
      <w:r w:rsidR="00E17CBD">
        <w:rPr>
          <w:bCs/>
          <w:lang w:val="es-MX"/>
        </w:rPr>
        <w:t>la celebración del Día Mundial de</w:t>
      </w:r>
      <w:r w:rsidR="00126C48">
        <w:rPr>
          <w:bCs/>
          <w:lang w:val="es-MX"/>
        </w:rPr>
        <w:t xml:space="preserve"> los Derechos del Consumidor</w:t>
      </w:r>
      <w:r w:rsidR="00E17CBD">
        <w:rPr>
          <w:bCs/>
          <w:lang w:val="es-MX"/>
        </w:rPr>
        <w:t>,</w:t>
      </w:r>
      <w:r w:rsidR="00126C48">
        <w:rPr>
          <w:bCs/>
          <w:lang w:val="es-MX"/>
        </w:rPr>
        <w:t xml:space="preserve"> que en algunos países </w:t>
      </w:r>
      <w:r w:rsidR="00223B98">
        <w:rPr>
          <w:bCs/>
          <w:lang w:val="es-MX"/>
        </w:rPr>
        <w:t>--</w:t>
      </w:r>
      <w:r w:rsidR="00126C48">
        <w:rPr>
          <w:bCs/>
          <w:lang w:val="es-MX"/>
        </w:rPr>
        <w:t>como en Brasil</w:t>
      </w:r>
      <w:r w:rsidR="00071F1E">
        <w:rPr>
          <w:bCs/>
          <w:lang w:val="es-MX"/>
        </w:rPr>
        <w:t xml:space="preserve"> y México</w:t>
      </w:r>
      <w:r w:rsidR="00223B98">
        <w:rPr>
          <w:bCs/>
          <w:lang w:val="es-MX"/>
        </w:rPr>
        <w:t>--</w:t>
      </w:r>
      <w:r w:rsidR="00FD1D1F">
        <w:rPr>
          <w:bCs/>
          <w:lang w:val="es-MX"/>
        </w:rPr>
        <w:t xml:space="preserve"> ha adquirido gran fuerza. </w:t>
      </w:r>
    </w:p>
    <w:p w:rsidR="006F0F9A" w:rsidRDefault="00FD1D1F" w:rsidP="00261A9F">
      <w:pPr>
        <w:ind w:right="49"/>
        <w:jc w:val="both"/>
        <w:rPr>
          <w:bCs/>
          <w:lang w:val="es-MX"/>
        </w:rPr>
      </w:pPr>
      <w:r>
        <w:rPr>
          <w:bCs/>
          <w:lang w:val="es-MX"/>
        </w:rPr>
        <w:t>S</w:t>
      </w:r>
      <w:r w:rsidR="00126C48">
        <w:rPr>
          <w:bCs/>
          <w:lang w:val="es-MX"/>
        </w:rPr>
        <w:t>e esperan diferentes manifestaciones organizadas, en muchos casos, por nuestros críticos</w:t>
      </w:r>
      <w:r>
        <w:rPr>
          <w:bCs/>
          <w:lang w:val="es-MX"/>
        </w:rPr>
        <w:t>. Éstos</w:t>
      </w:r>
      <w:r w:rsidR="00126C48">
        <w:rPr>
          <w:bCs/>
          <w:lang w:val="es-MX"/>
        </w:rPr>
        <w:t xml:space="preserve"> </w:t>
      </w:r>
      <w:r w:rsidR="008A14A4">
        <w:rPr>
          <w:bCs/>
          <w:lang w:val="es-MX"/>
        </w:rPr>
        <w:t xml:space="preserve">usualmente logran importante presencia </w:t>
      </w:r>
      <w:r w:rsidR="00126C48">
        <w:rPr>
          <w:bCs/>
          <w:lang w:val="es-MX"/>
        </w:rPr>
        <w:t>de la agenda de la jornada</w:t>
      </w:r>
      <w:r w:rsidR="003E28ED">
        <w:rPr>
          <w:bCs/>
          <w:lang w:val="es-MX"/>
        </w:rPr>
        <w:t xml:space="preserve">, </w:t>
      </w:r>
      <w:r w:rsidR="008A14A4">
        <w:rPr>
          <w:bCs/>
          <w:lang w:val="es-MX"/>
        </w:rPr>
        <w:t xml:space="preserve">argumentando </w:t>
      </w:r>
      <w:r w:rsidR="003E28ED">
        <w:rPr>
          <w:bCs/>
          <w:lang w:val="es-MX"/>
        </w:rPr>
        <w:t>defender la libre elección del consumidor pero</w:t>
      </w:r>
      <w:r w:rsidR="008A14A4">
        <w:rPr>
          <w:bCs/>
          <w:lang w:val="es-MX"/>
        </w:rPr>
        <w:t xml:space="preserve"> en muchos casos</w:t>
      </w:r>
      <w:r>
        <w:rPr>
          <w:bCs/>
          <w:lang w:val="es-MX"/>
        </w:rPr>
        <w:t>, en otros temas, impulsan la aplicación de</w:t>
      </w:r>
      <w:r w:rsidR="003E28ED">
        <w:rPr>
          <w:bCs/>
          <w:lang w:val="es-MX"/>
        </w:rPr>
        <w:t xml:space="preserve"> políticas públicas restrictivas</w:t>
      </w:r>
      <w:r w:rsidR="00126C48">
        <w:rPr>
          <w:bCs/>
          <w:lang w:val="es-MX"/>
        </w:rPr>
        <w:t xml:space="preserve">. </w:t>
      </w:r>
    </w:p>
    <w:p w:rsidR="006F0F9A" w:rsidRDefault="00126C48" w:rsidP="00261A9F">
      <w:pPr>
        <w:ind w:right="49"/>
        <w:jc w:val="both"/>
        <w:rPr>
          <w:bCs/>
          <w:lang w:val="es-MX"/>
        </w:rPr>
      </w:pPr>
      <w:r>
        <w:rPr>
          <w:bCs/>
          <w:lang w:val="es-MX"/>
        </w:rPr>
        <w:t xml:space="preserve">Para </w:t>
      </w:r>
      <w:r w:rsidR="003E28ED">
        <w:rPr>
          <w:bCs/>
          <w:lang w:val="es-MX"/>
        </w:rPr>
        <w:t xml:space="preserve">dar seguimiento a las acciones de </w:t>
      </w:r>
      <w:r w:rsidR="00FD1D1F" w:rsidRPr="00FE630C">
        <w:rPr>
          <w:bCs/>
          <w:lang w:val="es-ES"/>
        </w:rPr>
        <w:t xml:space="preserve">la </w:t>
      </w:r>
      <w:r w:rsidR="00FD1D1F" w:rsidRPr="00FE630C">
        <w:rPr>
          <w:bCs/>
          <w:lang w:val="es-MX"/>
        </w:rPr>
        <w:t>Campaña 360° de Category Leadership para América Latina</w:t>
      </w:r>
      <w:r w:rsidR="003E28ED">
        <w:rPr>
          <w:bCs/>
          <w:lang w:val="es-MX"/>
        </w:rPr>
        <w:t xml:space="preserve">, </w:t>
      </w:r>
      <w:r w:rsidR="00FD1D1F">
        <w:rPr>
          <w:bCs/>
          <w:lang w:val="es-MX"/>
        </w:rPr>
        <w:t xml:space="preserve">la efeméride </w:t>
      </w:r>
      <w:r>
        <w:rPr>
          <w:bCs/>
          <w:lang w:val="es-MX"/>
        </w:rPr>
        <w:t xml:space="preserve">es una oportunidad </w:t>
      </w:r>
      <w:r w:rsidR="00FD1D1F">
        <w:rPr>
          <w:bCs/>
          <w:lang w:val="es-MX"/>
        </w:rPr>
        <w:t xml:space="preserve">para </w:t>
      </w:r>
      <w:r>
        <w:rPr>
          <w:bCs/>
          <w:lang w:val="es-MX"/>
        </w:rPr>
        <w:t>posicionar</w:t>
      </w:r>
      <w:r w:rsidR="003E28ED">
        <w:rPr>
          <w:bCs/>
          <w:lang w:val="es-MX"/>
        </w:rPr>
        <w:t xml:space="preserve"> </w:t>
      </w:r>
      <w:r w:rsidR="00FD1D1F">
        <w:rPr>
          <w:bCs/>
          <w:lang w:val="es-MX"/>
        </w:rPr>
        <w:t>la discusión respecto al</w:t>
      </w:r>
      <w:r>
        <w:rPr>
          <w:bCs/>
          <w:lang w:val="es-MX"/>
        </w:rPr>
        <w:t xml:space="preserve"> </w:t>
      </w:r>
      <w:r w:rsidR="00FD1D1F">
        <w:rPr>
          <w:bCs/>
          <w:lang w:val="es-MX"/>
        </w:rPr>
        <w:t>“</w:t>
      </w:r>
      <w:r>
        <w:rPr>
          <w:bCs/>
          <w:lang w:val="es-MX"/>
        </w:rPr>
        <w:t>empoderamiento del consumidor</w:t>
      </w:r>
      <w:r w:rsidR="00FD1D1F">
        <w:rPr>
          <w:bCs/>
          <w:lang w:val="es-MX"/>
        </w:rPr>
        <w:t>”,</w:t>
      </w:r>
      <w:r>
        <w:rPr>
          <w:bCs/>
          <w:lang w:val="es-MX"/>
        </w:rPr>
        <w:t xml:space="preserve"> a través de ejercer su derecho de libre elección</w:t>
      </w:r>
      <w:r w:rsidR="00223B98">
        <w:rPr>
          <w:bCs/>
          <w:lang w:val="es-MX"/>
        </w:rPr>
        <w:t xml:space="preserve"> con base a </w:t>
      </w:r>
      <w:r>
        <w:rPr>
          <w:bCs/>
          <w:lang w:val="es-MX"/>
        </w:rPr>
        <w:t>estar informado.</w:t>
      </w:r>
      <w:r w:rsidR="003E28ED">
        <w:rPr>
          <w:bCs/>
          <w:lang w:val="es-MX"/>
        </w:rPr>
        <w:t xml:space="preserve"> La premisa </w:t>
      </w:r>
      <w:r w:rsidR="00FD1D1F">
        <w:rPr>
          <w:bCs/>
          <w:lang w:val="es-MX"/>
        </w:rPr>
        <w:t xml:space="preserve"> para nosotros </w:t>
      </w:r>
      <w:r w:rsidR="003E28ED">
        <w:rPr>
          <w:bCs/>
          <w:lang w:val="es-MX"/>
        </w:rPr>
        <w:t xml:space="preserve">es </w:t>
      </w:r>
      <w:r w:rsidR="003E28ED" w:rsidRPr="00FD1D1F">
        <w:rPr>
          <w:bCs/>
          <w:i/>
          <w:lang w:val="es-MX"/>
        </w:rPr>
        <w:t>información antes que prohibición</w:t>
      </w:r>
      <w:r w:rsidR="003E28ED">
        <w:rPr>
          <w:bCs/>
          <w:lang w:val="es-MX"/>
        </w:rPr>
        <w:t>.</w:t>
      </w:r>
      <w:r>
        <w:rPr>
          <w:bCs/>
          <w:lang w:val="es-MX"/>
        </w:rPr>
        <w:t xml:space="preserve"> </w:t>
      </w:r>
    </w:p>
    <w:p w:rsidR="001036E8" w:rsidRDefault="00FD1D1F" w:rsidP="00261A9F">
      <w:pPr>
        <w:ind w:right="49"/>
        <w:jc w:val="both"/>
        <w:rPr>
          <w:bCs/>
          <w:lang w:val="es-MX"/>
        </w:rPr>
      </w:pPr>
      <w:r>
        <w:rPr>
          <w:bCs/>
          <w:lang w:val="es-MX"/>
        </w:rPr>
        <w:t>C</w:t>
      </w:r>
      <w:r w:rsidR="00A06E01">
        <w:rPr>
          <w:bCs/>
          <w:lang w:val="es-MX"/>
        </w:rPr>
        <w:t xml:space="preserve">omo ustedes saben, para fortalecer o </w:t>
      </w:r>
      <w:r w:rsidR="008C1F51">
        <w:rPr>
          <w:bCs/>
          <w:lang w:val="es-MX"/>
        </w:rPr>
        <w:t xml:space="preserve">mejorar </w:t>
      </w:r>
      <w:r w:rsidR="00A06E01">
        <w:rPr>
          <w:bCs/>
          <w:lang w:val="es-MX"/>
        </w:rPr>
        <w:t>las acciones emprendidas</w:t>
      </w:r>
      <w:r w:rsidR="004732A5">
        <w:rPr>
          <w:bCs/>
          <w:lang w:val="es-MX"/>
        </w:rPr>
        <w:t xml:space="preserve"> </w:t>
      </w:r>
      <w:r>
        <w:rPr>
          <w:bCs/>
          <w:lang w:val="es-MX"/>
        </w:rPr>
        <w:t xml:space="preserve">como equipo </w:t>
      </w:r>
      <w:r w:rsidR="004732A5">
        <w:rPr>
          <w:bCs/>
          <w:lang w:val="es-MX"/>
        </w:rPr>
        <w:t>es indispensable tener una base sólida</w:t>
      </w:r>
      <w:r>
        <w:rPr>
          <w:bCs/>
          <w:lang w:val="es-MX"/>
        </w:rPr>
        <w:t xml:space="preserve"> y</w:t>
      </w:r>
      <w:r w:rsidR="00344A63">
        <w:rPr>
          <w:bCs/>
          <w:lang w:val="es-MX"/>
        </w:rPr>
        <w:t xml:space="preserve"> contar con sus reportes basado</w:t>
      </w:r>
      <w:r w:rsidR="00A06E01">
        <w:rPr>
          <w:bCs/>
          <w:lang w:val="es-MX"/>
        </w:rPr>
        <w:t xml:space="preserve">s en las métricas que hemos venido trabajando y compartiendo con ustedes. El </w:t>
      </w:r>
      <w:r w:rsidR="00A06E01" w:rsidRPr="00FE630C">
        <w:rPr>
          <w:bCs/>
          <w:lang w:val="es-ES"/>
        </w:rPr>
        <w:t xml:space="preserve">Sistema de Monitoreo  y Evaluación  de </w:t>
      </w:r>
      <w:r>
        <w:rPr>
          <w:bCs/>
          <w:lang w:val="es-ES"/>
        </w:rPr>
        <w:t xml:space="preserve">nuestra </w:t>
      </w:r>
      <w:r w:rsidR="00A06E01" w:rsidRPr="00FE630C">
        <w:rPr>
          <w:bCs/>
          <w:lang w:val="es-MX"/>
        </w:rPr>
        <w:t xml:space="preserve">Campaña </w:t>
      </w:r>
      <w:r w:rsidR="00A06E01">
        <w:rPr>
          <w:bCs/>
          <w:lang w:val="es-MX"/>
        </w:rPr>
        <w:t xml:space="preserve">es un importante instrumento de medición, una brújula, que nos orientará </w:t>
      </w:r>
      <w:r>
        <w:rPr>
          <w:bCs/>
          <w:lang w:val="es-MX"/>
        </w:rPr>
        <w:t>para realizar los ajustes necesarios y alcanzar los objetivos estratégicos</w:t>
      </w:r>
      <w:r w:rsidR="00A06E01">
        <w:rPr>
          <w:bCs/>
          <w:lang w:val="es-MX"/>
        </w:rPr>
        <w:t xml:space="preserve">. </w:t>
      </w:r>
      <w:r w:rsidR="00A06E01" w:rsidRPr="00FE630C">
        <w:rPr>
          <w:bCs/>
          <w:lang w:val="es-MX"/>
        </w:rPr>
        <w:t xml:space="preserve"> </w:t>
      </w:r>
    </w:p>
    <w:p w:rsidR="001036E8" w:rsidRPr="00FE630C" w:rsidRDefault="00344A63" w:rsidP="00261A9F">
      <w:pPr>
        <w:ind w:right="49"/>
        <w:jc w:val="both"/>
        <w:rPr>
          <w:bCs/>
          <w:lang w:val="es-MX"/>
        </w:rPr>
      </w:pPr>
      <w:r>
        <w:rPr>
          <w:bCs/>
          <w:lang w:val="es-MX"/>
        </w:rPr>
        <w:lastRenderedPageBreak/>
        <w:t xml:space="preserve">Asimismo, queremos invitarlos que nos provean de </w:t>
      </w:r>
      <w:r w:rsidR="001036E8">
        <w:rPr>
          <w:bCs/>
          <w:lang w:val="es-MX"/>
        </w:rPr>
        <w:t xml:space="preserve">su retroalimentación respecto a los textos elaborados por el </w:t>
      </w:r>
      <w:r w:rsidR="00FD1D1F" w:rsidRPr="009E15E7">
        <w:rPr>
          <w:rFonts w:cs="Helvetica"/>
          <w:lang w:val="es-MX"/>
        </w:rPr>
        <w:t>Content Creation Hub</w:t>
      </w:r>
      <w:r w:rsidR="001036E8">
        <w:rPr>
          <w:bCs/>
          <w:lang w:val="es-MX"/>
        </w:rPr>
        <w:t xml:space="preserve"> para realizar los ajustes pertinentes</w:t>
      </w:r>
      <w:r>
        <w:rPr>
          <w:bCs/>
          <w:lang w:val="es-MX"/>
        </w:rPr>
        <w:t xml:space="preserve"> y contar con contenidos que funcionen mejor para </w:t>
      </w:r>
      <w:r w:rsidR="008C1F51">
        <w:rPr>
          <w:bCs/>
          <w:lang w:val="es-MX"/>
        </w:rPr>
        <w:t>las circunstancias de cada uno</w:t>
      </w:r>
      <w:r w:rsidR="001036E8">
        <w:rPr>
          <w:bCs/>
          <w:lang w:val="es-MX"/>
        </w:rPr>
        <w:t xml:space="preserve">. </w:t>
      </w:r>
      <w:r w:rsidR="003E28ED">
        <w:rPr>
          <w:bCs/>
          <w:lang w:val="es-MX"/>
        </w:rPr>
        <w:t xml:space="preserve">También estarán para consulta todos aquellos documentos, estudios, papers que durante la última quincena estén relacionados con los temas previstos en nuestra Campaña.  </w:t>
      </w:r>
    </w:p>
    <w:p w:rsidR="00344A63" w:rsidRDefault="00344A63" w:rsidP="00261A9F">
      <w:pPr>
        <w:ind w:right="49"/>
        <w:jc w:val="both"/>
        <w:rPr>
          <w:lang w:val="es-MX"/>
        </w:rPr>
      </w:pPr>
    </w:p>
    <w:p w:rsidR="00FD1D1F" w:rsidRDefault="00FD1D1F" w:rsidP="00261A9F">
      <w:pPr>
        <w:ind w:right="49"/>
        <w:jc w:val="both"/>
        <w:rPr>
          <w:lang w:val="es-MX"/>
        </w:rPr>
      </w:pPr>
    </w:p>
    <w:p w:rsidR="00FD1D1F" w:rsidRDefault="00FD1D1F" w:rsidP="00261A9F">
      <w:pPr>
        <w:ind w:right="49"/>
        <w:jc w:val="both"/>
        <w:rPr>
          <w:lang w:val="es-MX"/>
        </w:rPr>
      </w:pPr>
    </w:p>
    <w:p w:rsidR="00344A63" w:rsidRDefault="00886215" w:rsidP="00261A9F">
      <w:pPr>
        <w:ind w:right="49"/>
        <w:jc w:val="both"/>
        <w:rPr>
          <w:lang w:val="es-MX"/>
        </w:rPr>
      </w:pPr>
      <w:r w:rsidRPr="00621A0C">
        <w:rPr>
          <w:lang w:val="es-MX"/>
        </w:rPr>
        <w:t>(</w:t>
      </w:r>
      <w:r w:rsidR="00377DB4" w:rsidRPr="00621A0C">
        <w:rPr>
          <w:lang w:val="es-MX"/>
        </w:rPr>
        <w:t xml:space="preserve">SECCIÓN FIJA) </w:t>
      </w:r>
    </w:p>
    <w:p w:rsidR="00886215" w:rsidRDefault="00377DB4" w:rsidP="00261A9F">
      <w:pPr>
        <w:ind w:right="49"/>
        <w:jc w:val="both"/>
        <w:rPr>
          <w:lang w:val="es-MX"/>
        </w:rPr>
      </w:pPr>
      <w:r w:rsidRPr="00621A0C">
        <w:rPr>
          <w:b/>
          <w:lang w:val="es-MX"/>
        </w:rPr>
        <w:t>TEMA A POSICIONAR</w:t>
      </w:r>
      <w:r w:rsidRPr="00621A0C">
        <w:rPr>
          <w:lang w:val="es-MX"/>
        </w:rPr>
        <w:t xml:space="preserve"> </w:t>
      </w:r>
    </w:p>
    <w:p w:rsidR="001E40FA" w:rsidRPr="001E40FA" w:rsidRDefault="00A55CF5" w:rsidP="00261A9F">
      <w:pPr>
        <w:ind w:right="49"/>
        <w:jc w:val="both"/>
        <w:rPr>
          <w:b/>
          <w:lang w:val="es-MX"/>
        </w:rPr>
      </w:pPr>
      <w:r w:rsidRPr="00A55CF5">
        <w:rPr>
          <w:b/>
          <w:i/>
          <w:lang w:val="es-MX"/>
        </w:rPr>
        <w:t>E</w:t>
      </w:r>
      <w:r w:rsidR="00FD1D1F" w:rsidRPr="00A55CF5">
        <w:rPr>
          <w:b/>
          <w:i/>
          <w:lang w:val="es-MX"/>
        </w:rPr>
        <w:t>m</w:t>
      </w:r>
      <w:r w:rsidR="00FD1D1F" w:rsidRPr="00FD1D1F">
        <w:rPr>
          <w:b/>
          <w:i/>
          <w:lang w:val="es-MX"/>
        </w:rPr>
        <w:t>poderamiento del consumidor</w:t>
      </w:r>
    </w:p>
    <w:p w:rsidR="00922099" w:rsidRDefault="00922099" w:rsidP="00261A9F">
      <w:pPr>
        <w:jc w:val="both"/>
        <w:rPr>
          <w:rFonts w:cs="Helvetica"/>
          <w:lang w:val="es-MX"/>
        </w:rPr>
      </w:pPr>
      <w:r>
        <w:rPr>
          <w:rFonts w:cs="Helvetica"/>
          <w:lang w:val="es-MX"/>
        </w:rPr>
        <w:t xml:space="preserve">En determinadas esferas de opinión se sabe que los gobiernos deben encauzar sus acciones en fortalecer la competencia y resguardar los derechos de los consumidores. </w:t>
      </w:r>
      <w:r w:rsidR="00223B98">
        <w:rPr>
          <w:rFonts w:cs="Helvetica"/>
          <w:lang w:val="es-MX"/>
        </w:rPr>
        <w:t xml:space="preserve">Así lo disponen las </w:t>
      </w:r>
      <w:r w:rsidR="00223B98" w:rsidRPr="002F0B80">
        <w:rPr>
          <w:rFonts w:cs="Helvetica"/>
          <w:i/>
          <w:lang w:val="es-MX"/>
        </w:rPr>
        <w:t xml:space="preserve">Directrices de </w:t>
      </w:r>
      <w:r w:rsidR="002F0B80" w:rsidRPr="002F0B80">
        <w:rPr>
          <w:rFonts w:cs="Helvetica"/>
          <w:i/>
          <w:lang w:val="es-MX"/>
        </w:rPr>
        <w:t>N</w:t>
      </w:r>
      <w:r w:rsidR="00223B98" w:rsidRPr="002F0B80">
        <w:rPr>
          <w:rFonts w:cs="Helvetica"/>
          <w:i/>
          <w:lang w:val="es-MX"/>
        </w:rPr>
        <w:t>aciones Unidas sobre protección del Consumidor</w:t>
      </w:r>
      <w:r w:rsidR="00223B98">
        <w:rPr>
          <w:rFonts w:cs="Helvetica"/>
          <w:lang w:val="es-MX"/>
        </w:rPr>
        <w:t xml:space="preserve"> suscrita</w:t>
      </w:r>
      <w:r w:rsidR="002F0B80">
        <w:rPr>
          <w:rFonts w:cs="Helvetica"/>
          <w:lang w:val="es-MX"/>
        </w:rPr>
        <w:t>s</w:t>
      </w:r>
      <w:r w:rsidR="00223B98">
        <w:rPr>
          <w:rFonts w:cs="Helvetica"/>
          <w:lang w:val="es-MX"/>
        </w:rPr>
        <w:t xml:space="preserve"> en 1985 y actualizada</w:t>
      </w:r>
      <w:r w:rsidR="002F0B80">
        <w:rPr>
          <w:rFonts w:cs="Helvetica"/>
          <w:lang w:val="es-MX"/>
        </w:rPr>
        <w:t>s</w:t>
      </w:r>
      <w:r w:rsidR="00223B98">
        <w:rPr>
          <w:rFonts w:cs="Helvetica"/>
          <w:lang w:val="es-MX"/>
        </w:rPr>
        <w:t xml:space="preserve"> en 1999. </w:t>
      </w:r>
      <w:r w:rsidR="008C1F51">
        <w:rPr>
          <w:rFonts w:cs="Helvetica"/>
          <w:lang w:val="es-MX"/>
        </w:rPr>
        <w:t>L</w:t>
      </w:r>
      <w:r>
        <w:rPr>
          <w:rFonts w:cs="Helvetica"/>
          <w:lang w:val="es-MX"/>
        </w:rPr>
        <w:t>os derechos del consumidor son fundamentales para que pueda elegir lo mejor de acuerdo a su circunstancia y en el fortalecimiento de la ciudadanía</w:t>
      </w:r>
      <w:r w:rsidR="00223B98">
        <w:rPr>
          <w:rFonts w:cs="Helvetica"/>
          <w:lang w:val="es-MX"/>
        </w:rPr>
        <w:t>, lo que empodera al consumidor</w:t>
      </w:r>
      <w:r>
        <w:rPr>
          <w:rFonts w:cs="Helvetica"/>
          <w:lang w:val="es-MX"/>
        </w:rPr>
        <w:t>.</w:t>
      </w:r>
    </w:p>
    <w:p w:rsidR="00922099" w:rsidRDefault="00922099" w:rsidP="00261A9F">
      <w:pPr>
        <w:jc w:val="both"/>
        <w:rPr>
          <w:rFonts w:cs="Helvetica"/>
          <w:lang w:val="es-MX"/>
        </w:rPr>
      </w:pPr>
      <w:r>
        <w:rPr>
          <w:rFonts w:cs="Helvetica"/>
          <w:lang w:val="es-MX"/>
        </w:rPr>
        <w:t xml:space="preserve">Aunque son derechos implícitos de segunda y tercera generación, dar a conocer éstos como una forma </w:t>
      </w:r>
      <w:r w:rsidR="002F0B80">
        <w:rPr>
          <w:rFonts w:cs="Helvetica"/>
          <w:lang w:val="es-MX"/>
        </w:rPr>
        <w:t xml:space="preserve">de empoderamiento de los individuos y su capacidad de elección contribuye a </w:t>
      </w:r>
      <w:r>
        <w:rPr>
          <w:rFonts w:cs="Helvetica"/>
          <w:lang w:val="es-MX"/>
        </w:rPr>
        <w:t xml:space="preserve">generar </w:t>
      </w:r>
      <w:r w:rsidR="008C1F51">
        <w:rPr>
          <w:rFonts w:cs="Helvetica"/>
          <w:lang w:val="es-MX"/>
        </w:rPr>
        <w:t xml:space="preserve">en la Opinión Pública una posición crítica </w:t>
      </w:r>
      <w:r>
        <w:rPr>
          <w:rFonts w:cs="Helvetica"/>
          <w:lang w:val="es-MX"/>
        </w:rPr>
        <w:t xml:space="preserve">acerca de la tendencia de </w:t>
      </w:r>
      <w:r w:rsidR="008C1F51">
        <w:rPr>
          <w:rFonts w:cs="Helvetica"/>
          <w:lang w:val="es-MX"/>
        </w:rPr>
        <w:t xml:space="preserve">muchos gobiernos de </w:t>
      </w:r>
      <w:r>
        <w:rPr>
          <w:rFonts w:cs="Helvetica"/>
          <w:lang w:val="es-MX"/>
        </w:rPr>
        <w:t>regular</w:t>
      </w:r>
      <w:r w:rsidR="008A14A4">
        <w:rPr>
          <w:rFonts w:cs="Helvetica"/>
          <w:lang w:val="es-MX"/>
        </w:rPr>
        <w:t xml:space="preserve"> indiscriminadamente </w:t>
      </w:r>
      <w:r>
        <w:rPr>
          <w:rFonts w:cs="Helvetica"/>
          <w:lang w:val="es-MX"/>
        </w:rPr>
        <w:t xml:space="preserve">diversos sectores. </w:t>
      </w:r>
      <w:r w:rsidR="008A14A4">
        <w:rPr>
          <w:rFonts w:cs="Helvetica"/>
          <w:lang w:val="es-MX"/>
        </w:rPr>
        <w:t>Como mencionamos en el editorial de hoy, e</w:t>
      </w:r>
      <w:r>
        <w:rPr>
          <w:rFonts w:cs="Helvetica"/>
          <w:lang w:val="es-MX"/>
        </w:rPr>
        <w:t xml:space="preserve">l </w:t>
      </w:r>
      <w:proofErr w:type="spellStart"/>
      <w:r>
        <w:rPr>
          <w:rFonts w:cs="Helvetica"/>
          <w:lang w:val="es-MX"/>
        </w:rPr>
        <w:t>el</w:t>
      </w:r>
      <w:proofErr w:type="spellEnd"/>
      <w:r>
        <w:rPr>
          <w:rFonts w:cs="Helvetica"/>
          <w:lang w:val="es-MX"/>
        </w:rPr>
        <w:t xml:space="preserve"> Día Mundial de los Derechos del Consumidor </w:t>
      </w:r>
      <w:r w:rsidR="002F0B80">
        <w:rPr>
          <w:rFonts w:cs="Helvetica"/>
          <w:lang w:val="es-MX"/>
        </w:rPr>
        <w:t xml:space="preserve">nos da </w:t>
      </w:r>
      <w:r>
        <w:rPr>
          <w:rFonts w:cs="Helvetica"/>
          <w:lang w:val="es-MX"/>
        </w:rPr>
        <w:t xml:space="preserve">una oportunidad para posicionar </w:t>
      </w:r>
      <w:r w:rsidR="008A14A4">
        <w:rPr>
          <w:rFonts w:cs="Helvetica"/>
          <w:lang w:val="es-MX"/>
        </w:rPr>
        <w:t xml:space="preserve">información </w:t>
      </w:r>
      <w:r>
        <w:rPr>
          <w:rFonts w:cs="Helvetica"/>
          <w:lang w:val="es-MX"/>
        </w:rPr>
        <w:t xml:space="preserve">que fomente la toma de conciencia sobre los derechos del consumidor y con ello mirar con un ojo más crítico las políticas públicas </w:t>
      </w:r>
      <w:r w:rsidR="008B2E1E">
        <w:rPr>
          <w:rFonts w:cs="Helvetica"/>
          <w:lang w:val="es-MX"/>
        </w:rPr>
        <w:t>restrictivas</w:t>
      </w:r>
      <w:r>
        <w:rPr>
          <w:rFonts w:cs="Helvetica"/>
          <w:lang w:val="es-MX"/>
        </w:rPr>
        <w:t xml:space="preserve">.  </w:t>
      </w:r>
    </w:p>
    <w:p w:rsidR="002F0B80" w:rsidRDefault="008B2E1E" w:rsidP="00261A9F">
      <w:pPr>
        <w:jc w:val="both"/>
        <w:rPr>
          <w:rFonts w:cs="Helvetica"/>
          <w:lang w:val="es-MX"/>
        </w:rPr>
      </w:pPr>
      <w:r>
        <w:rPr>
          <w:rFonts w:cs="Helvetica"/>
          <w:lang w:val="es-MX"/>
        </w:rPr>
        <w:t xml:space="preserve">Asimismo, en marzo </w:t>
      </w:r>
      <w:r w:rsidR="008A14A4">
        <w:rPr>
          <w:rFonts w:cs="Helvetica"/>
          <w:lang w:val="es-MX"/>
        </w:rPr>
        <w:t xml:space="preserve">tenemos dos oportunidades </w:t>
      </w:r>
      <w:r>
        <w:rPr>
          <w:rFonts w:cs="Helvetica"/>
          <w:lang w:val="es-MX"/>
        </w:rPr>
        <w:t>sobresalientes, e</w:t>
      </w:r>
      <w:r w:rsidR="008C1F51">
        <w:rPr>
          <w:rFonts w:cs="Helvetica"/>
          <w:lang w:val="es-MX"/>
        </w:rPr>
        <w:t xml:space="preserve">l Día Internacional de la Mujer, que se celebra el </w:t>
      </w:r>
      <w:r>
        <w:rPr>
          <w:rFonts w:cs="Helvetica"/>
          <w:lang w:val="es-MX"/>
        </w:rPr>
        <w:t>8</w:t>
      </w:r>
      <w:r w:rsidR="008C1F51">
        <w:rPr>
          <w:rFonts w:cs="Helvetica"/>
          <w:lang w:val="es-MX"/>
        </w:rPr>
        <w:t xml:space="preserve"> de marzo </w:t>
      </w:r>
      <w:r w:rsidR="00961314">
        <w:rPr>
          <w:rFonts w:cs="Helvetica"/>
          <w:lang w:val="es-MX"/>
        </w:rPr>
        <w:t>y el Día Mundial del Agua, el 22</w:t>
      </w:r>
      <w:r>
        <w:rPr>
          <w:rFonts w:cs="Helvetica"/>
          <w:lang w:val="es-MX"/>
        </w:rPr>
        <w:t xml:space="preserve">. </w:t>
      </w:r>
    </w:p>
    <w:p w:rsidR="002F0B80" w:rsidRDefault="002F0B80" w:rsidP="00261A9F">
      <w:pPr>
        <w:jc w:val="both"/>
        <w:rPr>
          <w:rFonts w:cs="Helvetica"/>
          <w:lang w:val="es-MX"/>
        </w:rPr>
      </w:pPr>
      <w:r>
        <w:rPr>
          <w:rFonts w:cs="Helvetica"/>
          <w:lang w:val="es-MX"/>
        </w:rPr>
        <w:t xml:space="preserve">La celebración a la Mujer tiene su origen en el impulso y resguardo de la equidad de género: iguales oportunidades, mayores posibilidades de las mujeres. Sin embargo, </w:t>
      </w:r>
      <w:r w:rsidR="008A14A4">
        <w:rPr>
          <w:rFonts w:cs="Helvetica"/>
          <w:lang w:val="es-MX"/>
        </w:rPr>
        <w:t xml:space="preserve">también </w:t>
      </w:r>
      <w:r>
        <w:rPr>
          <w:rFonts w:cs="Helvetica"/>
          <w:lang w:val="es-MX"/>
        </w:rPr>
        <w:t xml:space="preserve">tiene mayores alcances debido al rol esencial de las mujeres en las sociedades. Es posible </w:t>
      </w:r>
      <w:r w:rsidR="008B2E1E">
        <w:rPr>
          <w:rFonts w:cs="Helvetica"/>
          <w:lang w:val="es-MX"/>
        </w:rPr>
        <w:t xml:space="preserve">posicionar en el debate diferentes textos sobre </w:t>
      </w:r>
      <w:r w:rsidR="00961314">
        <w:rPr>
          <w:rFonts w:cs="Helvetica"/>
          <w:lang w:val="es-MX"/>
        </w:rPr>
        <w:t xml:space="preserve">el liderazgo natural de las mujeres en el hogar como tomadoras de decisiones, creadora de valores y promotora de estilos de vida saludables. Así como relacionados con el </w:t>
      </w:r>
      <w:r w:rsidR="008B2E1E">
        <w:rPr>
          <w:rFonts w:cs="Helvetica"/>
          <w:lang w:val="es-MX"/>
        </w:rPr>
        <w:t xml:space="preserve">balance energético, aspectos multifuncionales de la obesidad, sedentarismo, entre otros.  </w:t>
      </w:r>
    </w:p>
    <w:p w:rsidR="00922099" w:rsidRDefault="002F0B80" w:rsidP="00261A9F">
      <w:pPr>
        <w:jc w:val="both"/>
        <w:rPr>
          <w:rFonts w:cs="Helvetica"/>
          <w:lang w:val="es-MX"/>
        </w:rPr>
      </w:pPr>
      <w:r>
        <w:rPr>
          <w:rFonts w:cs="Helvetica"/>
          <w:lang w:val="es-MX"/>
        </w:rPr>
        <w:t>En el caso del Día Mundial del A</w:t>
      </w:r>
      <w:r w:rsidR="00961314">
        <w:rPr>
          <w:rFonts w:cs="Helvetica"/>
          <w:lang w:val="es-MX"/>
        </w:rPr>
        <w:t xml:space="preserve">gua hay acciones específicas en materia de sustentabilidad que </w:t>
      </w:r>
      <w:r w:rsidR="003E0D31">
        <w:rPr>
          <w:rFonts w:cs="Helvetica"/>
          <w:lang w:val="es-MX"/>
        </w:rPr>
        <w:t xml:space="preserve">integran la estrategia </w:t>
      </w:r>
      <w:r w:rsidR="008A14A4">
        <w:rPr>
          <w:rFonts w:cs="Helvetica"/>
          <w:lang w:val="es-MX"/>
        </w:rPr>
        <w:t xml:space="preserve">de </w:t>
      </w:r>
      <w:proofErr w:type="spellStart"/>
      <w:r w:rsidR="008A14A4">
        <w:rPr>
          <w:rFonts w:cs="Helvetica"/>
          <w:lang w:val="es-MX"/>
        </w:rPr>
        <w:t>Company</w:t>
      </w:r>
      <w:proofErr w:type="spellEnd"/>
      <w:r w:rsidR="008A14A4">
        <w:rPr>
          <w:rFonts w:cs="Helvetica"/>
          <w:lang w:val="es-MX"/>
        </w:rPr>
        <w:t xml:space="preserve"> </w:t>
      </w:r>
      <w:proofErr w:type="spellStart"/>
      <w:r w:rsidR="008A14A4">
        <w:rPr>
          <w:rFonts w:cs="Helvetica"/>
          <w:lang w:val="es-MX"/>
        </w:rPr>
        <w:t>Brand</w:t>
      </w:r>
      <w:proofErr w:type="spellEnd"/>
      <w:r w:rsidR="008A14A4">
        <w:rPr>
          <w:rFonts w:cs="Helvetica"/>
          <w:lang w:val="es-MX"/>
        </w:rPr>
        <w:t xml:space="preserve"> PR por lo que no ahondaremos en ellas en este Update</w:t>
      </w:r>
      <w:r w:rsidR="00961314">
        <w:rPr>
          <w:rFonts w:cs="Helvetica"/>
          <w:lang w:val="es-MX"/>
        </w:rPr>
        <w:t>.</w:t>
      </w:r>
    </w:p>
    <w:p w:rsidR="009E15E7" w:rsidRPr="009E15E7" w:rsidRDefault="006949E3" w:rsidP="00261A9F">
      <w:pPr>
        <w:jc w:val="both"/>
        <w:rPr>
          <w:rFonts w:cs="Helvetica"/>
          <w:lang w:val="es-MX"/>
        </w:rPr>
      </w:pPr>
      <w:r>
        <w:rPr>
          <w:rFonts w:cs="Helvetica"/>
          <w:lang w:val="es-MX"/>
        </w:rPr>
        <w:lastRenderedPageBreak/>
        <w:t>L</w:t>
      </w:r>
      <w:r w:rsidR="0041456C">
        <w:rPr>
          <w:rFonts w:cs="Helvetica"/>
          <w:lang w:val="es-MX"/>
        </w:rPr>
        <w:t xml:space="preserve">os invitamos a revisar </w:t>
      </w:r>
      <w:r>
        <w:rPr>
          <w:rFonts w:cs="Helvetica"/>
          <w:lang w:val="es-MX"/>
        </w:rPr>
        <w:t xml:space="preserve">todos los </w:t>
      </w:r>
      <w:r w:rsidR="0041456C">
        <w:rPr>
          <w:rFonts w:cs="Helvetica"/>
          <w:lang w:val="es-MX"/>
        </w:rPr>
        <w:t xml:space="preserve">textos </w:t>
      </w:r>
      <w:r w:rsidR="00435C8A">
        <w:rPr>
          <w:rFonts w:cs="Helvetica"/>
          <w:lang w:val="es-MX"/>
        </w:rPr>
        <w:t xml:space="preserve">en: </w:t>
      </w:r>
      <w:r w:rsidR="009E15E7" w:rsidRPr="009E15E7">
        <w:rPr>
          <w:rFonts w:cs="Helvetica"/>
          <w:lang w:val="es-MX"/>
        </w:rPr>
        <w:t xml:space="preserve"> </w:t>
      </w:r>
    </w:p>
    <w:p w:rsidR="009E15E7" w:rsidRPr="009E15E7" w:rsidRDefault="00324125" w:rsidP="00261A9F">
      <w:pPr>
        <w:jc w:val="both"/>
        <w:rPr>
          <w:color w:val="000000"/>
          <w:lang w:val="es-MX"/>
        </w:rPr>
      </w:pPr>
      <w:hyperlink r:id="rId5" w:history="1">
        <w:r w:rsidR="009E15E7" w:rsidRPr="009E15E7">
          <w:rPr>
            <w:rStyle w:val="Hipervnculo"/>
            <w:lang w:val="es-MX"/>
          </w:rPr>
          <w:t>https://teams.coca-cola.com/sites/MarketingTheCategoryLAG/ContentGeneration/SitePages/Home.aspx?RootFolder=%2Fsites%2FMarketingTheCategoryLAG%2FContentGeneration%2FShared%20Documents%2FLatest%20UB%20Articles%202013&amp;FolderCTID=0x01200036B32310346B5940862A438412E792CD&amp;View={7CF11627-F167-4D60-B517-066720758551}</w:t>
        </w:r>
      </w:hyperlink>
    </w:p>
    <w:p w:rsidR="00C33BEF" w:rsidRPr="009E15E7" w:rsidRDefault="00C33BEF" w:rsidP="00261A9F">
      <w:pPr>
        <w:ind w:right="49"/>
        <w:jc w:val="both"/>
        <w:rPr>
          <w:bCs/>
          <w:lang w:val="es-MX"/>
        </w:rPr>
      </w:pPr>
    </w:p>
    <w:p w:rsidR="00C33BEF" w:rsidRPr="00FE630C" w:rsidRDefault="00FB3F6C" w:rsidP="00261A9F">
      <w:pPr>
        <w:ind w:right="49"/>
        <w:jc w:val="both"/>
        <w:rPr>
          <w:lang w:val="es-ES"/>
        </w:rPr>
      </w:pPr>
      <w:r w:rsidRPr="00FE630C">
        <w:rPr>
          <w:lang w:val="es-ES"/>
        </w:rPr>
        <w:t>(</w:t>
      </w:r>
      <w:r w:rsidR="00755864" w:rsidRPr="00FE630C">
        <w:rPr>
          <w:lang w:val="es-ES"/>
        </w:rPr>
        <w:t>SECCIÓN FIJA</w:t>
      </w:r>
      <w:r w:rsidRPr="00FE630C">
        <w:rPr>
          <w:lang w:val="es-ES"/>
        </w:rPr>
        <w:t>)</w:t>
      </w:r>
      <w:r w:rsidR="00755864" w:rsidRPr="00FE630C">
        <w:rPr>
          <w:lang w:val="es-ES"/>
        </w:rPr>
        <w:t xml:space="preserve"> COYUNTURA </w:t>
      </w:r>
    </w:p>
    <w:p w:rsidR="00A06DA0" w:rsidRPr="00A06DA0" w:rsidRDefault="00A06DA0" w:rsidP="0035718F">
      <w:pPr>
        <w:spacing w:after="120"/>
        <w:jc w:val="both"/>
        <w:rPr>
          <w:rFonts w:eastAsia="Times New Roman" w:cs="Arial"/>
          <w:szCs w:val="24"/>
          <w:lang w:val="es-MX" w:eastAsia="es-MX"/>
        </w:rPr>
      </w:pPr>
      <w:r w:rsidRPr="00A06DA0">
        <w:rPr>
          <w:rFonts w:cs="Tahoma"/>
          <w:lang w:val="es-MX"/>
        </w:rPr>
        <w:t xml:space="preserve">La </w:t>
      </w:r>
      <w:r w:rsidR="0035718F">
        <w:rPr>
          <w:bCs/>
          <w:lang w:val="es-MX"/>
        </w:rPr>
        <w:t xml:space="preserve"> Organización Mundial de la Salud (</w:t>
      </w:r>
      <w:r w:rsidRPr="00A06DA0">
        <w:rPr>
          <w:rFonts w:cs="Tahoma"/>
          <w:lang w:val="es-MX"/>
        </w:rPr>
        <w:t>OMS</w:t>
      </w:r>
      <w:r w:rsidR="0035718F">
        <w:rPr>
          <w:rFonts w:cs="Tahoma"/>
          <w:lang w:val="es-MX"/>
        </w:rPr>
        <w:t>)</w:t>
      </w:r>
      <w:r w:rsidRPr="00A06DA0">
        <w:rPr>
          <w:rFonts w:cs="Tahoma"/>
          <w:lang w:val="es-MX"/>
        </w:rPr>
        <w:t xml:space="preserve"> dio a conocer que llevará a cabo una consulta pública acerca de su proyecto de directrices sobre la ingesta de azúcares con la intención de recomendar a los gobiernos sobre cómo reducir la obesidad y la caries dental. </w:t>
      </w:r>
      <w:r w:rsidRPr="00A06DA0">
        <w:rPr>
          <w:rFonts w:eastAsia="Times New Roman" w:cs="Arial"/>
          <w:szCs w:val="24"/>
          <w:lang w:val="es-MX" w:eastAsia="es-MX"/>
        </w:rPr>
        <w:t>La Consulta está vigente del 5 al 31 de marzo.</w:t>
      </w:r>
    </w:p>
    <w:p w:rsidR="00A06DA0" w:rsidRPr="00A06DA0" w:rsidRDefault="00A06DA0" w:rsidP="00A06DA0">
      <w:pPr>
        <w:shd w:val="clear" w:color="auto" w:fill="FFFFFF"/>
        <w:spacing w:before="100" w:beforeAutospacing="1" w:after="100" w:afterAutospacing="1"/>
        <w:jc w:val="both"/>
        <w:rPr>
          <w:rFonts w:eastAsia="Times New Roman" w:cs="Arial"/>
          <w:szCs w:val="24"/>
          <w:lang w:val="es-MX" w:eastAsia="es-MX"/>
        </w:rPr>
      </w:pPr>
      <w:r w:rsidRPr="00A06DA0">
        <w:rPr>
          <w:rFonts w:eastAsia="Times New Roman" w:cs="Arial"/>
          <w:szCs w:val="24"/>
          <w:lang w:val="es-MX" w:eastAsia="es-MX"/>
        </w:rPr>
        <w:t>La actual recomendación de la OMS</w:t>
      </w:r>
      <w:r w:rsidR="0035718F">
        <w:rPr>
          <w:rFonts w:eastAsia="Times New Roman" w:cs="Arial"/>
          <w:szCs w:val="24"/>
          <w:lang w:val="es-MX" w:eastAsia="es-MX"/>
        </w:rPr>
        <w:t xml:space="preserve"> es del </w:t>
      </w:r>
      <w:r w:rsidRPr="00A06DA0">
        <w:rPr>
          <w:rFonts w:eastAsia="Times New Roman" w:cs="Arial"/>
          <w:szCs w:val="24"/>
          <w:lang w:val="es-MX" w:eastAsia="es-MX"/>
        </w:rPr>
        <w:t>2002</w:t>
      </w:r>
      <w:r w:rsidR="0035718F">
        <w:rPr>
          <w:rFonts w:eastAsia="Times New Roman" w:cs="Arial"/>
          <w:szCs w:val="24"/>
          <w:lang w:val="es-MX" w:eastAsia="es-MX"/>
        </w:rPr>
        <w:t xml:space="preserve"> y señala </w:t>
      </w:r>
      <w:r w:rsidRPr="00A06DA0">
        <w:rPr>
          <w:rFonts w:eastAsia="Times New Roman" w:cs="Arial"/>
          <w:szCs w:val="24"/>
          <w:lang w:val="es-MX" w:eastAsia="es-MX"/>
        </w:rPr>
        <w:t xml:space="preserve">que el consumo de azúcares debe representar menos de 10% de la ingesta calórica total diaria. El nuevo proyecto de directrices formula la misma recomendación, pero además indica que si la ingesta calórica total diaria se reduce a 5% se obtendrán beneficios adicionales, específicamente se previene obesidad y caries. </w:t>
      </w:r>
    </w:p>
    <w:p w:rsidR="00240085" w:rsidRDefault="0035718F" w:rsidP="00240085">
      <w:pPr>
        <w:ind w:right="49"/>
        <w:contextualSpacing/>
        <w:jc w:val="both"/>
        <w:rPr>
          <w:bCs/>
          <w:lang w:val="es-MX"/>
        </w:rPr>
      </w:pPr>
      <w:r>
        <w:rPr>
          <w:bCs/>
          <w:sz w:val="20"/>
          <w:lang w:val="es-MX"/>
        </w:rPr>
        <w:t>Por otro lado, m</w:t>
      </w:r>
      <w:r w:rsidR="00240085">
        <w:rPr>
          <w:bCs/>
          <w:lang w:val="es-MX"/>
        </w:rPr>
        <w:t>ientras el gobierno del presidente Barack Obama anunció la disminución de 43% del número de niños obesos entre los dos y los cinco años</w:t>
      </w:r>
      <w:r w:rsidR="00E90E10">
        <w:rPr>
          <w:bCs/>
          <w:lang w:val="es-MX"/>
        </w:rPr>
        <w:t xml:space="preserve"> en Estados Unidos</w:t>
      </w:r>
      <w:r w:rsidR="00240085">
        <w:rPr>
          <w:bCs/>
          <w:lang w:val="es-MX"/>
        </w:rPr>
        <w:t xml:space="preserve">, </w:t>
      </w:r>
      <w:r>
        <w:rPr>
          <w:bCs/>
          <w:lang w:val="es-MX"/>
        </w:rPr>
        <w:t xml:space="preserve">la </w:t>
      </w:r>
      <w:r w:rsidR="00240085">
        <w:rPr>
          <w:bCs/>
          <w:lang w:val="es-MX"/>
        </w:rPr>
        <w:t xml:space="preserve">OMS advirtió que en Europa este indicador va en crecimiento. </w:t>
      </w:r>
    </w:p>
    <w:p w:rsidR="00240085" w:rsidRDefault="00240085" w:rsidP="00240085">
      <w:pPr>
        <w:ind w:right="49"/>
        <w:contextualSpacing/>
        <w:jc w:val="both"/>
        <w:rPr>
          <w:bCs/>
          <w:lang w:val="es-MX"/>
        </w:rPr>
      </w:pPr>
    </w:p>
    <w:p w:rsidR="00E90E10" w:rsidRDefault="00240085" w:rsidP="00240085">
      <w:pPr>
        <w:ind w:right="49"/>
        <w:contextualSpacing/>
        <w:jc w:val="both"/>
        <w:rPr>
          <w:rFonts w:eastAsia="Times New Roman" w:cs="Arial"/>
          <w:color w:val="333333"/>
          <w:bdr w:val="none" w:sz="0" w:space="0" w:color="auto" w:frame="1"/>
          <w:lang w:val="es-MX" w:eastAsia="es-MX"/>
        </w:rPr>
      </w:pPr>
      <w:r w:rsidRPr="00EC04AF">
        <w:rPr>
          <w:bCs/>
          <w:lang w:val="es-MX"/>
        </w:rPr>
        <w:t>La OMS señaló que Europa debe estar atenta en la epidemia de la obesidad. De acuerdo con el organismo, l</w:t>
      </w:r>
      <w:r w:rsidRPr="009E70F5">
        <w:rPr>
          <w:rFonts w:eastAsia="Times New Roman" w:cs="Arial"/>
          <w:color w:val="333333"/>
          <w:bdr w:val="none" w:sz="0" w:space="0" w:color="auto" w:frame="1"/>
          <w:lang w:val="es-MX" w:eastAsia="es-MX"/>
        </w:rPr>
        <w:t>a pasividad física y la dieta con un alto contenido de grasas, sal y azúcar condujeron a que 27 % de los niños europeos de trece años y 33 % de once años padezcan exceso de peso.</w:t>
      </w:r>
      <w:r>
        <w:rPr>
          <w:rFonts w:eastAsia="Times New Roman" w:cs="Arial"/>
          <w:color w:val="333333"/>
          <w:bdr w:val="none" w:sz="0" w:space="0" w:color="auto" w:frame="1"/>
          <w:lang w:val="es-MX" w:eastAsia="es-MX"/>
        </w:rPr>
        <w:t xml:space="preserve"> Por esa razón </w:t>
      </w:r>
      <w:r w:rsidR="008A14A4">
        <w:rPr>
          <w:rFonts w:eastAsia="Times New Roman" w:cs="Arial"/>
          <w:color w:val="333333"/>
          <w:bdr w:val="none" w:sz="0" w:space="0" w:color="auto" w:frame="1"/>
          <w:lang w:val="es-MX" w:eastAsia="es-MX"/>
        </w:rPr>
        <w:t xml:space="preserve">la organización </w:t>
      </w:r>
      <w:r>
        <w:rPr>
          <w:rFonts w:eastAsia="Times New Roman" w:cs="Arial"/>
          <w:color w:val="333333"/>
          <w:bdr w:val="none" w:sz="0" w:space="0" w:color="auto" w:frame="1"/>
          <w:lang w:val="es-MX" w:eastAsia="es-MX"/>
        </w:rPr>
        <w:t>sugiere que los gobiernos deben endurecer las leyes e insistir en un etiqueta</w:t>
      </w:r>
      <w:r w:rsidR="008A14A4">
        <w:rPr>
          <w:rFonts w:eastAsia="Times New Roman" w:cs="Arial"/>
          <w:color w:val="333333"/>
          <w:bdr w:val="none" w:sz="0" w:space="0" w:color="auto" w:frame="1"/>
          <w:lang w:val="es-MX" w:eastAsia="es-MX"/>
        </w:rPr>
        <w:t>do</w:t>
      </w:r>
      <w:r>
        <w:rPr>
          <w:rFonts w:eastAsia="Times New Roman" w:cs="Arial"/>
          <w:color w:val="333333"/>
          <w:bdr w:val="none" w:sz="0" w:space="0" w:color="auto" w:frame="1"/>
          <w:lang w:val="es-MX" w:eastAsia="es-MX"/>
        </w:rPr>
        <w:t xml:space="preserve"> informativo de los productos y regular la publicidad y el marketing, “obligando a la industria de la alimentación a asumir su responsabilidad”.</w:t>
      </w:r>
    </w:p>
    <w:p w:rsidR="00E90E10" w:rsidRDefault="00E90E10" w:rsidP="00240085">
      <w:pPr>
        <w:ind w:right="49"/>
        <w:contextualSpacing/>
        <w:jc w:val="both"/>
        <w:rPr>
          <w:rFonts w:eastAsia="Times New Roman" w:cs="Arial"/>
          <w:color w:val="333333"/>
          <w:bdr w:val="none" w:sz="0" w:space="0" w:color="auto" w:frame="1"/>
          <w:lang w:val="es-MX" w:eastAsia="es-MX"/>
        </w:rPr>
      </w:pPr>
    </w:p>
    <w:p w:rsidR="00E90E10" w:rsidRDefault="00AB5B55" w:rsidP="00E90E10">
      <w:pPr>
        <w:ind w:right="49"/>
        <w:contextualSpacing/>
        <w:jc w:val="both"/>
        <w:rPr>
          <w:bCs/>
          <w:lang w:val="es-MX"/>
        </w:rPr>
      </w:pPr>
      <w:r>
        <w:rPr>
          <w:bCs/>
          <w:lang w:val="es-MX"/>
        </w:rPr>
        <w:t xml:space="preserve">El gobierno estadounidense reconoció, sin embargo, que la obesidad no se ha movido en adultos, donde los indicadores siguen siendo alarmantes. </w:t>
      </w:r>
      <w:r w:rsidR="00E90E10">
        <w:rPr>
          <w:bCs/>
          <w:lang w:val="es-MX"/>
        </w:rPr>
        <w:t xml:space="preserve">Michelle Obama mantiene </w:t>
      </w:r>
      <w:r>
        <w:rPr>
          <w:bCs/>
          <w:lang w:val="es-MX"/>
        </w:rPr>
        <w:t>la</w:t>
      </w:r>
      <w:r w:rsidR="00E90E10">
        <w:rPr>
          <w:bCs/>
          <w:lang w:val="es-MX"/>
        </w:rPr>
        <w:t xml:space="preserve"> campaña Let´s Move, en la cual educa a padres y a niños sobre la importancia de comer sano y practicar ejercicio de manera rutinaria. En ese sentido, hay que estar atentos a estas  campañas de combate y prevención de  la obesidad observen la problemática de una forma multifactorial que ayude a equilibrar el debate. </w:t>
      </w:r>
    </w:p>
    <w:p w:rsidR="00240085" w:rsidRPr="003134B3" w:rsidRDefault="00E46471" w:rsidP="00240085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/>
          <w:sz w:val="22"/>
          <w:szCs w:val="22"/>
          <w:lang w:val="es-MX"/>
        </w:rPr>
      </w:pPr>
      <w:r w:rsidRPr="003134B3">
        <w:rPr>
          <w:rFonts w:asciiTheme="minorHAnsi" w:hAnsiTheme="minorHAnsi" w:cs="Tahoma"/>
          <w:sz w:val="22"/>
          <w:szCs w:val="22"/>
          <w:lang w:val="es-ES"/>
        </w:rPr>
        <w:t>E</w:t>
      </w:r>
      <w:r w:rsidRPr="003134B3">
        <w:rPr>
          <w:rFonts w:asciiTheme="minorHAnsi" w:hAnsiTheme="minorHAnsi" w:cs="Tahoma"/>
          <w:sz w:val="22"/>
          <w:szCs w:val="22"/>
          <w:lang w:val="es-MX"/>
        </w:rPr>
        <w:t xml:space="preserve">l Foro Iberoamericano de Obesidad que </w:t>
      </w:r>
      <w:r w:rsidR="009D2D07">
        <w:rPr>
          <w:rFonts w:asciiTheme="minorHAnsi" w:hAnsiTheme="minorHAnsi" w:cs="Tahoma"/>
          <w:sz w:val="22"/>
          <w:szCs w:val="22"/>
          <w:lang w:val="es-MX"/>
        </w:rPr>
        <w:t xml:space="preserve">convocó </w:t>
      </w:r>
      <w:r w:rsidRPr="003134B3">
        <w:rPr>
          <w:rFonts w:asciiTheme="minorHAnsi" w:hAnsiTheme="minorHAnsi" w:cs="Tahoma"/>
          <w:sz w:val="22"/>
          <w:szCs w:val="22"/>
          <w:lang w:val="es-MX"/>
        </w:rPr>
        <w:t xml:space="preserve">el Gobierno del Distrito Federal </w:t>
      </w:r>
      <w:r w:rsidR="009D2D07">
        <w:rPr>
          <w:rFonts w:asciiTheme="minorHAnsi" w:hAnsiTheme="minorHAnsi" w:cs="Tahoma"/>
          <w:sz w:val="22"/>
          <w:szCs w:val="22"/>
          <w:lang w:val="es-MX"/>
        </w:rPr>
        <w:t xml:space="preserve">durante </w:t>
      </w:r>
      <w:r w:rsidR="00071F1E" w:rsidRPr="003134B3">
        <w:rPr>
          <w:rFonts w:asciiTheme="minorHAnsi" w:hAnsiTheme="minorHAnsi" w:cs="Tahoma"/>
          <w:sz w:val="22"/>
          <w:szCs w:val="22"/>
          <w:lang w:val="es-MX"/>
        </w:rPr>
        <w:t xml:space="preserve">el </w:t>
      </w:r>
      <w:r w:rsidRPr="003134B3">
        <w:rPr>
          <w:rFonts w:asciiTheme="minorHAnsi" w:hAnsiTheme="minorHAnsi" w:cs="Tahoma"/>
          <w:sz w:val="22"/>
          <w:szCs w:val="22"/>
          <w:lang w:val="es-MX"/>
        </w:rPr>
        <w:t>26</w:t>
      </w:r>
      <w:r w:rsidR="00071F1E" w:rsidRPr="003134B3">
        <w:rPr>
          <w:rFonts w:asciiTheme="minorHAnsi" w:hAnsiTheme="minorHAnsi" w:cs="Tahoma"/>
          <w:sz w:val="22"/>
          <w:szCs w:val="22"/>
          <w:lang w:val="es-MX"/>
        </w:rPr>
        <w:t xml:space="preserve"> al </w:t>
      </w:r>
      <w:r w:rsidRPr="003134B3">
        <w:rPr>
          <w:rFonts w:asciiTheme="minorHAnsi" w:hAnsiTheme="minorHAnsi" w:cs="Tahoma"/>
          <w:sz w:val="22"/>
          <w:szCs w:val="22"/>
          <w:lang w:val="es-MX"/>
        </w:rPr>
        <w:t>28 de febrero en la ciudad de México</w:t>
      </w:r>
      <w:r w:rsidR="00E90E10">
        <w:rPr>
          <w:rFonts w:asciiTheme="minorHAnsi" w:hAnsiTheme="minorHAnsi" w:cs="Tahoma"/>
          <w:sz w:val="22"/>
          <w:szCs w:val="22"/>
          <w:lang w:val="es-MX"/>
        </w:rPr>
        <w:t xml:space="preserve"> tuvo una participación de organizaciones relevantes como: </w:t>
      </w:r>
      <w:r w:rsidR="00240085" w:rsidRPr="003134B3">
        <w:rPr>
          <w:rFonts w:asciiTheme="minorHAnsi" w:hAnsiTheme="minorHAnsi"/>
          <w:sz w:val="22"/>
          <w:szCs w:val="22"/>
          <w:lang w:val="es-MX"/>
        </w:rPr>
        <w:lastRenderedPageBreak/>
        <w:t>UAM, SANOFI, Latin American Obesity Forum, Fundación Franco-Mexicana para la Medicina, América vs Obesidad.org</w:t>
      </w:r>
      <w:r w:rsidR="00E90E10">
        <w:rPr>
          <w:rFonts w:asciiTheme="minorHAnsi" w:hAnsiTheme="minorHAnsi"/>
          <w:sz w:val="22"/>
          <w:szCs w:val="22"/>
          <w:lang w:val="es-MX"/>
        </w:rPr>
        <w:t xml:space="preserve"> y</w:t>
      </w:r>
      <w:r w:rsidR="00240085" w:rsidRPr="003134B3">
        <w:rPr>
          <w:rFonts w:asciiTheme="minorHAnsi" w:hAnsiTheme="minorHAnsi"/>
          <w:sz w:val="22"/>
          <w:szCs w:val="22"/>
          <w:lang w:val="es-MX"/>
        </w:rPr>
        <w:t xml:space="preserve"> UCLG Committee for Urban Health. </w:t>
      </w:r>
    </w:p>
    <w:p w:rsidR="00240085" w:rsidRDefault="00240085" w:rsidP="00B3450D">
      <w:pPr>
        <w:rPr>
          <w:lang w:val="es-MX"/>
        </w:rPr>
      </w:pPr>
      <w:r w:rsidRPr="003134B3">
        <w:rPr>
          <w:lang w:val="es-MX"/>
        </w:rPr>
        <w:t>El foro contó con la participación de Gabriel Jaime Garin Alzate, secretario de Salud de Medellín</w:t>
      </w:r>
      <w:r w:rsidR="00B3450D" w:rsidRPr="003134B3">
        <w:rPr>
          <w:lang w:val="es-MX"/>
        </w:rPr>
        <w:t xml:space="preserve">, </w:t>
      </w:r>
      <w:r w:rsidRPr="003134B3">
        <w:rPr>
          <w:lang w:val="es-MX"/>
        </w:rPr>
        <w:t>Gloria Agüero Blas, Subgerente de Vigilancia Sanitaria</w:t>
      </w:r>
      <w:r w:rsidR="003134B3">
        <w:rPr>
          <w:lang w:val="es-MX"/>
        </w:rPr>
        <w:t xml:space="preserve"> de la </w:t>
      </w:r>
      <w:r w:rsidRPr="003134B3">
        <w:rPr>
          <w:lang w:val="es-MX"/>
        </w:rPr>
        <w:t>Municipalidad de Lima</w:t>
      </w:r>
      <w:r w:rsidR="00B3450D" w:rsidRPr="003134B3">
        <w:rPr>
          <w:lang w:val="es-MX"/>
        </w:rPr>
        <w:t xml:space="preserve">, Giane Alves Oliveira, quien </w:t>
      </w:r>
      <w:r w:rsidR="003134B3">
        <w:rPr>
          <w:lang w:val="es-MX"/>
        </w:rPr>
        <w:t xml:space="preserve">dio a conocer </w:t>
      </w:r>
      <w:r w:rsidR="00B3450D" w:rsidRPr="003134B3">
        <w:rPr>
          <w:lang w:val="es-MX"/>
        </w:rPr>
        <w:t xml:space="preserve">el programa de la </w:t>
      </w:r>
      <w:r w:rsidRPr="003134B3">
        <w:rPr>
          <w:lang w:val="es-MX"/>
        </w:rPr>
        <w:t>construcción de una línea de cuidados del sobrepeso y obesidad en la ciudad de Sao Paulo</w:t>
      </w:r>
      <w:r w:rsidR="003134B3">
        <w:rPr>
          <w:lang w:val="es-MX"/>
        </w:rPr>
        <w:t xml:space="preserve"> y </w:t>
      </w:r>
      <w:r w:rsidRPr="003134B3">
        <w:rPr>
          <w:lang w:val="es-MX"/>
        </w:rPr>
        <w:t>Richard Visser</w:t>
      </w:r>
      <w:r w:rsidR="003134B3">
        <w:rPr>
          <w:lang w:val="es-MX"/>
        </w:rPr>
        <w:t>, m</w:t>
      </w:r>
      <w:r w:rsidRPr="003134B3">
        <w:rPr>
          <w:lang w:val="es-MX"/>
        </w:rPr>
        <w:t>inistro de Salud y Deporte de Aruba</w:t>
      </w:r>
      <w:r w:rsidR="00E90E10">
        <w:rPr>
          <w:lang w:val="es-MX"/>
        </w:rPr>
        <w:t>, entre otros</w:t>
      </w:r>
      <w:r w:rsidRPr="003134B3">
        <w:rPr>
          <w:lang w:val="es-MX"/>
        </w:rPr>
        <w:t xml:space="preserve">. </w:t>
      </w:r>
    </w:p>
    <w:p w:rsidR="00240085" w:rsidRPr="003134B3" w:rsidRDefault="00E90E10" w:rsidP="00E90E10">
      <w:pPr>
        <w:rPr>
          <w:lang w:val="es-MX"/>
        </w:rPr>
      </w:pPr>
      <w:r w:rsidRPr="003134B3">
        <w:rPr>
          <w:lang w:val="es-MX"/>
        </w:rPr>
        <w:t xml:space="preserve">Asistieron  350 personas entre  estudiantes, médicos, y público interesado en temas de salud, teniendo una buena cobertura en televisión abierta (Televisa y TV Azteca). </w:t>
      </w:r>
      <w:r w:rsidR="00B3450D" w:rsidRPr="003134B3">
        <w:rPr>
          <w:lang w:val="es-MX"/>
        </w:rPr>
        <w:t>A</w:t>
      </w:r>
      <w:r w:rsidR="001F7590">
        <w:rPr>
          <w:lang w:val="es-MX"/>
        </w:rPr>
        <w:t>rmando Barriguete, p</w:t>
      </w:r>
      <w:r w:rsidR="00240085" w:rsidRPr="003134B3">
        <w:rPr>
          <w:lang w:val="es-MX"/>
        </w:rPr>
        <w:t>residente de EPODE Red Internacional Acuerdos y Compro</w:t>
      </w:r>
      <w:r w:rsidR="00B3450D" w:rsidRPr="003134B3">
        <w:rPr>
          <w:lang w:val="es-MX"/>
        </w:rPr>
        <w:t xml:space="preserve">misos, </w:t>
      </w:r>
      <w:r w:rsidR="001F7590">
        <w:rPr>
          <w:lang w:val="es-MX"/>
        </w:rPr>
        <w:t>dio a conocer las siguientes conclusiones</w:t>
      </w:r>
      <w:r w:rsidR="00B3450D" w:rsidRPr="003134B3">
        <w:rPr>
          <w:lang w:val="es-MX"/>
        </w:rPr>
        <w:t xml:space="preserve">: </w:t>
      </w:r>
    </w:p>
    <w:p w:rsidR="00240085" w:rsidRPr="003134B3" w:rsidRDefault="00240085" w:rsidP="00240085">
      <w:pPr>
        <w:pStyle w:val="Prrafodelista"/>
        <w:numPr>
          <w:ilvl w:val="1"/>
          <w:numId w:val="14"/>
        </w:numPr>
        <w:jc w:val="both"/>
        <w:rPr>
          <w:lang w:val="es-MX"/>
        </w:rPr>
      </w:pPr>
      <w:r w:rsidRPr="003134B3">
        <w:rPr>
          <w:lang w:val="es-MX"/>
        </w:rPr>
        <w:t>La obesidad es un problema de salud pública multifactorial.</w:t>
      </w:r>
    </w:p>
    <w:p w:rsidR="00240085" w:rsidRPr="003134B3" w:rsidRDefault="003134B3" w:rsidP="00240085">
      <w:pPr>
        <w:pStyle w:val="Prrafodelista"/>
        <w:numPr>
          <w:ilvl w:val="1"/>
          <w:numId w:val="14"/>
        </w:numPr>
        <w:jc w:val="both"/>
        <w:rPr>
          <w:lang w:val="es-MX"/>
        </w:rPr>
      </w:pPr>
      <w:r>
        <w:rPr>
          <w:lang w:val="es-MX"/>
        </w:rPr>
        <w:t xml:space="preserve">La </w:t>
      </w:r>
      <w:r w:rsidR="00240085" w:rsidRPr="003134B3">
        <w:rPr>
          <w:lang w:val="es-MX"/>
        </w:rPr>
        <w:t>participación política</w:t>
      </w:r>
      <w:r w:rsidR="001F7590">
        <w:rPr>
          <w:lang w:val="es-MX"/>
        </w:rPr>
        <w:t xml:space="preserve"> de la ciudadanía debe</w:t>
      </w:r>
      <w:r>
        <w:rPr>
          <w:lang w:val="es-MX"/>
        </w:rPr>
        <w:t xml:space="preserve"> promover los cambios.</w:t>
      </w:r>
    </w:p>
    <w:p w:rsidR="00240085" w:rsidRDefault="003134B3" w:rsidP="00240085">
      <w:pPr>
        <w:pStyle w:val="Prrafodelista"/>
        <w:numPr>
          <w:ilvl w:val="1"/>
          <w:numId w:val="14"/>
        </w:numPr>
        <w:jc w:val="both"/>
        <w:rPr>
          <w:lang w:val="es-MX"/>
        </w:rPr>
      </w:pPr>
      <w:r>
        <w:rPr>
          <w:lang w:val="es-MX"/>
        </w:rPr>
        <w:t xml:space="preserve">Se acordó la promoción de </w:t>
      </w:r>
      <w:r w:rsidR="00240085" w:rsidRPr="00240085">
        <w:rPr>
          <w:lang w:val="es-MX"/>
        </w:rPr>
        <w:t>programas exitosos de Europa y América Latina.</w:t>
      </w:r>
    </w:p>
    <w:p w:rsidR="003134B3" w:rsidRPr="00240085" w:rsidRDefault="003134B3" w:rsidP="00240085">
      <w:pPr>
        <w:pStyle w:val="Prrafodelista"/>
        <w:numPr>
          <w:ilvl w:val="1"/>
          <w:numId w:val="14"/>
        </w:numPr>
        <w:jc w:val="both"/>
        <w:rPr>
          <w:lang w:val="es-MX"/>
        </w:rPr>
      </w:pPr>
      <w:r>
        <w:rPr>
          <w:lang w:val="es-MX"/>
        </w:rPr>
        <w:t xml:space="preserve">Se elaborará una base de datos de los programas para el combate a la obesidad existentes en América Latina. </w:t>
      </w:r>
    </w:p>
    <w:p w:rsidR="009D2D07" w:rsidRDefault="009D2D07" w:rsidP="00261A9F">
      <w:pPr>
        <w:ind w:right="49"/>
        <w:contextualSpacing/>
        <w:jc w:val="both"/>
        <w:rPr>
          <w:rFonts w:cs="Tahoma"/>
          <w:lang w:val="es-MX"/>
        </w:rPr>
      </w:pPr>
      <w:r>
        <w:rPr>
          <w:bCs/>
          <w:lang w:val="es-MX"/>
        </w:rPr>
        <w:t xml:space="preserve">El monitoreo </w:t>
      </w:r>
      <w:r w:rsidR="00E90E10">
        <w:rPr>
          <w:bCs/>
          <w:lang w:val="es-MX"/>
        </w:rPr>
        <w:t xml:space="preserve">en la región </w:t>
      </w:r>
      <w:r>
        <w:rPr>
          <w:bCs/>
          <w:lang w:val="es-MX"/>
        </w:rPr>
        <w:t xml:space="preserve">de las posibles repercusiones del </w:t>
      </w:r>
      <w:r w:rsidRPr="003134B3">
        <w:rPr>
          <w:rFonts w:cs="Tahoma"/>
          <w:lang w:val="es-MX"/>
        </w:rPr>
        <w:t>Foro Iberoamericano de Obesidad</w:t>
      </w:r>
      <w:r>
        <w:rPr>
          <w:rFonts w:cs="Tahoma"/>
          <w:lang w:val="es-MX"/>
        </w:rPr>
        <w:t xml:space="preserve"> es necesario para medir su trascendencia en </w:t>
      </w:r>
      <w:r w:rsidR="00E90E10">
        <w:rPr>
          <w:rFonts w:cs="Tahoma"/>
          <w:lang w:val="es-MX"/>
        </w:rPr>
        <w:t xml:space="preserve">otros </w:t>
      </w:r>
      <w:r>
        <w:rPr>
          <w:rFonts w:cs="Tahoma"/>
          <w:lang w:val="es-MX"/>
        </w:rPr>
        <w:t xml:space="preserve">países y seguir la agenda que pudieran impulsar los participantes. </w:t>
      </w:r>
    </w:p>
    <w:p w:rsidR="009D2D07" w:rsidRDefault="009D2D07" w:rsidP="00261A9F">
      <w:pPr>
        <w:ind w:right="49"/>
        <w:contextualSpacing/>
        <w:jc w:val="both"/>
        <w:rPr>
          <w:bCs/>
          <w:lang w:val="es-MX"/>
        </w:rPr>
      </w:pPr>
      <w:r>
        <w:rPr>
          <w:bCs/>
          <w:lang w:val="es-MX"/>
        </w:rPr>
        <w:t xml:space="preserve"> </w:t>
      </w:r>
    </w:p>
    <w:p w:rsidR="00F2654B" w:rsidRPr="00261A9F" w:rsidRDefault="008B2E1E" w:rsidP="00261A9F">
      <w:pPr>
        <w:ind w:right="49"/>
        <w:contextualSpacing/>
        <w:jc w:val="both"/>
        <w:rPr>
          <w:bCs/>
        </w:rPr>
      </w:pPr>
      <w:r>
        <w:rPr>
          <w:bCs/>
          <w:lang w:val="es-MX"/>
        </w:rPr>
        <w:t xml:space="preserve">En la siguiente liga encontrarán más detalles de los pormenores de este foro. </w:t>
      </w:r>
      <w:hyperlink r:id="rId6" w:history="1">
        <w:r w:rsidR="005B617E" w:rsidRPr="00261A9F">
          <w:rPr>
            <w:rStyle w:val="Hipervnculo"/>
            <w:bCs/>
          </w:rPr>
          <w:t>https://teams.coca-cola.com/sites/MarketingTheCategoryLAG/ContentGeneration/SitePages/Home.aspx</w:t>
        </w:r>
      </w:hyperlink>
    </w:p>
    <w:p w:rsidR="005B617E" w:rsidRPr="00261A9F" w:rsidRDefault="005B617E" w:rsidP="00261A9F">
      <w:pPr>
        <w:ind w:right="49"/>
        <w:contextualSpacing/>
        <w:jc w:val="both"/>
        <w:rPr>
          <w:bCs/>
        </w:rPr>
      </w:pPr>
    </w:p>
    <w:p w:rsidR="00961314" w:rsidRPr="008A14A4" w:rsidRDefault="00961314" w:rsidP="00261A9F">
      <w:pPr>
        <w:ind w:right="49"/>
        <w:contextualSpacing/>
        <w:jc w:val="both"/>
        <w:rPr>
          <w:bCs/>
        </w:rPr>
      </w:pPr>
    </w:p>
    <w:p w:rsidR="00442092" w:rsidRPr="00FE630C" w:rsidRDefault="00442092" w:rsidP="00261A9F">
      <w:pPr>
        <w:ind w:right="49"/>
        <w:contextualSpacing/>
        <w:jc w:val="both"/>
        <w:rPr>
          <w:b/>
          <w:bCs/>
          <w:lang w:val="es-MX"/>
        </w:rPr>
      </w:pPr>
      <w:r w:rsidRPr="00FE630C">
        <w:rPr>
          <w:b/>
          <w:bCs/>
          <w:lang w:val="es-MX"/>
        </w:rPr>
        <w:t xml:space="preserve">MEJORES PRÁCTICAS </w:t>
      </w:r>
    </w:p>
    <w:p w:rsidR="005B617E" w:rsidRDefault="005B617E" w:rsidP="00261A9F">
      <w:pPr>
        <w:jc w:val="both"/>
        <w:rPr>
          <w:lang w:val="es-MX"/>
        </w:rPr>
      </w:pPr>
    </w:p>
    <w:p w:rsidR="00442092" w:rsidRDefault="00442092" w:rsidP="00261A9F">
      <w:pPr>
        <w:jc w:val="both"/>
        <w:rPr>
          <w:lang w:val="es-MX"/>
        </w:rPr>
      </w:pPr>
      <w:r>
        <w:rPr>
          <w:lang w:val="es-MX"/>
        </w:rPr>
        <w:t xml:space="preserve">Seguimos </w:t>
      </w:r>
      <w:r w:rsidR="005B617E">
        <w:rPr>
          <w:lang w:val="es-MX"/>
        </w:rPr>
        <w:t>impulsando este espacio mensual enfocado</w:t>
      </w:r>
      <w:r>
        <w:rPr>
          <w:lang w:val="es-MX"/>
        </w:rPr>
        <w:t xml:space="preserve"> en compartir buenas prácticas. En esta ocasión Brasil nos compartirá </w:t>
      </w:r>
      <w:r w:rsidR="00EC04AF">
        <w:rPr>
          <w:lang w:val="es-MX"/>
        </w:rPr>
        <w:t xml:space="preserve">su experiencia en torno a la construcción de coaliciones y acuerdos con instituciones, entre otros. </w:t>
      </w:r>
      <w:r>
        <w:rPr>
          <w:lang w:val="es-MX"/>
        </w:rPr>
        <w:t xml:space="preserve"> </w:t>
      </w:r>
    </w:p>
    <w:p w:rsidR="00442092" w:rsidRPr="00FE630C" w:rsidRDefault="00442092" w:rsidP="00261A9F">
      <w:pPr>
        <w:jc w:val="both"/>
        <w:rPr>
          <w:lang w:val="es-MX"/>
        </w:rPr>
      </w:pPr>
      <w:r>
        <w:rPr>
          <w:lang w:val="es-MX"/>
        </w:rPr>
        <w:t>Los invitamos a que cada BU presente las acciones emprendidas que han obtenido resultados satisfactorios</w:t>
      </w:r>
      <w:r w:rsidRPr="008E1108">
        <w:rPr>
          <w:lang w:val="es-MX"/>
        </w:rPr>
        <w:t xml:space="preserve"> </w:t>
      </w:r>
      <w:r>
        <w:rPr>
          <w:lang w:val="es-MX"/>
        </w:rPr>
        <w:t xml:space="preserve">en el marco de nuestra campaña. Para hacerlo, cada BU deberá enviar a </w:t>
      </w:r>
      <w:hyperlink r:id="rId7" w:history="1">
        <w:r>
          <w:rPr>
            <w:rStyle w:val="Hipervnculo"/>
            <w:lang w:val="es-MX"/>
          </w:rPr>
          <w:t>categorylatam@cepol.com.mx</w:t>
        </w:r>
      </w:hyperlink>
      <w:r>
        <w:rPr>
          <w:lang w:val="es-MX"/>
        </w:rPr>
        <w:t xml:space="preserve"> el tema propuesto y un párrafo explicando cuáles son los resultados obtenidos que justifican considerar la actividad una </w:t>
      </w:r>
      <w:r w:rsidRPr="005B617E">
        <w:rPr>
          <w:i/>
          <w:lang w:val="es-MX"/>
        </w:rPr>
        <w:t>best practice</w:t>
      </w:r>
      <w:r>
        <w:rPr>
          <w:lang w:val="es-MX"/>
        </w:rPr>
        <w:t>.</w:t>
      </w:r>
    </w:p>
    <w:p w:rsidR="00442092" w:rsidRPr="00FE630C" w:rsidRDefault="00442092" w:rsidP="00261A9F">
      <w:pPr>
        <w:ind w:right="49"/>
        <w:contextualSpacing/>
        <w:jc w:val="both"/>
        <w:rPr>
          <w:lang w:val="es-MX"/>
        </w:rPr>
      </w:pPr>
      <w:r w:rsidRPr="00FE630C">
        <w:rPr>
          <w:lang w:val="es-MX"/>
        </w:rPr>
        <w:t xml:space="preserve"> </w:t>
      </w:r>
    </w:p>
    <w:p w:rsidR="001521A4" w:rsidRDefault="00886215" w:rsidP="00261A9F">
      <w:pPr>
        <w:ind w:right="49"/>
        <w:jc w:val="both"/>
        <w:rPr>
          <w:lang w:val="es-MX"/>
        </w:rPr>
      </w:pPr>
      <w:r w:rsidRPr="00FE630C">
        <w:rPr>
          <w:lang w:val="es-MX"/>
        </w:rPr>
        <w:t xml:space="preserve">MATERIALES ESTRATÉGICOS.  </w:t>
      </w:r>
      <w:r w:rsidR="001521A4">
        <w:rPr>
          <w:lang w:val="es-MX"/>
        </w:rPr>
        <w:t>Hemos recibido su retroalimentación respecto a diversos documentos que les dimos a conocer, en ese sentido ustedes podrán consultar</w:t>
      </w:r>
      <w:r w:rsidR="00F2654B">
        <w:rPr>
          <w:lang w:val="es-MX"/>
        </w:rPr>
        <w:t xml:space="preserve"> en el Share Point de Category Leadership</w:t>
      </w:r>
      <w:r w:rsidR="001521A4">
        <w:rPr>
          <w:lang w:val="es-MX"/>
        </w:rPr>
        <w:t xml:space="preserve"> la actualización de: </w:t>
      </w:r>
    </w:p>
    <w:p w:rsidR="001521A4" w:rsidRDefault="001521A4" w:rsidP="00261A9F">
      <w:pPr>
        <w:pStyle w:val="Prrafodelista"/>
        <w:numPr>
          <w:ilvl w:val="0"/>
          <w:numId w:val="2"/>
        </w:numPr>
        <w:ind w:right="49"/>
        <w:jc w:val="both"/>
        <w:rPr>
          <w:bCs/>
          <w:lang w:val="es-ES"/>
        </w:rPr>
      </w:pPr>
      <w:r>
        <w:rPr>
          <w:bCs/>
          <w:lang w:val="es-ES"/>
        </w:rPr>
        <w:lastRenderedPageBreak/>
        <w:t xml:space="preserve">Directorio de voceros </w:t>
      </w:r>
    </w:p>
    <w:p w:rsidR="00886215" w:rsidRDefault="00886215" w:rsidP="00261A9F">
      <w:pPr>
        <w:pStyle w:val="Prrafodelista"/>
        <w:numPr>
          <w:ilvl w:val="0"/>
          <w:numId w:val="2"/>
        </w:numPr>
        <w:ind w:right="49"/>
        <w:jc w:val="both"/>
        <w:rPr>
          <w:bCs/>
          <w:lang w:val="es-ES"/>
        </w:rPr>
      </w:pPr>
      <w:r w:rsidRPr="00FE630C">
        <w:rPr>
          <w:bCs/>
          <w:lang w:val="es-ES"/>
        </w:rPr>
        <w:t xml:space="preserve">Mapas de Actores </w:t>
      </w:r>
    </w:p>
    <w:p w:rsidR="005B617E" w:rsidRDefault="005B617E" w:rsidP="00261A9F">
      <w:pPr>
        <w:pStyle w:val="Prrafodelista"/>
        <w:numPr>
          <w:ilvl w:val="0"/>
          <w:numId w:val="2"/>
        </w:numPr>
        <w:ind w:right="49"/>
        <w:jc w:val="both"/>
        <w:rPr>
          <w:bCs/>
          <w:lang w:val="es-ES"/>
        </w:rPr>
      </w:pPr>
      <w:r>
        <w:rPr>
          <w:bCs/>
          <w:lang w:val="es-ES"/>
        </w:rPr>
        <w:t>Congresos</w:t>
      </w:r>
    </w:p>
    <w:p w:rsidR="001521A4" w:rsidRDefault="001521A4" w:rsidP="00261A9F">
      <w:pPr>
        <w:jc w:val="both"/>
        <w:rPr>
          <w:bCs/>
          <w:lang w:val="es-ES"/>
        </w:rPr>
      </w:pPr>
      <w:r w:rsidRPr="001521A4">
        <w:rPr>
          <w:bCs/>
          <w:lang w:val="es-ES"/>
        </w:rPr>
        <w:t>Asimismo, podrán consultar</w:t>
      </w:r>
      <w:r>
        <w:rPr>
          <w:bCs/>
          <w:lang w:val="es-ES"/>
        </w:rPr>
        <w:t>:</w:t>
      </w:r>
    </w:p>
    <w:p w:rsidR="001521A4" w:rsidRPr="003E0D31" w:rsidRDefault="001521A4" w:rsidP="00261A9F">
      <w:pPr>
        <w:pStyle w:val="Prrafodelista"/>
        <w:numPr>
          <w:ilvl w:val="0"/>
          <w:numId w:val="12"/>
        </w:numPr>
        <w:jc w:val="both"/>
        <w:rPr>
          <w:lang w:val="es-MX"/>
        </w:rPr>
      </w:pPr>
      <w:r w:rsidRPr="00442092">
        <w:rPr>
          <w:lang w:val="es-MX"/>
        </w:rPr>
        <w:t xml:space="preserve">Reporte </w:t>
      </w:r>
      <w:r w:rsidR="00F2654B" w:rsidRPr="00442092">
        <w:rPr>
          <w:lang w:val="es-MX"/>
        </w:rPr>
        <w:t>d</w:t>
      </w:r>
      <w:r w:rsidRPr="00442092">
        <w:rPr>
          <w:lang w:val="es-MX"/>
        </w:rPr>
        <w:t xml:space="preserve">el </w:t>
      </w:r>
      <w:r w:rsidR="00442092" w:rsidRPr="00E46471">
        <w:rPr>
          <w:rFonts w:cs="Tahoma"/>
          <w:lang w:val="es-MX"/>
        </w:rPr>
        <w:t>Foro Iberoamericano de Obesidad que el</w:t>
      </w:r>
      <w:r w:rsidR="00442092">
        <w:rPr>
          <w:rFonts w:cs="Tahoma"/>
          <w:lang w:val="es-MX"/>
        </w:rPr>
        <w:t xml:space="preserve"> Gobierno del Distrito Federal </w:t>
      </w:r>
    </w:p>
    <w:p w:rsidR="003E0D31" w:rsidRPr="003E0D31" w:rsidRDefault="003E0D31" w:rsidP="00261A9F">
      <w:pPr>
        <w:pStyle w:val="Prrafodelista"/>
        <w:numPr>
          <w:ilvl w:val="0"/>
          <w:numId w:val="12"/>
        </w:numPr>
        <w:jc w:val="both"/>
        <w:rPr>
          <w:lang w:val="es-MX"/>
        </w:rPr>
      </w:pPr>
      <w:r>
        <w:rPr>
          <w:rFonts w:cs="Tahoma"/>
          <w:lang w:val="es-MX"/>
        </w:rPr>
        <w:t xml:space="preserve">Directrices de Naciones Unidas sobre Protección del Consumidor </w:t>
      </w:r>
    </w:p>
    <w:p w:rsidR="007E3A0A" w:rsidRPr="00FE630C" w:rsidRDefault="007E3A0A" w:rsidP="00261A9F">
      <w:pPr>
        <w:ind w:right="49"/>
        <w:jc w:val="both"/>
        <w:rPr>
          <w:lang w:val="es-MX"/>
        </w:rPr>
      </w:pPr>
      <w:r w:rsidRPr="00FE630C">
        <w:rPr>
          <w:lang w:val="es-MX"/>
        </w:rPr>
        <w:t>ESTATUS LEGISLATIVO</w:t>
      </w:r>
      <w:r w:rsidRPr="00FE630C">
        <w:rPr>
          <w:b/>
          <w:lang w:val="es-MX"/>
        </w:rPr>
        <w:t>.</w:t>
      </w:r>
      <w:r w:rsidRPr="00FE630C">
        <w:rPr>
          <w:lang w:val="es-MX"/>
        </w:rPr>
        <w:t xml:space="preserve">  </w:t>
      </w:r>
    </w:p>
    <w:p w:rsidR="007E3A0A" w:rsidRDefault="007E3A0A" w:rsidP="00261A9F">
      <w:pPr>
        <w:jc w:val="both"/>
        <w:rPr>
          <w:rFonts w:cs="Tahoma"/>
          <w:lang w:val="es-MX"/>
        </w:rPr>
      </w:pPr>
      <w:r>
        <w:rPr>
          <w:rFonts w:cs="Tahoma"/>
          <w:lang w:val="es-MX"/>
        </w:rPr>
        <w:t xml:space="preserve">El 1 de marzo entró en vigor </w:t>
      </w:r>
      <w:r w:rsidRPr="001521A4">
        <w:rPr>
          <w:rFonts w:cs="Tahoma"/>
          <w:lang w:val="es-MX"/>
        </w:rPr>
        <w:t xml:space="preserve">Plan de Combate a la obesidad y la diabetes </w:t>
      </w:r>
      <w:r>
        <w:rPr>
          <w:rFonts w:cs="Tahoma"/>
          <w:lang w:val="es-MX"/>
        </w:rPr>
        <w:t>en México. Este plan está integrado por tres pilares: salud pública, atención médica oportuna, y regulación sanitaria y política fiscal a favor de la salud. En ese sentido, el gobierno hará una promoción de estilos de vida saludable, amplias campañas de promoción a la salud de la educación, monitoreo permanente de las enfermedades no transmisibles, así como la implementación de acciones preventivas. Además se creará un observatorio encabezad</w:t>
      </w:r>
      <w:r w:rsidR="008A14A4">
        <w:rPr>
          <w:rFonts w:cs="Tahoma"/>
          <w:lang w:val="es-MX"/>
        </w:rPr>
        <w:t>o</w:t>
      </w:r>
      <w:r>
        <w:rPr>
          <w:rFonts w:cs="Tahoma"/>
          <w:lang w:val="es-MX"/>
        </w:rPr>
        <w:t xml:space="preserve"> por la Secretaría de Salud, “un mecanismo que permita generar información para una adecuada toma de decisiones en contra de la obesidad y la diabetes”. </w:t>
      </w:r>
    </w:p>
    <w:p w:rsidR="00AB5B55" w:rsidRPr="00AB5B55" w:rsidRDefault="00AB5B55" w:rsidP="00AB5B55">
      <w:pPr>
        <w:rPr>
          <w:rFonts w:cs="Tahoma"/>
          <w:lang w:val="es-MX"/>
        </w:rPr>
      </w:pPr>
      <w:r>
        <w:rPr>
          <w:rFonts w:cs="Tahoma"/>
          <w:lang w:val="es-MX"/>
        </w:rPr>
        <w:t>En Estados Unidos se anunció que e</w:t>
      </w:r>
      <w:r w:rsidRPr="00AB5B55">
        <w:rPr>
          <w:rFonts w:cs="Tahoma"/>
          <w:lang w:val="es-MX"/>
        </w:rPr>
        <w:t>l próximo año escolar entrarán en vigor las nuevas reglas de publicidad y consumo de alimentos y bebidas como parte  de la campaña de combate a la obesidad</w:t>
      </w:r>
      <w:r>
        <w:rPr>
          <w:rFonts w:cs="Tahoma"/>
          <w:lang w:val="es-MX"/>
        </w:rPr>
        <w:t xml:space="preserve"> </w:t>
      </w:r>
      <w:r w:rsidRPr="00AB5B55">
        <w:rPr>
          <w:rFonts w:cs="Tahoma"/>
          <w:lang w:val="es-MX"/>
        </w:rPr>
        <w:t>Let´s Move. La nueva reglamentación tiene por objeto que en las escuelas de toda la Unión Americana se impongan límites a los anuncios publicitarios de los alimentos denominados "chatarra". </w:t>
      </w:r>
    </w:p>
    <w:p w:rsidR="00AB5B55" w:rsidRPr="00AB5B55" w:rsidRDefault="00AB5B55" w:rsidP="00AB5B55">
      <w:pPr>
        <w:pStyle w:val="NormalWeb"/>
        <w:jc w:val="both"/>
        <w:rPr>
          <w:rFonts w:asciiTheme="minorHAnsi" w:hAnsiTheme="minorHAnsi" w:cs="Tahoma"/>
          <w:sz w:val="22"/>
          <w:szCs w:val="22"/>
          <w:lang w:val="es-MX"/>
        </w:rPr>
      </w:pPr>
      <w:r w:rsidRPr="00AB5B55">
        <w:rPr>
          <w:rFonts w:asciiTheme="minorHAnsi" w:hAnsiTheme="minorHAnsi" w:cs="Tahoma"/>
          <w:sz w:val="22"/>
          <w:szCs w:val="22"/>
          <w:lang w:val="es-MX"/>
        </w:rPr>
        <w:t>El Departamento de Agricultura exigirá, además, que todos los alimentos y bebidas que se vendan en las escuelas, incluidos los de las máquinas expendedoras, cumplan al menos uno de los siguientes requisitos: Contener cereales integrales, tener como principal ingrediente una fruta, verdura o proteína, o aportar el 10% de la cantidad diaria recomendada de calcio, vitamina D y fibra.</w:t>
      </w:r>
      <w:r>
        <w:rPr>
          <w:rFonts w:asciiTheme="minorHAnsi" w:hAnsiTheme="minorHAnsi" w:cs="Tahoma"/>
          <w:sz w:val="22"/>
          <w:szCs w:val="22"/>
          <w:lang w:val="es-MX"/>
        </w:rPr>
        <w:t xml:space="preserve"> </w:t>
      </w:r>
      <w:r w:rsidRPr="00AB5B55">
        <w:rPr>
          <w:rFonts w:asciiTheme="minorHAnsi" w:hAnsiTheme="minorHAnsi" w:cs="Tahoma"/>
          <w:sz w:val="22"/>
          <w:szCs w:val="22"/>
          <w:lang w:val="es-MX"/>
        </w:rPr>
        <w:t>Asimismo, se actualizarán los estándares sobre las calorías, el contenido en grasa, el sodio y el azúcar de las comidas y bebidas vendidas en los centros escolares.</w:t>
      </w:r>
    </w:p>
    <w:p w:rsidR="00961314" w:rsidRPr="00AB5B55" w:rsidRDefault="00AB5B55" w:rsidP="00261A9F">
      <w:pPr>
        <w:ind w:right="49"/>
        <w:jc w:val="both"/>
        <w:rPr>
          <w:lang w:val="es-MX"/>
        </w:rPr>
      </w:pPr>
      <w:r>
        <w:rPr>
          <w:lang w:val="es-MX"/>
        </w:rPr>
        <w:t xml:space="preserve">Lo anterior tendrá un fuerte impacto en la región y de inmediato en Puerto Rico. </w:t>
      </w:r>
    </w:p>
    <w:p w:rsidR="00886215" w:rsidRPr="00FE630C" w:rsidRDefault="00886215" w:rsidP="00261A9F">
      <w:pPr>
        <w:ind w:right="49"/>
        <w:jc w:val="both"/>
        <w:rPr>
          <w:lang w:val="es-MX"/>
        </w:rPr>
      </w:pPr>
      <w:r w:rsidRPr="00FE630C">
        <w:rPr>
          <w:lang w:val="es-MX"/>
        </w:rPr>
        <w:t xml:space="preserve">(SECCIÓN FIJA) </w:t>
      </w:r>
      <w:r w:rsidRPr="00FE630C">
        <w:rPr>
          <w:b/>
          <w:lang w:val="es-MX"/>
        </w:rPr>
        <w:t xml:space="preserve">Asuntos Generales </w:t>
      </w:r>
    </w:p>
    <w:p w:rsidR="00886215" w:rsidRPr="00FE630C" w:rsidRDefault="00F014C4" w:rsidP="00261A9F">
      <w:pPr>
        <w:ind w:right="49"/>
        <w:jc w:val="both"/>
        <w:rPr>
          <w:lang w:val="es-MX"/>
        </w:rPr>
      </w:pPr>
      <w:r w:rsidRPr="00FE630C">
        <w:rPr>
          <w:lang w:val="es-MX"/>
        </w:rPr>
        <w:t xml:space="preserve">El </w:t>
      </w:r>
      <w:r w:rsidR="00416ECE">
        <w:rPr>
          <w:lang w:val="es-MX"/>
        </w:rPr>
        <w:t>1</w:t>
      </w:r>
      <w:r w:rsidR="006A7B2D">
        <w:rPr>
          <w:lang w:val="es-MX"/>
        </w:rPr>
        <w:t>4</w:t>
      </w:r>
      <w:r w:rsidR="008B2E1E">
        <w:rPr>
          <w:lang w:val="es-MX"/>
        </w:rPr>
        <w:t xml:space="preserve"> </w:t>
      </w:r>
      <w:r w:rsidR="00BF54A8" w:rsidRPr="00FE630C">
        <w:rPr>
          <w:lang w:val="es-MX"/>
        </w:rPr>
        <w:t xml:space="preserve"> de </w:t>
      </w:r>
      <w:r w:rsidR="008B2E1E">
        <w:rPr>
          <w:lang w:val="es-MX"/>
        </w:rPr>
        <w:t>marzo</w:t>
      </w:r>
      <w:r w:rsidR="00BF54A8" w:rsidRPr="00FE630C">
        <w:rPr>
          <w:lang w:val="es-MX"/>
        </w:rPr>
        <w:t xml:space="preserve"> </w:t>
      </w:r>
      <w:r w:rsidR="008B2E1E">
        <w:rPr>
          <w:lang w:val="es-MX"/>
        </w:rPr>
        <w:t xml:space="preserve">llevaremos a cabo </w:t>
      </w:r>
      <w:r w:rsidR="00BF54A8" w:rsidRPr="00FE630C">
        <w:rPr>
          <w:lang w:val="es-MX"/>
        </w:rPr>
        <w:t xml:space="preserve">la </w:t>
      </w:r>
      <w:r w:rsidR="008B2E1E">
        <w:rPr>
          <w:lang w:val="es-MX"/>
        </w:rPr>
        <w:t>quinta</w:t>
      </w:r>
      <w:r w:rsidR="00BF54A8" w:rsidRPr="00FE630C">
        <w:rPr>
          <w:lang w:val="es-MX"/>
        </w:rPr>
        <w:t xml:space="preserve"> </w:t>
      </w:r>
      <w:r w:rsidR="000C15B6">
        <w:rPr>
          <w:lang w:val="es-MX"/>
        </w:rPr>
        <w:t>reuni</w:t>
      </w:r>
      <w:r w:rsidR="00377DB4" w:rsidRPr="00377DB4">
        <w:rPr>
          <w:lang w:val="es-MX"/>
        </w:rPr>
        <w:t>ón</w:t>
      </w:r>
      <w:r w:rsidR="00BF54A8" w:rsidRPr="00FE630C">
        <w:rPr>
          <w:lang w:val="es-MX"/>
        </w:rPr>
        <w:t xml:space="preserve"> quincenal de</w:t>
      </w:r>
      <w:r w:rsidR="00BF54A8" w:rsidRPr="00FE630C">
        <w:rPr>
          <w:b/>
          <w:bCs/>
          <w:lang w:val="es-MX"/>
        </w:rPr>
        <w:t xml:space="preserve"> </w:t>
      </w:r>
      <w:r w:rsidR="00BF54A8" w:rsidRPr="00FE630C">
        <w:rPr>
          <w:bCs/>
          <w:lang w:val="es-MX"/>
        </w:rPr>
        <w:t xml:space="preserve">la Campaña 360° </w:t>
      </w:r>
      <w:r w:rsidR="004D3FB1" w:rsidRPr="00FE630C">
        <w:rPr>
          <w:bCs/>
          <w:lang w:val="es-MX"/>
        </w:rPr>
        <w:t xml:space="preserve">de </w:t>
      </w:r>
      <w:r w:rsidR="00BF54A8" w:rsidRPr="00FE630C">
        <w:rPr>
          <w:bCs/>
          <w:lang w:val="es-MX"/>
        </w:rPr>
        <w:t xml:space="preserve">Category Leadership </w:t>
      </w:r>
      <w:r w:rsidR="004D3FB1" w:rsidRPr="00FE630C">
        <w:rPr>
          <w:bCs/>
          <w:lang w:val="es-MX"/>
        </w:rPr>
        <w:t xml:space="preserve">para </w:t>
      </w:r>
      <w:r w:rsidR="00BF54A8" w:rsidRPr="00FE630C">
        <w:rPr>
          <w:bCs/>
          <w:lang w:val="es-MX"/>
        </w:rPr>
        <w:t>América Latina</w:t>
      </w:r>
      <w:r w:rsidR="00BF54A8" w:rsidRPr="00FE630C">
        <w:rPr>
          <w:lang w:val="es-MX"/>
        </w:rPr>
        <w:t xml:space="preserve">. </w:t>
      </w:r>
      <w:r w:rsidR="00886215" w:rsidRPr="00FE630C">
        <w:rPr>
          <w:lang w:val="es-MX"/>
        </w:rPr>
        <w:t xml:space="preserve">El horario será </w:t>
      </w:r>
      <w:r w:rsidR="006A7B2D">
        <w:rPr>
          <w:lang w:val="es-MX"/>
        </w:rPr>
        <w:t>de 11:3</w:t>
      </w:r>
      <w:r w:rsidR="00D15E0B">
        <w:rPr>
          <w:lang w:val="es-MX"/>
        </w:rPr>
        <w:t>0</w:t>
      </w:r>
      <w:r w:rsidR="005212AB" w:rsidRPr="00FE630C">
        <w:rPr>
          <w:lang w:val="es-MX"/>
        </w:rPr>
        <w:t xml:space="preserve"> a </w:t>
      </w:r>
      <w:r w:rsidR="006A7B2D">
        <w:rPr>
          <w:lang w:val="es-MX"/>
        </w:rPr>
        <w:t>13:0</w:t>
      </w:r>
      <w:r w:rsidR="00F2654B">
        <w:rPr>
          <w:lang w:val="es-MX"/>
        </w:rPr>
        <w:t>0</w:t>
      </w:r>
      <w:r w:rsidR="00886215" w:rsidRPr="00FE630C">
        <w:rPr>
          <w:lang w:val="es-MX"/>
        </w:rPr>
        <w:t>, hora de México y Centroamérica</w:t>
      </w:r>
      <w:r w:rsidR="000C15B6">
        <w:rPr>
          <w:lang w:val="es-MX"/>
        </w:rPr>
        <w:t>,</w:t>
      </w:r>
      <w:r w:rsidR="00635076">
        <w:rPr>
          <w:lang w:val="es-MX"/>
        </w:rPr>
        <w:t xml:space="preserve"> en formato de call y webex</w:t>
      </w:r>
      <w:r w:rsidR="00886215" w:rsidRPr="00FE630C">
        <w:rPr>
          <w:lang w:val="es-MX"/>
        </w:rPr>
        <w:t>.</w:t>
      </w:r>
    </w:p>
    <w:p w:rsidR="00886215" w:rsidRPr="00FE630C" w:rsidRDefault="00886215" w:rsidP="00261A9F">
      <w:pPr>
        <w:ind w:right="49"/>
        <w:jc w:val="both"/>
        <w:rPr>
          <w:lang w:val="es-MX"/>
        </w:rPr>
      </w:pPr>
      <w:r w:rsidRPr="00FE630C">
        <w:rPr>
          <w:lang w:val="es-MX"/>
        </w:rPr>
        <w:t xml:space="preserve">Aquí puedes consultar la agenda de la reunión: </w:t>
      </w:r>
    </w:p>
    <w:p w:rsidR="00A105A6" w:rsidRPr="00441DB0" w:rsidRDefault="00A105A6" w:rsidP="00261A9F">
      <w:pPr>
        <w:autoSpaceDE w:val="0"/>
        <w:autoSpaceDN w:val="0"/>
        <w:ind w:right="49"/>
        <w:jc w:val="both"/>
        <w:rPr>
          <w:rFonts w:cs="Tahoma"/>
          <w:bCs/>
          <w:lang w:val="es-MX"/>
        </w:rPr>
      </w:pPr>
      <w:r w:rsidRPr="00441DB0">
        <w:rPr>
          <w:rFonts w:cs="Tahoma"/>
          <w:bCs/>
          <w:lang w:val="es-MX"/>
        </w:rPr>
        <w:t>- Update PAC LAG</w:t>
      </w:r>
    </w:p>
    <w:p w:rsidR="007E3A0A" w:rsidRDefault="007E3A0A" w:rsidP="00261A9F">
      <w:pPr>
        <w:autoSpaceDE w:val="0"/>
        <w:autoSpaceDN w:val="0"/>
        <w:ind w:right="49"/>
        <w:jc w:val="both"/>
        <w:rPr>
          <w:rFonts w:cs="Tahoma"/>
          <w:bCs/>
          <w:lang w:val="es-MX"/>
        </w:rPr>
      </w:pPr>
      <w:r>
        <w:rPr>
          <w:rFonts w:cs="Tahoma"/>
          <w:bCs/>
          <w:lang w:val="es-MX"/>
        </w:rPr>
        <w:t>-- Mejores prácticas: Brasil</w:t>
      </w:r>
    </w:p>
    <w:p w:rsidR="00A105A6" w:rsidRPr="00621A0C" w:rsidRDefault="00A105A6" w:rsidP="00261A9F">
      <w:pPr>
        <w:autoSpaceDE w:val="0"/>
        <w:autoSpaceDN w:val="0"/>
        <w:ind w:right="49"/>
        <w:jc w:val="both"/>
        <w:rPr>
          <w:lang w:val="es-MX"/>
        </w:rPr>
      </w:pPr>
      <w:r w:rsidRPr="00621A0C">
        <w:rPr>
          <w:rFonts w:cs="Tahoma"/>
          <w:bCs/>
          <w:lang w:val="es-MX"/>
        </w:rPr>
        <w:lastRenderedPageBreak/>
        <w:t>- Update de PAC de cada BU</w:t>
      </w:r>
    </w:p>
    <w:p w:rsidR="00A105A6" w:rsidRDefault="00A105A6" w:rsidP="00261A9F">
      <w:pPr>
        <w:pStyle w:val="Prrafodelista"/>
        <w:numPr>
          <w:ilvl w:val="0"/>
          <w:numId w:val="7"/>
        </w:numPr>
        <w:autoSpaceDE w:val="0"/>
        <w:autoSpaceDN w:val="0"/>
        <w:ind w:right="49"/>
        <w:jc w:val="both"/>
        <w:rPr>
          <w:rFonts w:cs="Tahoma"/>
          <w:lang w:val="es-MX"/>
        </w:rPr>
      </w:pPr>
      <w:r w:rsidRPr="00FE630C">
        <w:rPr>
          <w:rFonts w:cs="Tahoma"/>
          <w:lang w:val="es-MX"/>
        </w:rPr>
        <w:t xml:space="preserve">Cobertura </w:t>
      </w:r>
      <w:r w:rsidR="001521A4">
        <w:rPr>
          <w:rFonts w:cs="Tahoma"/>
          <w:lang w:val="es-MX"/>
        </w:rPr>
        <w:t>mediática</w:t>
      </w:r>
    </w:p>
    <w:p w:rsidR="00F2654B" w:rsidRPr="00FE630C" w:rsidRDefault="00F2654B" w:rsidP="00261A9F">
      <w:pPr>
        <w:pStyle w:val="Prrafodelista"/>
        <w:numPr>
          <w:ilvl w:val="0"/>
          <w:numId w:val="7"/>
        </w:numPr>
        <w:autoSpaceDE w:val="0"/>
        <w:autoSpaceDN w:val="0"/>
        <w:ind w:right="49"/>
        <w:jc w:val="both"/>
        <w:rPr>
          <w:rFonts w:cs="Tahoma"/>
          <w:lang w:val="es-MX"/>
        </w:rPr>
      </w:pPr>
      <w:r>
        <w:rPr>
          <w:rFonts w:cs="Tahoma"/>
          <w:lang w:val="es-MX"/>
        </w:rPr>
        <w:t>Sistema de métricas</w:t>
      </w:r>
      <w:r w:rsidR="008B2E1E">
        <w:rPr>
          <w:rFonts w:cs="Tahoma"/>
          <w:lang w:val="es-MX"/>
        </w:rPr>
        <w:t xml:space="preserve"> / entrega de reportes</w:t>
      </w:r>
    </w:p>
    <w:p w:rsidR="00A105A6" w:rsidRPr="00FE630C" w:rsidRDefault="00A105A6" w:rsidP="00261A9F">
      <w:pPr>
        <w:pStyle w:val="Prrafodelista"/>
        <w:numPr>
          <w:ilvl w:val="0"/>
          <w:numId w:val="7"/>
        </w:numPr>
        <w:autoSpaceDE w:val="0"/>
        <w:autoSpaceDN w:val="0"/>
        <w:ind w:right="49"/>
        <w:jc w:val="both"/>
        <w:rPr>
          <w:rFonts w:cs="Tahoma"/>
          <w:lang w:val="es-MX"/>
        </w:rPr>
      </w:pPr>
      <w:r w:rsidRPr="00FE630C">
        <w:rPr>
          <w:rFonts w:cs="Tahoma"/>
          <w:lang w:val="es-MX"/>
        </w:rPr>
        <w:t>Necesidades</w:t>
      </w:r>
    </w:p>
    <w:p w:rsidR="00A105A6" w:rsidRDefault="00A105A6" w:rsidP="00261A9F">
      <w:pPr>
        <w:pStyle w:val="Prrafodelista"/>
        <w:numPr>
          <w:ilvl w:val="0"/>
          <w:numId w:val="7"/>
        </w:numPr>
        <w:autoSpaceDE w:val="0"/>
        <w:autoSpaceDN w:val="0"/>
        <w:ind w:right="49"/>
        <w:jc w:val="both"/>
        <w:rPr>
          <w:lang w:val="es-MX"/>
        </w:rPr>
      </w:pPr>
      <w:r w:rsidRPr="00FE630C">
        <w:rPr>
          <w:lang w:val="es-MX"/>
        </w:rPr>
        <w:t xml:space="preserve">Reporte </w:t>
      </w:r>
      <w:r w:rsidR="004D3FB1" w:rsidRPr="00FE630C">
        <w:rPr>
          <w:lang w:val="es-MX"/>
        </w:rPr>
        <w:t>de c</w:t>
      </w:r>
      <w:r w:rsidRPr="00FE630C">
        <w:rPr>
          <w:lang w:val="es-MX"/>
        </w:rPr>
        <w:t xml:space="preserve">oyuntura </w:t>
      </w:r>
    </w:p>
    <w:p w:rsidR="00D25474" w:rsidRPr="00FE630C" w:rsidRDefault="00D25474" w:rsidP="00261A9F">
      <w:pPr>
        <w:pStyle w:val="Prrafodelista"/>
        <w:autoSpaceDE w:val="0"/>
        <w:autoSpaceDN w:val="0"/>
        <w:ind w:right="49"/>
        <w:jc w:val="both"/>
        <w:rPr>
          <w:lang w:val="es-MX"/>
        </w:rPr>
      </w:pPr>
    </w:p>
    <w:p w:rsidR="00A105A6" w:rsidRPr="003F0440" w:rsidRDefault="004D3FB1" w:rsidP="00261A9F">
      <w:pPr>
        <w:autoSpaceDE w:val="0"/>
        <w:autoSpaceDN w:val="0"/>
        <w:ind w:right="49"/>
        <w:jc w:val="both"/>
        <w:rPr>
          <w:rFonts w:cs="Tahoma"/>
          <w:b/>
          <w:bCs/>
          <w:lang w:val="es-MX"/>
        </w:rPr>
      </w:pPr>
      <w:r w:rsidRPr="00FE630C">
        <w:rPr>
          <w:rFonts w:cs="Tahoma"/>
          <w:b/>
          <w:bCs/>
          <w:lang w:val="es-MX"/>
        </w:rPr>
        <w:t xml:space="preserve"> </w:t>
      </w:r>
      <w:r w:rsidR="00A105A6" w:rsidRPr="003F0440">
        <w:rPr>
          <w:rFonts w:cs="Tahoma"/>
          <w:b/>
          <w:bCs/>
          <w:lang w:val="es-MX"/>
        </w:rPr>
        <w:t>- Próximas acciones</w:t>
      </w:r>
    </w:p>
    <w:p w:rsidR="005B617E" w:rsidRPr="003E0D31" w:rsidRDefault="003E0D31" w:rsidP="003E0D31">
      <w:pPr>
        <w:pStyle w:val="Prrafodelista"/>
        <w:numPr>
          <w:ilvl w:val="0"/>
          <w:numId w:val="13"/>
        </w:numPr>
        <w:ind w:right="49"/>
        <w:jc w:val="both"/>
        <w:rPr>
          <w:rFonts w:cs="Tahoma"/>
          <w:b/>
          <w:bCs/>
          <w:lang w:val="es-MX"/>
        </w:rPr>
      </w:pPr>
      <w:r w:rsidRPr="003E0D31">
        <w:rPr>
          <w:bCs/>
          <w:lang w:val="es-ES"/>
        </w:rPr>
        <w:t xml:space="preserve">Esperamos que todas las BU´s que estén listas comiencen a cargar en la base de datos del Sistema de Monitoreo  y Evaluación  de la </w:t>
      </w:r>
      <w:r w:rsidRPr="003E0D31">
        <w:rPr>
          <w:bCs/>
          <w:lang w:val="es-MX"/>
        </w:rPr>
        <w:t xml:space="preserve">Campaña 360° de Category Leadership para </w:t>
      </w:r>
      <w:bookmarkStart w:id="0" w:name="_GoBack"/>
      <w:bookmarkEnd w:id="0"/>
      <w:r w:rsidRPr="003E0D31">
        <w:rPr>
          <w:bCs/>
          <w:lang w:val="es-MX"/>
        </w:rPr>
        <w:t>América Latina</w:t>
      </w:r>
      <w:r w:rsidRPr="003E0D31">
        <w:rPr>
          <w:bCs/>
          <w:lang w:val="es-ES"/>
        </w:rPr>
        <w:t xml:space="preserve"> sus reportes de enero y febrero.</w:t>
      </w:r>
    </w:p>
    <w:sectPr w:rsidR="005B617E" w:rsidRPr="003E0D31" w:rsidSect="00936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7389"/>
    <w:multiLevelType w:val="hybridMultilevel"/>
    <w:tmpl w:val="2D907444"/>
    <w:lvl w:ilvl="0" w:tplc="080A0003">
      <w:start w:val="1"/>
      <w:numFmt w:val="bullet"/>
      <w:lvlText w:val="o"/>
      <w:lvlJc w:val="left"/>
      <w:pPr>
        <w:ind w:left="763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0C76339F"/>
    <w:multiLevelType w:val="hybridMultilevel"/>
    <w:tmpl w:val="48CE7172"/>
    <w:lvl w:ilvl="0" w:tplc="4E3A679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A3394"/>
    <w:multiLevelType w:val="hybridMultilevel"/>
    <w:tmpl w:val="6DA23BA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F22A2"/>
    <w:multiLevelType w:val="hybridMultilevel"/>
    <w:tmpl w:val="B7F8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116B8"/>
    <w:multiLevelType w:val="hybridMultilevel"/>
    <w:tmpl w:val="074419D0"/>
    <w:lvl w:ilvl="0" w:tplc="9D42963C">
      <w:start w:val="22"/>
      <w:numFmt w:val="bullet"/>
      <w:lvlText w:val=""/>
      <w:lvlJc w:val="left"/>
      <w:pPr>
        <w:ind w:left="1800" w:hanging="360"/>
      </w:pPr>
      <w:rPr>
        <w:rFonts w:ascii="Symbol" w:eastAsiaTheme="minorHAnsi" w:hAnsi="Symbol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3086CBD"/>
    <w:multiLevelType w:val="hybridMultilevel"/>
    <w:tmpl w:val="D7A2F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D5F86"/>
    <w:multiLevelType w:val="hybridMultilevel"/>
    <w:tmpl w:val="031A7EA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DD691A"/>
    <w:multiLevelType w:val="hybridMultilevel"/>
    <w:tmpl w:val="BF7A1E16"/>
    <w:lvl w:ilvl="0" w:tplc="4E3A679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57DD2"/>
    <w:multiLevelType w:val="hybridMultilevel"/>
    <w:tmpl w:val="4786417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C1515F8"/>
    <w:multiLevelType w:val="hybridMultilevel"/>
    <w:tmpl w:val="5E5C4A24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14E6EF7"/>
    <w:multiLevelType w:val="hybridMultilevel"/>
    <w:tmpl w:val="AEBC0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DB58EF"/>
    <w:multiLevelType w:val="hybridMultilevel"/>
    <w:tmpl w:val="481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A47B7B"/>
    <w:multiLevelType w:val="hybridMultilevel"/>
    <w:tmpl w:val="C8389AFE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3A917A0"/>
    <w:multiLevelType w:val="hybridMultilevel"/>
    <w:tmpl w:val="2BFE3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53AB5"/>
    <w:multiLevelType w:val="hybridMultilevel"/>
    <w:tmpl w:val="D326FF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E1429"/>
    <w:multiLevelType w:val="hybridMultilevel"/>
    <w:tmpl w:val="571E78D4"/>
    <w:lvl w:ilvl="0" w:tplc="2F0C2D9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15"/>
  </w:num>
  <w:num w:numId="5">
    <w:abstractNumId w:val="8"/>
  </w:num>
  <w:num w:numId="6">
    <w:abstractNumId w:val="12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  <w:num w:numId="13">
    <w:abstractNumId w:val="13"/>
  </w:num>
  <w:num w:numId="14">
    <w:abstractNumId w:val="2"/>
  </w:num>
  <w:num w:numId="15">
    <w:abstractNumId w:val="9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9F3D9D"/>
    <w:rsid w:val="00071F1E"/>
    <w:rsid w:val="000C15B6"/>
    <w:rsid w:val="000C724B"/>
    <w:rsid w:val="000D60CC"/>
    <w:rsid w:val="001036E8"/>
    <w:rsid w:val="001150F6"/>
    <w:rsid w:val="00126C48"/>
    <w:rsid w:val="001341B4"/>
    <w:rsid w:val="001521A4"/>
    <w:rsid w:val="001618AD"/>
    <w:rsid w:val="0017686A"/>
    <w:rsid w:val="00177BF9"/>
    <w:rsid w:val="001A66A7"/>
    <w:rsid w:val="001E40FA"/>
    <w:rsid w:val="001E7060"/>
    <w:rsid w:val="001F74C6"/>
    <w:rsid w:val="001F7590"/>
    <w:rsid w:val="00223B98"/>
    <w:rsid w:val="00224BC7"/>
    <w:rsid w:val="00240085"/>
    <w:rsid w:val="002457B9"/>
    <w:rsid w:val="002545FA"/>
    <w:rsid w:val="00261A9F"/>
    <w:rsid w:val="00284DCE"/>
    <w:rsid w:val="0029038A"/>
    <w:rsid w:val="002C4040"/>
    <w:rsid w:val="002D6769"/>
    <w:rsid w:val="002F0B80"/>
    <w:rsid w:val="003134B3"/>
    <w:rsid w:val="00324125"/>
    <w:rsid w:val="00344A63"/>
    <w:rsid w:val="0035718F"/>
    <w:rsid w:val="00377DB4"/>
    <w:rsid w:val="003A46BC"/>
    <w:rsid w:val="003A6F1E"/>
    <w:rsid w:val="003D053B"/>
    <w:rsid w:val="003E0D31"/>
    <w:rsid w:val="003E28ED"/>
    <w:rsid w:val="003F0440"/>
    <w:rsid w:val="004041C1"/>
    <w:rsid w:val="0040589E"/>
    <w:rsid w:val="0041456C"/>
    <w:rsid w:val="00416ECE"/>
    <w:rsid w:val="00435C8A"/>
    <w:rsid w:val="00441DB0"/>
    <w:rsid w:val="00442092"/>
    <w:rsid w:val="00452910"/>
    <w:rsid w:val="00453301"/>
    <w:rsid w:val="004732A5"/>
    <w:rsid w:val="0047459E"/>
    <w:rsid w:val="004A5048"/>
    <w:rsid w:val="004D06A6"/>
    <w:rsid w:val="004D3FB1"/>
    <w:rsid w:val="004F19EE"/>
    <w:rsid w:val="005212AB"/>
    <w:rsid w:val="005B617E"/>
    <w:rsid w:val="005F0975"/>
    <w:rsid w:val="0060182E"/>
    <w:rsid w:val="00621A0C"/>
    <w:rsid w:val="00626B87"/>
    <w:rsid w:val="00635076"/>
    <w:rsid w:val="0065273A"/>
    <w:rsid w:val="006660D7"/>
    <w:rsid w:val="0067520C"/>
    <w:rsid w:val="006949E3"/>
    <w:rsid w:val="006A58FB"/>
    <w:rsid w:val="006A7B2D"/>
    <w:rsid w:val="006D11ED"/>
    <w:rsid w:val="006F0F9A"/>
    <w:rsid w:val="00702CF1"/>
    <w:rsid w:val="007354EF"/>
    <w:rsid w:val="00751168"/>
    <w:rsid w:val="00755864"/>
    <w:rsid w:val="007576A5"/>
    <w:rsid w:val="007854BE"/>
    <w:rsid w:val="00791D7B"/>
    <w:rsid w:val="007C263F"/>
    <w:rsid w:val="007E3A0A"/>
    <w:rsid w:val="007F7B26"/>
    <w:rsid w:val="00821C9D"/>
    <w:rsid w:val="008248DF"/>
    <w:rsid w:val="00886215"/>
    <w:rsid w:val="008A14A4"/>
    <w:rsid w:val="008B2E1E"/>
    <w:rsid w:val="008B3C08"/>
    <w:rsid w:val="008C1F51"/>
    <w:rsid w:val="008D15F7"/>
    <w:rsid w:val="008E1108"/>
    <w:rsid w:val="00913267"/>
    <w:rsid w:val="00922099"/>
    <w:rsid w:val="00936258"/>
    <w:rsid w:val="00955CA7"/>
    <w:rsid w:val="009567EF"/>
    <w:rsid w:val="00961314"/>
    <w:rsid w:val="00986B39"/>
    <w:rsid w:val="009A714C"/>
    <w:rsid w:val="009D2B4C"/>
    <w:rsid w:val="009D2D07"/>
    <w:rsid w:val="009E15E7"/>
    <w:rsid w:val="009E70F5"/>
    <w:rsid w:val="009F1762"/>
    <w:rsid w:val="009F3D9D"/>
    <w:rsid w:val="00A06DA0"/>
    <w:rsid w:val="00A06E01"/>
    <w:rsid w:val="00A105A6"/>
    <w:rsid w:val="00A54C74"/>
    <w:rsid w:val="00A55CF5"/>
    <w:rsid w:val="00AB5B55"/>
    <w:rsid w:val="00B3450D"/>
    <w:rsid w:val="00B44B92"/>
    <w:rsid w:val="00B60123"/>
    <w:rsid w:val="00B83F38"/>
    <w:rsid w:val="00BA6327"/>
    <w:rsid w:val="00BD1E34"/>
    <w:rsid w:val="00BD56AA"/>
    <w:rsid w:val="00BF54A8"/>
    <w:rsid w:val="00C07F05"/>
    <w:rsid w:val="00C229A0"/>
    <w:rsid w:val="00C33BEF"/>
    <w:rsid w:val="00CB4C38"/>
    <w:rsid w:val="00CC4DFE"/>
    <w:rsid w:val="00CE59A5"/>
    <w:rsid w:val="00D15E0B"/>
    <w:rsid w:val="00D20B63"/>
    <w:rsid w:val="00D25474"/>
    <w:rsid w:val="00D336D6"/>
    <w:rsid w:val="00D62963"/>
    <w:rsid w:val="00D666E5"/>
    <w:rsid w:val="00D74A1D"/>
    <w:rsid w:val="00DE0E89"/>
    <w:rsid w:val="00E17CBD"/>
    <w:rsid w:val="00E33971"/>
    <w:rsid w:val="00E379A3"/>
    <w:rsid w:val="00E4098A"/>
    <w:rsid w:val="00E46471"/>
    <w:rsid w:val="00E53996"/>
    <w:rsid w:val="00E56772"/>
    <w:rsid w:val="00E90E10"/>
    <w:rsid w:val="00EA1D91"/>
    <w:rsid w:val="00EA567C"/>
    <w:rsid w:val="00EB693C"/>
    <w:rsid w:val="00EC04AF"/>
    <w:rsid w:val="00EE331D"/>
    <w:rsid w:val="00EE3792"/>
    <w:rsid w:val="00EF04C6"/>
    <w:rsid w:val="00EF503F"/>
    <w:rsid w:val="00F014C4"/>
    <w:rsid w:val="00F2654B"/>
    <w:rsid w:val="00F57E07"/>
    <w:rsid w:val="00F645D9"/>
    <w:rsid w:val="00F73E3F"/>
    <w:rsid w:val="00FA1C1F"/>
    <w:rsid w:val="00FB3F6C"/>
    <w:rsid w:val="00FD1D1F"/>
    <w:rsid w:val="00FE515A"/>
    <w:rsid w:val="00FE6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0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621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86215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6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A1C1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04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91D7B"/>
  </w:style>
  <w:style w:type="character" w:styleId="Textoennegrita">
    <w:name w:val="Strong"/>
    <w:basedOn w:val="Fuentedeprrafopredeter"/>
    <w:uiPriority w:val="22"/>
    <w:qFormat/>
    <w:rsid w:val="00FE630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7511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11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11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11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1168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613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2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6215"/>
    <w:pPr>
      <w:ind w:left="720"/>
      <w:contextualSpacing/>
    </w:pPr>
  </w:style>
  <w:style w:type="table" w:styleId="TableGrid">
    <w:name w:val="Table Grid"/>
    <w:basedOn w:val="TableNormal"/>
    <w:uiPriority w:val="59"/>
    <w:rsid w:val="00886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A1C1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4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1D7B"/>
  </w:style>
  <w:style w:type="character" w:styleId="Strong">
    <w:name w:val="Strong"/>
    <w:basedOn w:val="DefaultParagraphFont"/>
    <w:uiPriority w:val="22"/>
    <w:qFormat/>
    <w:rsid w:val="00FE63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5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16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6131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9208">
                  <w:marLeft w:val="0"/>
                  <w:marRight w:val="0"/>
                  <w:marTop w:val="0"/>
                  <w:marBottom w:val="3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tegorylatam@cepol.co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coca-cola.com/sites/MarketingTheCategoryLAG/ContentGeneration/SitePages/Home.aspx" TargetMode="External"/><Relationship Id="rId5" Type="http://schemas.openxmlformats.org/officeDocument/2006/relationships/hyperlink" Target="https://teams.coca-cola.com/sites/MarketingTheCategoryLAG/ContentGeneration/SitePages/Home.aspx?RootFolder=%2Fsites%2FMarketingTheCategoryLAG%2FContentGeneration%2FShared%20Documents%2FLatest%20UB%20Articles%202013&amp;FolderCTID=0x01200036B32310346B5940862A438412E792CD&amp;View=%7b7CF11627-F167-4D60-B517-066720758551%7d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2000</Words>
  <Characters>11006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amunoz</dc:creator>
  <cp:lastModifiedBy>amunoz</cp:lastModifiedBy>
  <cp:revision>8</cp:revision>
  <dcterms:created xsi:type="dcterms:W3CDTF">2014-03-04T18:38:00Z</dcterms:created>
  <dcterms:modified xsi:type="dcterms:W3CDTF">2014-03-10T19:22:00Z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IntVersion">
    <vt:i4>15</vt:i4>
  </property>
  <property fmtid="{D5CDD505-2E9C-101B-9397-08002B2CF9AE}" pid="3" name="FILEGUID">
    <vt:lpwstr>a692bb8a-5c06-468d-96a4-8693f9af527e</vt:lpwstr>
  </property>
  <property fmtid="{D5CDD505-2E9C-101B-9397-08002B2CF9AE}" pid="4" name="MODFILEGUID">
    <vt:lpwstr>b931d0a7-5299-4f63-96e3-2af4dd7e44fd</vt:lpwstr>
  </property>
  <property fmtid="{D5CDD505-2E9C-101B-9397-08002B2CF9AE}" pid="5" name="FILEOWNER">
    <vt:lpwstr>amunoz</vt:lpwstr>
  </property>
  <property fmtid="{D5CDD505-2E9C-101B-9397-08002B2CF9AE}" pid="6" name="MODFILEOWNER">
    <vt:lpwstr>N20863</vt:lpwstr>
  </property>
  <property fmtid="{D5CDD505-2E9C-101B-9397-08002B2CF9AE}" pid="7" name="IPPCLASS">
    <vt:i4>1</vt:i4>
  </property>
  <property fmtid="{D5CDD505-2E9C-101B-9397-08002B2CF9AE}" pid="8" name="MODIPPCLASS">
    <vt:i4>1</vt:i4>
  </property>
  <property fmtid="{D5CDD505-2E9C-101B-9397-08002B2CF9AE}" pid="9" name="MACHINEID">
    <vt:lpwstr>N20863-7413</vt:lpwstr>
  </property>
  <property fmtid="{D5CDD505-2E9C-101B-9397-08002B2CF9AE}" pid="10" name="MODMACHINEID">
    <vt:lpwstr>N20863-9698</vt:lpwstr>
  </property>
  <property fmtid="{D5CDD505-2E9C-101B-9397-08002B2CF9AE}" pid="11" name="CURRENTCLASS">
    <vt:lpwstr>Classified - No Category</vt:lpwstr>
  </property>
</Properties>
</file>