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Colorectal Cancer–Associated Genes and PDB Structures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Gene Symbol</w:t>
            </w:r>
          </w:p>
        </w:tc>
        <w:tc>
          <w:tcPr>
            <w:tcW w:type="dxa" w:w="1728"/>
          </w:tcPr>
          <w:p>
            <w:r>
              <w:t>Protein Name</w:t>
            </w:r>
          </w:p>
        </w:tc>
        <w:tc>
          <w:tcPr>
            <w:tcW w:type="dxa" w:w="1728"/>
          </w:tcPr>
          <w:p>
            <w:r>
              <w:t>Cancer Type</w:t>
            </w:r>
          </w:p>
        </w:tc>
        <w:tc>
          <w:tcPr>
            <w:tcW w:type="dxa" w:w="1728"/>
          </w:tcPr>
          <w:p>
            <w:r>
              <w:t>PDB Structure Available</w:t>
            </w:r>
          </w:p>
        </w:tc>
        <w:tc>
          <w:tcPr>
            <w:tcW w:type="dxa" w:w="1728"/>
          </w:tcPr>
          <w:p>
            <w:r>
              <w:t>Representative PDB ID</w:t>
            </w:r>
          </w:p>
        </w:tc>
      </w:tr>
      <w:tr>
        <w:tc>
          <w:tcPr>
            <w:tcW w:type="dxa" w:w="1728"/>
          </w:tcPr>
          <w:p>
            <w:r>
              <w:t>APC</w:t>
            </w:r>
          </w:p>
        </w:tc>
        <w:tc>
          <w:tcPr>
            <w:tcW w:type="dxa" w:w="1728"/>
          </w:tcPr>
          <w:p>
            <w:r>
              <w:t>Adenomatous polyposis coli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5IZ8</w:t>
            </w:r>
          </w:p>
        </w:tc>
      </w:tr>
      <w:tr>
        <w:tc>
          <w:tcPr>
            <w:tcW w:type="dxa" w:w="1728"/>
          </w:tcPr>
          <w:p>
            <w:r>
              <w:t>KRAS</w:t>
            </w:r>
          </w:p>
        </w:tc>
        <w:tc>
          <w:tcPr>
            <w:tcW w:type="dxa" w:w="1728"/>
          </w:tcPr>
          <w:p>
            <w:r>
              <w:t>GTPase KRas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4LUC</w:t>
            </w:r>
          </w:p>
        </w:tc>
      </w:tr>
      <w:tr>
        <w:tc>
          <w:tcPr>
            <w:tcW w:type="dxa" w:w="1728"/>
          </w:tcPr>
          <w:p>
            <w:r>
              <w:t>TP53</w:t>
            </w:r>
          </w:p>
        </w:tc>
        <w:tc>
          <w:tcPr>
            <w:tcW w:type="dxa" w:w="1728"/>
          </w:tcPr>
          <w:p>
            <w:r>
              <w:t>Tumor protein p53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2OCJ</w:t>
            </w:r>
          </w:p>
        </w:tc>
      </w:tr>
      <w:tr>
        <w:tc>
          <w:tcPr>
            <w:tcW w:type="dxa" w:w="1728"/>
          </w:tcPr>
          <w:p>
            <w:r>
              <w:t>PIK3CA</w:t>
            </w:r>
          </w:p>
        </w:tc>
        <w:tc>
          <w:tcPr>
            <w:tcW w:type="dxa" w:w="1728"/>
          </w:tcPr>
          <w:p>
            <w:r>
              <w:t>PI3K catalytic subunit α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4OVV</w:t>
            </w:r>
          </w:p>
        </w:tc>
      </w:tr>
      <w:tr>
        <w:tc>
          <w:tcPr>
            <w:tcW w:type="dxa" w:w="1728"/>
          </w:tcPr>
          <w:p>
            <w:r>
              <w:t>BRAF</w:t>
            </w:r>
          </w:p>
        </w:tc>
        <w:tc>
          <w:tcPr>
            <w:tcW w:type="dxa" w:w="1728"/>
          </w:tcPr>
          <w:p>
            <w:r>
              <w:t>B‑Raf proto‑oncogene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6U2G</w:t>
            </w:r>
          </w:p>
        </w:tc>
      </w:tr>
      <w:tr>
        <w:tc>
          <w:tcPr>
            <w:tcW w:type="dxa" w:w="1728"/>
          </w:tcPr>
          <w:p>
            <w:r>
              <w:t>CTNNB1</w:t>
            </w:r>
          </w:p>
        </w:tc>
        <w:tc>
          <w:tcPr>
            <w:tcW w:type="dxa" w:w="1728"/>
          </w:tcPr>
          <w:p>
            <w:r>
              <w:t>β‑catenin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1JDH</w:t>
            </w:r>
          </w:p>
        </w:tc>
      </w:tr>
      <w:tr>
        <w:tc>
          <w:tcPr>
            <w:tcW w:type="dxa" w:w="1728"/>
          </w:tcPr>
          <w:p>
            <w:r>
              <w:t>PTEN</w:t>
            </w:r>
          </w:p>
        </w:tc>
        <w:tc>
          <w:tcPr>
            <w:tcW w:type="dxa" w:w="1728"/>
          </w:tcPr>
          <w:p>
            <w:r>
              <w:t>PTEN phosphatase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1D5R</w:t>
            </w:r>
          </w:p>
        </w:tc>
      </w:tr>
      <w:tr>
        <w:tc>
          <w:tcPr>
            <w:tcW w:type="dxa" w:w="1728"/>
          </w:tcPr>
          <w:p>
            <w:r>
              <w:t>AKT1</w:t>
            </w:r>
          </w:p>
        </w:tc>
        <w:tc>
          <w:tcPr>
            <w:tcW w:type="dxa" w:w="1728"/>
          </w:tcPr>
          <w:p>
            <w:r>
              <w:t>AKT serine/threonine kinase 1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3O96</w:t>
            </w:r>
          </w:p>
        </w:tc>
      </w:tr>
      <w:tr>
        <w:tc>
          <w:tcPr>
            <w:tcW w:type="dxa" w:w="1728"/>
          </w:tcPr>
          <w:p>
            <w:r>
              <w:t>MLH1</w:t>
            </w:r>
          </w:p>
        </w:tc>
        <w:tc>
          <w:tcPr>
            <w:tcW w:type="dxa" w:w="1728"/>
          </w:tcPr>
          <w:p>
            <w:r>
              <w:t>DNA mismatch repair protein MLH1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 (partial)</w:t>
            </w:r>
          </w:p>
        </w:tc>
        <w:tc>
          <w:tcPr>
            <w:tcW w:type="dxa" w:w="1728"/>
          </w:tcPr>
          <w:p>
            <w:r>
              <w:t>3QEA</w:t>
            </w:r>
          </w:p>
        </w:tc>
      </w:tr>
      <w:tr>
        <w:tc>
          <w:tcPr>
            <w:tcW w:type="dxa" w:w="1728"/>
          </w:tcPr>
          <w:p>
            <w:r>
              <w:t>MSH2</w:t>
            </w:r>
          </w:p>
        </w:tc>
        <w:tc>
          <w:tcPr>
            <w:tcW w:type="dxa" w:w="1728"/>
          </w:tcPr>
          <w:p>
            <w:r>
              <w:t>DNA mismatch repair protein MSH2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2O8A</w:t>
            </w:r>
          </w:p>
        </w:tc>
      </w:tr>
      <w:tr>
        <w:tc>
          <w:tcPr>
            <w:tcW w:type="dxa" w:w="1728"/>
          </w:tcPr>
          <w:p>
            <w:r>
              <w:t>MSH6</w:t>
            </w:r>
          </w:p>
        </w:tc>
        <w:tc>
          <w:tcPr>
            <w:tcW w:type="dxa" w:w="1728"/>
          </w:tcPr>
          <w:p>
            <w:r>
              <w:t>DNA mismatch repair protein MSH6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2O8A</w:t>
            </w:r>
          </w:p>
        </w:tc>
      </w:tr>
      <w:tr>
        <w:tc>
          <w:tcPr>
            <w:tcW w:type="dxa" w:w="1728"/>
          </w:tcPr>
          <w:p>
            <w:r>
              <w:t>PMS2</w:t>
            </w:r>
          </w:p>
        </w:tc>
        <w:tc>
          <w:tcPr>
            <w:tcW w:type="dxa" w:w="1728"/>
          </w:tcPr>
          <w:p>
            <w:r>
              <w:t>DNA mismatch repair protein PMS2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3QEA</w:t>
            </w:r>
          </w:p>
        </w:tc>
      </w:tr>
      <w:tr>
        <w:tc>
          <w:tcPr>
            <w:tcW w:type="dxa" w:w="1728"/>
          </w:tcPr>
          <w:p>
            <w:r>
              <w:t>NRAS</w:t>
            </w:r>
          </w:p>
        </w:tc>
        <w:tc>
          <w:tcPr>
            <w:tcW w:type="dxa" w:w="1728"/>
          </w:tcPr>
          <w:p>
            <w:r>
              <w:t>Neuroblastoma RAS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3CON</w:t>
            </w:r>
          </w:p>
        </w:tc>
      </w:tr>
      <w:tr>
        <w:tc>
          <w:tcPr>
            <w:tcW w:type="dxa" w:w="1728"/>
          </w:tcPr>
          <w:p>
            <w:r>
              <w:t>CDKN2A</w:t>
            </w:r>
          </w:p>
        </w:tc>
        <w:tc>
          <w:tcPr>
            <w:tcW w:type="dxa" w:w="1728"/>
          </w:tcPr>
          <w:p>
            <w:r>
              <w:t>Cyclin‑dependent kinase inhibitor 2A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1A5E</w:t>
            </w:r>
          </w:p>
        </w:tc>
      </w:tr>
      <w:tr>
        <w:tc>
          <w:tcPr>
            <w:tcW w:type="dxa" w:w="1728"/>
          </w:tcPr>
          <w:p>
            <w:r>
              <w:t>EGFR</w:t>
            </w:r>
          </w:p>
        </w:tc>
        <w:tc>
          <w:tcPr>
            <w:tcW w:type="dxa" w:w="1728"/>
          </w:tcPr>
          <w:p>
            <w:r>
              <w:t>Epidermal growth factor receptor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1M17</w:t>
            </w:r>
          </w:p>
        </w:tc>
      </w:tr>
      <w:tr>
        <w:tc>
          <w:tcPr>
            <w:tcW w:type="dxa" w:w="1728"/>
          </w:tcPr>
          <w:p>
            <w:r>
              <w:t>CCND1</w:t>
            </w:r>
          </w:p>
        </w:tc>
        <w:tc>
          <w:tcPr>
            <w:tcW w:type="dxa" w:w="1728"/>
          </w:tcPr>
          <w:p>
            <w:r>
              <w:t>Cyclin D1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2W96</w:t>
            </w:r>
          </w:p>
        </w:tc>
      </w:tr>
      <w:tr>
        <w:tc>
          <w:tcPr>
            <w:tcW w:type="dxa" w:w="1728"/>
          </w:tcPr>
          <w:p>
            <w:r>
              <w:t>MYC</w:t>
            </w:r>
          </w:p>
        </w:tc>
        <w:tc>
          <w:tcPr>
            <w:tcW w:type="dxa" w:w="1728"/>
          </w:tcPr>
          <w:p>
            <w:r>
              <w:t>Transcription factor Myc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 (domain)</w:t>
            </w:r>
          </w:p>
        </w:tc>
        <w:tc>
          <w:tcPr>
            <w:tcW w:type="dxa" w:w="1728"/>
          </w:tcPr>
          <w:p>
            <w:r>
              <w:t>1NKP</w:t>
            </w:r>
          </w:p>
        </w:tc>
      </w:tr>
      <w:tr>
        <w:tc>
          <w:tcPr>
            <w:tcW w:type="dxa" w:w="1728"/>
          </w:tcPr>
          <w:p>
            <w:r>
              <w:t>SMAD4</w:t>
            </w:r>
          </w:p>
        </w:tc>
        <w:tc>
          <w:tcPr>
            <w:tcW w:type="dxa" w:w="1728"/>
          </w:tcPr>
          <w:p>
            <w:r>
              <w:t>SMAD family member 4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1MHD</w:t>
            </w:r>
          </w:p>
        </w:tc>
      </w:tr>
      <w:tr>
        <w:tc>
          <w:tcPr>
            <w:tcW w:type="dxa" w:w="1728"/>
          </w:tcPr>
          <w:p>
            <w:r>
              <w:t>TGFBR2</w:t>
            </w:r>
          </w:p>
        </w:tc>
        <w:tc>
          <w:tcPr>
            <w:tcW w:type="dxa" w:w="1728"/>
          </w:tcPr>
          <w:p>
            <w:r>
              <w:t>TGF‑β receptor 2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3KFD</w:t>
            </w:r>
          </w:p>
        </w:tc>
      </w:tr>
      <w:tr>
        <w:tc>
          <w:tcPr>
            <w:tcW w:type="dxa" w:w="1728"/>
          </w:tcPr>
          <w:p>
            <w:r>
              <w:t>ERBB2</w:t>
            </w:r>
          </w:p>
        </w:tc>
        <w:tc>
          <w:tcPr>
            <w:tcW w:type="dxa" w:w="1728"/>
          </w:tcPr>
          <w:p>
            <w:r>
              <w:t>Receptor tyrosine kinase erbB‑2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3PP0</w:t>
            </w:r>
          </w:p>
        </w:tc>
      </w:tr>
      <w:tr>
        <w:tc>
          <w:tcPr>
            <w:tcW w:type="dxa" w:w="1728"/>
          </w:tcPr>
          <w:p>
            <w:r>
              <w:t>SRC</w:t>
            </w:r>
          </w:p>
        </w:tc>
        <w:tc>
          <w:tcPr>
            <w:tcW w:type="dxa" w:w="1728"/>
          </w:tcPr>
          <w:p>
            <w:r>
              <w:t>Proto‑oncogene Src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1Y57</w:t>
            </w:r>
          </w:p>
        </w:tc>
      </w:tr>
      <w:tr>
        <w:tc>
          <w:tcPr>
            <w:tcW w:type="dxa" w:w="1728"/>
          </w:tcPr>
          <w:p>
            <w:r>
              <w:t>MAPK1</w:t>
            </w:r>
          </w:p>
        </w:tc>
        <w:tc>
          <w:tcPr>
            <w:tcW w:type="dxa" w:w="1728"/>
          </w:tcPr>
          <w:p>
            <w:r>
              <w:t>Mitogen‑activated protein kinase 1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2ZOQ</w:t>
            </w:r>
          </w:p>
        </w:tc>
      </w:tr>
      <w:tr>
        <w:tc>
          <w:tcPr>
            <w:tcW w:type="dxa" w:w="1728"/>
          </w:tcPr>
          <w:p>
            <w:r>
              <w:t>MAPK3</w:t>
            </w:r>
          </w:p>
        </w:tc>
        <w:tc>
          <w:tcPr>
            <w:tcW w:type="dxa" w:w="1728"/>
          </w:tcPr>
          <w:p>
            <w:r>
              <w:t>Mitogen‑activated protein kinase 3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2ERK</w:t>
            </w:r>
          </w:p>
        </w:tc>
      </w:tr>
      <w:tr>
        <w:tc>
          <w:tcPr>
            <w:tcW w:type="dxa" w:w="1728"/>
          </w:tcPr>
          <w:p>
            <w:r>
              <w:t>CDH1</w:t>
            </w:r>
          </w:p>
        </w:tc>
        <w:tc>
          <w:tcPr>
            <w:tcW w:type="dxa" w:w="1728"/>
          </w:tcPr>
          <w:p>
            <w:r>
              <w:t>E‑cadherin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3Q2V</w:t>
            </w:r>
          </w:p>
        </w:tc>
      </w:tr>
      <w:tr>
        <w:tc>
          <w:tcPr>
            <w:tcW w:type="dxa" w:w="1728"/>
          </w:tcPr>
          <w:p>
            <w:r>
              <w:t>SMAD2</w:t>
            </w:r>
          </w:p>
        </w:tc>
        <w:tc>
          <w:tcPr>
            <w:tcW w:type="dxa" w:w="1728"/>
          </w:tcPr>
          <w:p>
            <w:r>
              <w:t>SMAD family member 2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1KHX</w:t>
            </w:r>
          </w:p>
        </w:tc>
      </w:tr>
      <w:tr>
        <w:tc>
          <w:tcPr>
            <w:tcW w:type="dxa" w:w="1728"/>
          </w:tcPr>
          <w:p>
            <w:r>
              <w:t>SMAD3</w:t>
            </w:r>
          </w:p>
        </w:tc>
        <w:tc>
          <w:tcPr>
            <w:tcW w:type="dxa" w:w="1728"/>
          </w:tcPr>
          <w:p>
            <w:r>
              <w:t>SMAD family member 3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1KHU</w:t>
            </w:r>
          </w:p>
        </w:tc>
      </w:tr>
      <w:tr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Vascular endothelial growth factor A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1FLT</w:t>
            </w:r>
          </w:p>
        </w:tc>
      </w:tr>
      <w:tr>
        <w:tc>
          <w:tcPr>
            <w:tcW w:type="dxa" w:w="1728"/>
          </w:tcPr>
          <w:p>
            <w:r>
              <w:t>PDGFRA</w:t>
            </w:r>
          </w:p>
        </w:tc>
        <w:tc>
          <w:tcPr>
            <w:tcW w:type="dxa" w:w="1728"/>
          </w:tcPr>
          <w:p>
            <w:r>
              <w:t>Platelet‑derived growth factor receptor α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5GRN</w:t>
            </w:r>
          </w:p>
        </w:tc>
      </w:tr>
      <w:tr>
        <w:tc>
          <w:tcPr>
            <w:tcW w:type="dxa" w:w="1728"/>
          </w:tcPr>
          <w:p>
            <w:r>
              <w:t>KIT</w:t>
            </w:r>
          </w:p>
        </w:tc>
        <w:tc>
          <w:tcPr>
            <w:tcW w:type="dxa" w:w="1728"/>
          </w:tcPr>
          <w:p>
            <w:r>
              <w:t>Stem cell factor receptor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1PKG</w:t>
            </w:r>
          </w:p>
        </w:tc>
      </w:tr>
      <w:tr>
        <w:tc>
          <w:tcPr>
            <w:tcW w:type="dxa" w:w="1728"/>
          </w:tcPr>
          <w:p>
            <w:r>
              <w:t>CTSB</w:t>
            </w:r>
          </w:p>
        </w:tc>
        <w:tc>
          <w:tcPr>
            <w:tcW w:type="dxa" w:w="1728"/>
          </w:tcPr>
          <w:p>
            <w:r>
              <w:t>Cathepsin B</w:t>
            </w:r>
          </w:p>
        </w:tc>
        <w:tc>
          <w:tcPr>
            <w:tcW w:type="dxa" w:w="1728"/>
          </w:tcPr>
          <w:p>
            <w:r>
              <w:t>Colorectal cancer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1GMY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