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45BEF" w14:textId="17B53ADB" w:rsidR="00E87385" w:rsidRPr="00B10AF4" w:rsidRDefault="00E87385">
      <w:pPr>
        <w:rPr>
          <w:rFonts w:ascii="Times New Roman" w:hAnsi="Times New Roman" w:cs="Times New Roman"/>
        </w:rPr>
      </w:pPr>
      <w:r w:rsidRPr="00B10AF4">
        <w:rPr>
          <w:rFonts w:ascii="Times New Roman" w:hAnsi="Times New Roman" w:cs="Times New Roman"/>
        </w:rPr>
        <w:t>Andrew Yeh</w:t>
      </w:r>
      <w:r w:rsidR="00B10AF4">
        <w:rPr>
          <w:rFonts w:ascii="Times New Roman" w:hAnsi="Times New Roman" w:cs="Times New Roman"/>
        </w:rPr>
        <w:br/>
      </w:r>
      <w:r w:rsidR="00B10AF4" w:rsidRPr="00B10AF4">
        <w:rPr>
          <w:rFonts w:ascii="Times New Roman" w:hAnsi="Times New Roman" w:cs="Times New Roman"/>
        </w:rPr>
        <w:t>Taylor</w:t>
      </w:r>
      <w:r w:rsidRPr="00B10AF4">
        <w:rPr>
          <w:rFonts w:ascii="Times New Roman" w:hAnsi="Times New Roman" w:cs="Times New Roman"/>
        </w:rPr>
        <w:br/>
        <w:t>Acct 930</w:t>
      </w:r>
      <w:r w:rsidR="00B10AF4">
        <w:rPr>
          <w:rFonts w:ascii="Times New Roman" w:hAnsi="Times New Roman" w:cs="Times New Roman"/>
        </w:rPr>
        <w:t xml:space="preserve"> </w:t>
      </w:r>
      <w:r w:rsidRPr="00B10AF4">
        <w:rPr>
          <w:rFonts w:ascii="Times New Roman" w:hAnsi="Times New Roman" w:cs="Times New Roman"/>
        </w:rPr>
        <w:t>Capstone Project: Boone and White (2015)</w:t>
      </w:r>
      <w:r w:rsidRPr="00B10AF4">
        <w:rPr>
          <w:rFonts w:ascii="Times New Roman" w:hAnsi="Times New Roman" w:cs="Times New Roman"/>
        </w:rPr>
        <w:br/>
        <w:t>April 22, 2022</w:t>
      </w:r>
    </w:p>
    <w:p w14:paraId="71D75BFD" w14:textId="04DD4D91" w:rsidR="00E87385" w:rsidRPr="00B10AF4" w:rsidRDefault="00E87385">
      <w:pPr>
        <w:rPr>
          <w:rFonts w:ascii="Times New Roman" w:hAnsi="Times New Roman" w:cs="Times New Roman"/>
          <w:b/>
          <w:bCs/>
        </w:rPr>
      </w:pPr>
      <w:r w:rsidRPr="00B10AF4">
        <w:rPr>
          <w:rFonts w:ascii="Times New Roman" w:hAnsi="Times New Roman" w:cs="Times New Roman"/>
          <w:b/>
          <w:bCs/>
        </w:rPr>
        <w:t>Abstract</w:t>
      </w:r>
    </w:p>
    <w:p w14:paraId="38F55758" w14:textId="2EFB1A83" w:rsidR="00E87385" w:rsidRPr="00B10AF4" w:rsidRDefault="00E87385">
      <w:pPr>
        <w:rPr>
          <w:rFonts w:ascii="Times New Roman" w:hAnsi="Times New Roman" w:cs="Times New Roman"/>
        </w:rPr>
      </w:pPr>
      <w:r w:rsidRPr="00B10AF4">
        <w:rPr>
          <w:rFonts w:ascii="Times New Roman" w:hAnsi="Times New Roman" w:cs="Times New Roman"/>
        </w:rPr>
        <w:t xml:space="preserve">Boone and White (2015) </w:t>
      </w:r>
      <w:r w:rsidR="00173E31" w:rsidRPr="00B10AF4">
        <w:rPr>
          <w:rFonts w:ascii="Times New Roman" w:hAnsi="Times New Roman" w:cs="Times New Roman"/>
        </w:rPr>
        <w:t xml:space="preserve">state that they </w:t>
      </w:r>
      <w:r w:rsidRPr="00B10AF4">
        <w:rPr>
          <w:rFonts w:ascii="Times New Roman" w:hAnsi="Times New Roman" w:cs="Times New Roman"/>
        </w:rPr>
        <w:t xml:space="preserve">investigate </w:t>
      </w:r>
      <w:r w:rsidR="00173E31" w:rsidRPr="00B10AF4">
        <w:rPr>
          <w:rFonts w:ascii="Times New Roman" w:hAnsi="Times New Roman" w:cs="Times New Roman"/>
        </w:rPr>
        <w:t xml:space="preserve">the effect of institutional ownership on firm transparency and information production. </w:t>
      </w:r>
      <w:r w:rsidR="00E24D98" w:rsidRPr="00B10AF4">
        <w:rPr>
          <w:rFonts w:ascii="Times New Roman" w:hAnsi="Times New Roman" w:cs="Times New Roman"/>
        </w:rPr>
        <w:t xml:space="preserve">They do this by using the discontinuity in institutional ownership that results from just missing the cutoff for entering the Russell 1000 instead of the Russell 2000 versus just making the cutoff. </w:t>
      </w:r>
      <w:r w:rsidR="00F64E17" w:rsidRPr="00B10AF4">
        <w:rPr>
          <w:rFonts w:ascii="Times New Roman" w:hAnsi="Times New Roman" w:cs="Times New Roman"/>
        </w:rPr>
        <w:t xml:space="preserve">They find that firms in a bandwidth around this discontinuity </w:t>
      </w:r>
      <w:r w:rsidR="004E7B22" w:rsidRPr="00B10AF4">
        <w:rPr>
          <w:rFonts w:ascii="Times New Roman" w:hAnsi="Times New Roman" w:cs="Times New Roman"/>
        </w:rPr>
        <w:t xml:space="preserve">have greater managerial disclosure, analyst following, and a more transparent trading environment. </w:t>
      </w:r>
      <w:r w:rsidR="00F64E17" w:rsidRPr="00B10AF4">
        <w:rPr>
          <w:rFonts w:ascii="Times New Roman" w:hAnsi="Times New Roman" w:cs="Times New Roman"/>
        </w:rPr>
        <w:t xml:space="preserve">I investigate </w:t>
      </w:r>
      <w:r w:rsidR="004E7B22" w:rsidRPr="00B10AF4">
        <w:rPr>
          <w:rFonts w:ascii="Times New Roman" w:hAnsi="Times New Roman" w:cs="Times New Roman"/>
        </w:rPr>
        <w:t>the third claim specifically</w:t>
      </w:r>
      <w:r w:rsidR="00281B54" w:rsidRPr="00B10AF4">
        <w:rPr>
          <w:rFonts w:ascii="Times New Roman" w:hAnsi="Times New Roman" w:cs="Times New Roman"/>
        </w:rPr>
        <w:t xml:space="preserve"> by replicating the author’s results and then perturbing various dimensions of the research design and variable construction </w:t>
      </w:r>
      <w:r w:rsidR="00E7433B" w:rsidRPr="00B10AF4">
        <w:rPr>
          <w:rFonts w:ascii="Times New Roman" w:hAnsi="Times New Roman" w:cs="Times New Roman"/>
        </w:rPr>
        <w:t>to</w:t>
      </w:r>
      <w:r w:rsidR="00281B54" w:rsidRPr="00B10AF4">
        <w:rPr>
          <w:rFonts w:ascii="Times New Roman" w:hAnsi="Times New Roman" w:cs="Times New Roman"/>
        </w:rPr>
        <w:t xml:space="preserve"> better understand</w:t>
      </w:r>
      <w:r w:rsidR="00EB2574" w:rsidRPr="00B10AF4">
        <w:rPr>
          <w:rFonts w:ascii="Times New Roman" w:hAnsi="Times New Roman" w:cs="Times New Roman"/>
        </w:rPr>
        <w:t xml:space="preserve"> the sources of statistical significance. I find that perturbations to the </w:t>
      </w:r>
      <w:r w:rsidR="001A47F4" w:rsidRPr="00B10AF4">
        <w:rPr>
          <w:rFonts w:ascii="Times New Roman" w:hAnsi="Times New Roman" w:cs="Times New Roman"/>
        </w:rPr>
        <w:t xml:space="preserve">construction of the liquidity measures yield substantially similar results, but </w:t>
      </w:r>
      <w:r w:rsidR="00E7433B" w:rsidRPr="00B10AF4">
        <w:rPr>
          <w:rFonts w:ascii="Times New Roman" w:hAnsi="Times New Roman" w:cs="Times New Roman"/>
        </w:rPr>
        <w:t>adjustments to the timing of the ranking (the running variable) and subsetting the proposed bandwidth</w:t>
      </w:r>
      <w:r w:rsidR="00D24A24" w:rsidRPr="00B10AF4">
        <w:rPr>
          <w:rFonts w:ascii="Times New Roman" w:hAnsi="Times New Roman" w:cs="Times New Roman"/>
        </w:rPr>
        <w:t xml:space="preserve"> </w:t>
      </w:r>
      <w:proofErr w:type="gramStart"/>
      <w:r w:rsidR="00D24A24" w:rsidRPr="00B10AF4">
        <w:rPr>
          <w:rFonts w:ascii="Times New Roman" w:hAnsi="Times New Roman" w:cs="Times New Roman"/>
        </w:rPr>
        <w:t>lead</w:t>
      </w:r>
      <w:proofErr w:type="gramEnd"/>
      <w:r w:rsidR="00D24A24" w:rsidRPr="00B10AF4">
        <w:rPr>
          <w:rFonts w:ascii="Times New Roman" w:hAnsi="Times New Roman" w:cs="Times New Roman"/>
        </w:rPr>
        <w:t xml:space="preserve"> to insignificant or even statistically significant but opposite-signed results.</w:t>
      </w:r>
    </w:p>
    <w:p w14:paraId="074D9BFD" w14:textId="6DFED5C8" w:rsidR="005F6979" w:rsidRPr="00B10AF4" w:rsidRDefault="005F6979">
      <w:pPr>
        <w:rPr>
          <w:rFonts w:ascii="Times New Roman" w:hAnsi="Times New Roman" w:cs="Times New Roman"/>
          <w:b/>
          <w:bCs/>
        </w:rPr>
      </w:pPr>
      <w:r w:rsidRPr="00B10AF4">
        <w:rPr>
          <w:rFonts w:ascii="Times New Roman" w:hAnsi="Times New Roman" w:cs="Times New Roman"/>
          <w:b/>
          <w:bCs/>
        </w:rPr>
        <w:t>1. Introduction</w:t>
      </w:r>
    </w:p>
    <w:p w14:paraId="463DBB40" w14:textId="306D80C8" w:rsidR="005F6979" w:rsidRPr="00B10AF4" w:rsidRDefault="00354AA0">
      <w:pPr>
        <w:rPr>
          <w:rFonts w:ascii="Times New Roman" w:hAnsi="Times New Roman" w:cs="Times New Roman"/>
        </w:rPr>
      </w:pPr>
      <w:r w:rsidRPr="00B10AF4">
        <w:rPr>
          <w:rFonts w:ascii="Times New Roman" w:hAnsi="Times New Roman" w:cs="Times New Roman"/>
        </w:rPr>
        <w:t xml:space="preserve">Boone and White (2015)’s work with the exogenous shock of index inclusion led to many </w:t>
      </w:r>
      <w:r w:rsidR="00681A8A" w:rsidRPr="00B10AF4">
        <w:rPr>
          <w:rFonts w:ascii="Times New Roman" w:hAnsi="Times New Roman" w:cs="Times New Roman"/>
        </w:rPr>
        <w:t>papers using the same shock afterwards</w:t>
      </w:r>
      <w:r w:rsidR="00592E9C" w:rsidRPr="00B10AF4">
        <w:rPr>
          <w:rFonts w:ascii="Times New Roman" w:hAnsi="Times New Roman" w:cs="Times New Roman"/>
        </w:rPr>
        <w:t xml:space="preserve">, though he cites </w:t>
      </w:r>
      <w:r w:rsidR="00561C58" w:rsidRPr="00B10AF4">
        <w:rPr>
          <w:rFonts w:ascii="Times New Roman" w:hAnsi="Times New Roman" w:cs="Times New Roman"/>
        </w:rPr>
        <w:t xml:space="preserve">working papers from </w:t>
      </w:r>
      <w:r w:rsidR="00DB6E64" w:rsidRPr="00B10AF4">
        <w:rPr>
          <w:rFonts w:ascii="Times New Roman" w:hAnsi="Times New Roman" w:cs="Times New Roman"/>
        </w:rPr>
        <w:t xml:space="preserve">Crane, </w:t>
      </w:r>
      <w:proofErr w:type="spellStart"/>
      <w:r w:rsidR="00DB6E64" w:rsidRPr="00B10AF4">
        <w:rPr>
          <w:rFonts w:ascii="Times New Roman" w:hAnsi="Times New Roman" w:cs="Times New Roman"/>
        </w:rPr>
        <w:t>Michenaud</w:t>
      </w:r>
      <w:proofErr w:type="spellEnd"/>
      <w:r w:rsidR="00DB6E64" w:rsidRPr="00B10AF4">
        <w:rPr>
          <w:rFonts w:ascii="Times New Roman" w:hAnsi="Times New Roman" w:cs="Times New Roman"/>
        </w:rPr>
        <w:t>, and Weston (2014)</w:t>
      </w:r>
      <w:r w:rsidR="00025F6B" w:rsidRPr="00B10AF4">
        <w:rPr>
          <w:rFonts w:ascii="Times New Roman" w:hAnsi="Times New Roman" w:cs="Times New Roman"/>
        </w:rPr>
        <w:t xml:space="preserve"> and Lu (201</w:t>
      </w:r>
      <w:r w:rsidR="00661EF0" w:rsidRPr="00B10AF4">
        <w:rPr>
          <w:rFonts w:ascii="Times New Roman" w:hAnsi="Times New Roman" w:cs="Times New Roman"/>
        </w:rPr>
        <w:t>3</w:t>
      </w:r>
      <w:r w:rsidR="00025F6B" w:rsidRPr="00B10AF4">
        <w:rPr>
          <w:rFonts w:ascii="Times New Roman" w:hAnsi="Times New Roman" w:cs="Times New Roman"/>
        </w:rPr>
        <w:t>)</w:t>
      </w:r>
      <w:r w:rsidR="00561C58" w:rsidRPr="00B10AF4">
        <w:rPr>
          <w:rFonts w:ascii="Times New Roman" w:hAnsi="Times New Roman" w:cs="Times New Roman"/>
        </w:rPr>
        <w:t xml:space="preserve"> that preceded th</w:t>
      </w:r>
      <w:r w:rsidR="00661EF0" w:rsidRPr="00B10AF4">
        <w:rPr>
          <w:rFonts w:ascii="Times New Roman" w:hAnsi="Times New Roman" w:cs="Times New Roman"/>
        </w:rPr>
        <w:t>is paper’s</w:t>
      </w:r>
      <w:r w:rsidR="00561C58" w:rsidRPr="00B10AF4">
        <w:rPr>
          <w:rFonts w:ascii="Times New Roman" w:hAnsi="Times New Roman" w:cs="Times New Roman"/>
        </w:rPr>
        <w:t xml:space="preserve"> publication. </w:t>
      </w:r>
      <w:r w:rsidR="004A0895" w:rsidRPr="00B10AF4">
        <w:rPr>
          <w:rFonts w:ascii="Times New Roman" w:hAnsi="Times New Roman" w:cs="Times New Roman"/>
        </w:rPr>
        <w:t xml:space="preserve">Crane, </w:t>
      </w:r>
      <w:proofErr w:type="spellStart"/>
      <w:r w:rsidR="004A0895" w:rsidRPr="00B10AF4">
        <w:rPr>
          <w:rFonts w:ascii="Times New Roman" w:hAnsi="Times New Roman" w:cs="Times New Roman"/>
        </w:rPr>
        <w:t>Michenaud</w:t>
      </w:r>
      <w:proofErr w:type="spellEnd"/>
      <w:r w:rsidR="004A0895" w:rsidRPr="00B10AF4">
        <w:rPr>
          <w:rFonts w:ascii="Times New Roman" w:hAnsi="Times New Roman" w:cs="Times New Roman"/>
        </w:rPr>
        <w:t>, and Weston (2014)</w:t>
      </w:r>
      <w:r w:rsidR="004A0895" w:rsidRPr="00B10AF4">
        <w:rPr>
          <w:rFonts w:ascii="Times New Roman" w:hAnsi="Times New Roman" w:cs="Times New Roman"/>
        </w:rPr>
        <w:t xml:space="preserve"> similarly links index inclusion to institutional ownership </w:t>
      </w:r>
      <w:r w:rsidR="002D71AB" w:rsidRPr="00B10AF4">
        <w:rPr>
          <w:rFonts w:ascii="Times New Roman" w:hAnsi="Times New Roman" w:cs="Times New Roman"/>
        </w:rPr>
        <w:t>a</w:t>
      </w:r>
      <w:r w:rsidR="00D902DD" w:rsidRPr="00B10AF4">
        <w:rPr>
          <w:rFonts w:ascii="Times New Roman" w:hAnsi="Times New Roman" w:cs="Times New Roman"/>
        </w:rPr>
        <w:t xml:space="preserve">nd shows an increase in dividend payouts, an effect also found in </w:t>
      </w:r>
      <w:r w:rsidR="00182C9F" w:rsidRPr="00B10AF4">
        <w:rPr>
          <w:rFonts w:ascii="Times New Roman" w:hAnsi="Times New Roman" w:cs="Times New Roman"/>
        </w:rPr>
        <w:t>Table 2 of B</w:t>
      </w:r>
      <w:r w:rsidR="00D902DD" w:rsidRPr="00B10AF4">
        <w:rPr>
          <w:rFonts w:ascii="Times New Roman" w:hAnsi="Times New Roman" w:cs="Times New Roman"/>
        </w:rPr>
        <w:t>oone and White (2015)</w:t>
      </w:r>
      <w:r w:rsidR="00182C9F" w:rsidRPr="00B10AF4">
        <w:rPr>
          <w:rFonts w:ascii="Times New Roman" w:hAnsi="Times New Roman" w:cs="Times New Roman"/>
        </w:rPr>
        <w:t xml:space="preserve"> though the effect is insignificant</w:t>
      </w:r>
      <w:r w:rsidR="00C94ECF" w:rsidRPr="00B10AF4">
        <w:rPr>
          <w:rFonts w:ascii="Times New Roman" w:hAnsi="Times New Roman" w:cs="Times New Roman"/>
        </w:rPr>
        <w:t xml:space="preserve"> (z-score of 1.48)</w:t>
      </w:r>
      <w:r w:rsidR="00182C9F" w:rsidRPr="00B10AF4">
        <w:rPr>
          <w:rFonts w:ascii="Times New Roman" w:hAnsi="Times New Roman" w:cs="Times New Roman"/>
        </w:rPr>
        <w:t>.</w:t>
      </w:r>
      <w:r w:rsidR="00C82260" w:rsidRPr="00B10AF4">
        <w:rPr>
          <w:rFonts w:ascii="Times New Roman" w:hAnsi="Times New Roman" w:cs="Times New Roman"/>
        </w:rPr>
        <w:t xml:space="preserve"> Lu (2013) links institutional ownership through index </w:t>
      </w:r>
      <w:r w:rsidR="003255E8" w:rsidRPr="00B10AF4">
        <w:rPr>
          <w:rFonts w:ascii="Times New Roman" w:hAnsi="Times New Roman" w:cs="Times New Roman"/>
        </w:rPr>
        <w:t>membership to banking practices and loan spreads.</w:t>
      </w:r>
      <w:r w:rsidR="00291EB6" w:rsidRPr="00B10AF4">
        <w:rPr>
          <w:rFonts w:ascii="Times New Roman" w:hAnsi="Times New Roman" w:cs="Times New Roman"/>
        </w:rPr>
        <w:t xml:space="preserve"> </w:t>
      </w:r>
      <w:r w:rsidR="00CD53BC" w:rsidRPr="00B10AF4">
        <w:rPr>
          <w:rFonts w:ascii="Times New Roman" w:hAnsi="Times New Roman" w:cs="Times New Roman"/>
        </w:rPr>
        <w:t xml:space="preserve">Cao, </w:t>
      </w:r>
      <w:r w:rsidR="00CD53BC" w:rsidRPr="00B10AF4">
        <w:rPr>
          <w:rFonts w:ascii="Times New Roman" w:hAnsi="Times New Roman" w:cs="Times New Roman"/>
        </w:rPr>
        <w:t>Gustafson</w:t>
      </w:r>
      <w:r w:rsidR="00CD53BC" w:rsidRPr="00B10AF4">
        <w:rPr>
          <w:rFonts w:ascii="Times New Roman" w:hAnsi="Times New Roman" w:cs="Times New Roman"/>
        </w:rPr>
        <w:t xml:space="preserve">, and </w:t>
      </w:r>
      <w:proofErr w:type="spellStart"/>
      <w:r w:rsidR="00CD53BC" w:rsidRPr="00B10AF4">
        <w:rPr>
          <w:rFonts w:ascii="Times New Roman" w:hAnsi="Times New Roman" w:cs="Times New Roman"/>
        </w:rPr>
        <w:t>Velthuis</w:t>
      </w:r>
      <w:proofErr w:type="spellEnd"/>
      <w:r w:rsidR="00CD53BC" w:rsidRPr="00B10AF4">
        <w:rPr>
          <w:rFonts w:ascii="Times New Roman" w:hAnsi="Times New Roman" w:cs="Times New Roman"/>
        </w:rPr>
        <w:t xml:space="preserve"> (2014) </w:t>
      </w:r>
      <w:r w:rsidR="008D22C9" w:rsidRPr="00B10AF4">
        <w:rPr>
          <w:rFonts w:ascii="Times New Roman" w:hAnsi="Times New Roman" w:cs="Times New Roman"/>
        </w:rPr>
        <w:t xml:space="preserve">investigate the discontinuity between joining the Russell 2000 and not being able to join the index at all and </w:t>
      </w:r>
      <w:r w:rsidR="00770DFA" w:rsidRPr="00B10AF4">
        <w:rPr>
          <w:rFonts w:ascii="Times New Roman" w:hAnsi="Times New Roman" w:cs="Times New Roman"/>
        </w:rPr>
        <w:t>claim a higher beta, higher short interest, higher liquidity</w:t>
      </w:r>
      <w:r w:rsidR="00364D7D" w:rsidRPr="00B10AF4">
        <w:rPr>
          <w:rFonts w:ascii="Times New Roman" w:hAnsi="Times New Roman" w:cs="Times New Roman"/>
        </w:rPr>
        <w:t>, and more equity-focused versus debt-focused capital structures.</w:t>
      </w:r>
      <w:r w:rsidR="00770DFA" w:rsidRPr="00B10AF4">
        <w:rPr>
          <w:rFonts w:ascii="Times New Roman" w:hAnsi="Times New Roman" w:cs="Times New Roman"/>
        </w:rPr>
        <w:t xml:space="preserve"> </w:t>
      </w:r>
    </w:p>
    <w:p w14:paraId="5266B3DF" w14:textId="77777777" w:rsidR="005E1133" w:rsidRPr="00B10AF4" w:rsidRDefault="003255E8">
      <w:pPr>
        <w:rPr>
          <w:rFonts w:ascii="Times New Roman" w:hAnsi="Times New Roman" w:cs="Times New Roman"/>
        </w:rPr>
      </w:pPr>
      <w:r w:rsidRPr="00B10AF4">
        <w:rPr>
          <w:rFonts w:ascii="Times New Roman" w:hAnsi="Times New Roman" w:cs="Times New Roman"/>
        </w:rPr>
        <w:t xml:space="preserve">Since Boone and White’s (2015) publication, a flurry of subsequent papers </w:t>
      </w:r>
      <w:proofErr w:type="gramStart"/>
      <w:r w:rsidRPr="00B10AF4">
        <w:rPr>
          <w:rFonts w:ascii="Times New Roman" w:hAnsi="Times New Roman" w:cs="Times New Roman"/>
        </w:rPr>
        <w:t>have</w:t>
      </w:r>
      <w:proofErr w:type="gramEnd"/>
      <w:r w:rsidRPr="00B10AF4">
        <w:rPr>
          <w:rFonts w:ascii="Times New Roman" w:hAnsi="Times New Roman" w:cs="Times New Roman"/>
        </w:rPr>
        <w:t xml:space="preserve"> used the same exogeneous shocks in various applications.</w:t>
      </w:r>
      <w:r w:rsidR="00C83C46" w:rsidRPr="00B10AF4">
        <w:rPr>
          <w:rFonts w:ascii="Times New Roman" w:hAnsi="Times New Roman" w:cs="Times New Roman"/>
        </w:rPr>
        <w:t xml:space="preserve"> </w:t>
      </w:r>
    </w:p>
    <w:p w14:paraId="0ED70746" w14:textId="38EEF0A5" w:rsidR="00166088" w:rsidRPr="00B10AF4" w:rsidRDefault="005E1133">
      <w:pPr>
        <w:rPr>
          <w:rFonts w:ascii="Times New Roman" w:hAnsi="Times New Roman" w:cs="Times New Roman"/>
        </w:rPr>
      </w:pPr>
      <w:r w:rsidRPr="00B10AF4">
        <w:rPr>
          <w:rFonts w:ascii="Times New Roman" w:hAnsi="Times New Roman" w:cs="Times New Roman"/>
        </w:rPr>
        <w:t xml:space="preserve">One strand of the literature uses this discontinuity to link institutional ownership to </w:t>
      </w:r>
      <w:r w:rsidR="00E21DF8" w:rsidRPr="00B10AF4">
        <w:rPr>
          <w:rFonts w:ascii="Times New Roman" w:hAnsi="Times New Roman" w:cs="Times New Roman"/>
        </w:rPr>
        <w:t xml:space="preserve">monitoring costs and agency theory. </w:t>
      </w:r>
      <w:r w:rsidR="001B79C1" w:rsidRPr="00B10AF4">
        <w:rPr>
          <w:rFonts w:ascii="Times New Roman" w:hAnsi="Times New Roman" w:cs="Times New Roman"/>
        </w:rPr>
        <w:t>Kang, Juan, and Hyun</w:t>
      </w:r>
      <w:r w:rsidR="001B79C1" w:rsidRPr="00B10AF4">
        <w:rPr>
          <w:rFonts w:ascii="Times New Roman" w:hAnsi="Times New Roman" w:cs="Times New Roman"/>
        </w:rPr>
        <w:t xml:space="preserve"> (2018) use index inclusion as an instrument for institutional ownership’s effect on monitoring </w:t>
      </w:r>
      <w:r w:rsidR="00290B54" w:rsidRPr="00B10AF4">
        <w:rPr>
          <w:rFonts w:ascii="Times New Roman" w:hAnsi="Times New Roman" w:cs="Times New Roman"/>
        </w:rPr>
        <w:t>management</w:t>
      </w:r>
      <w:r w:rsidR="003D6604" w:rsidRPr="00B10AF4">
        <w:rPr>
          <w:rFonts w:ascii="Times New Roman" w:hAnsi="Times New Roman" w:cs="Times New Roman"/>
        </w:rPr>
        <w:t xml:space="preserve"> though they do not mention the differential monitoring effect of quasi-indexers compared to other institutional investors.</w:t>
      </w:r>
      <w:r w:rsidR="00291EB6" w:rsidRPr="00B10AF4">
        <w:rPr>
          <w:rFonts w:ascii="Times New Roman" w:hAnsi="Times New Roman" w:cs="Times New Roman"/>
        </w:rPr>
        <w:t xml:space="preserve"> </w:t>
      </w:r>
      <w:proofErr w:type="spellStart"/>
      <w:r w:rsidR="00FC2482" w:rsidRPr="00B10AF4">
        <w:rPr>
          <w:rFonts w:ascii="Times New Roman" w:hAnsi="Times New Roman" w:cs="Times New Roman"/>
        </w:rPr>
        <w:t>Scmidt</w:t>
      </w:r>
      <w:proofErr w:type="spellEnd"/>
      <w:r w:rsidR="00FC2482" w:rsidRPr="00B10AF4">
        <w:rPr>
          <w:rFonts w:ascii="Times New Roman" w:hAnsi="Times New Roman" w:cs="Times New Roman"/>
        </w:rPr>
        <w:t xml:space="preserve"> and </w:t>
      </w:r>
      <w:proofErr w:type="spellStart"/>
      <w:r w:rsidR="00FC2482" w:rsidRPr="00B10AF4">
        <w:rPr>
          <w:rFonts w:ascii="Times New Roman" w:hAnsi="Times New Roman" w:cs="Times New Roman"/>
        </w:rPr>
        <w:t>Fahlenbrach</w:t>
      </w:r>
      <w:proofErr w:type="spellEnd"/>
      <w:r w:rsidR="00FC2482" w:rsidRPr="00B10AF4">
        <w:rPr>
          <w:rFonts w:ascii="Times New Roman" w:hAnsi="Times New Roman" w:cs="Times New Roman"/>
        </w:rPr>
        <w:t xml:space="preserve"> </w:t>
      </w:r>
      <w:r w:rsidR="00FC3DD3" w:rsidRPr="00B10AF4">
        <w:rPr>
          <w:rFonts w:ascii="Times New Roman" w:hAnsi="Times New Roman" w:cs="Times New Roman"/>
        </w:rPr>
        <w:t xml:space="preserve">(2017) </w:t>
      </w:r>
      <w:r w:rsidR="0012096C" w:rsidRPr="00B10AF4">
        <w:rPr>
          <w:rFonts w:ascii="Times New Roman" w:hAnsi="Times New Roman" w:cs="Times New Roman"/>
        </w:rPr>
        <w:t xml:space="preserve">claim that exogenous increases in passive investment </w:t>
      </w:r>
      <w:r w:rsidR="00DF1536" w:rsidRPr="00B10AF4">
        <w:rPr>
          <w:rFonts w:ascii="Times New Roman" w:hAnsi="Times New Roman" w:cs="Times New Roman"/>
        </w:rPr>
        <w:t xml:space="preserve">leads to less monitoring and a more powerful CEO who appoints fewer independent directors and makes worse merger decisions. In this way, their claims are </w:t>
      </w:r>
      <w:r w:rsidR="009E4E2C" w:rsidRPr="00B10AF4">
        <w:rPr>
          <w:rFonts w:ascii="Times New Roman" w:hAnsi="Times New Roman" w:cs="Times New Roman"/>
        </w:rPr>
        <w:t xml:space="preserve">in the opposite direction of Boone and White’s who claim that passive investors nevertheless engage in monitoring </w:t>
      </w:r>
      <w:proofErr w:type="gramStart"/>
      <w:r w:rsidR="009E4E2C" w:rsidRPr="00B10AF4">
        <w:rPr>
          <w:rFonts w:ascii="Times New Roman" w:hAnsi="Times New Roman" w:cs="Times New Roman"/>
        </w:rPr>
        <w:t>in order to</w:t>
      </w:r>
      <w:proofErr w:type="gramEnd"/>
      <w:r w:rsidR="009E4E2C" w:rsidRPr="00B10AF4">
        <w:rPr>
          <w:rFonts w:ascii="Times New Roman" w:hAnsi="Times New Roman" w:cs="Times New Roman"/>
        </w:rPr>
        <w:t xml:space="preserve"> increase liquidity of the firm and decrease own costs.</w:t>
      </w:r>
      <w:r w:rsidR="00FC3DD3" w:rsidRPr="00B10AF4">
        <w:rPr>
          <w:rFonts w:ascii="Times New Roman" w:hAnsi="Times New Roman" w:cs="Times New Roman"/>
        </w:rPr>
        <w:t xml:space="preserve"> </w:t>
      </w:r>
    </w:p>
    <w:p w14:paraId="2079618A" w14:textId="4E75293C" w:rsidR="006420BA" w:rsidRPr="00B10AF4" w:rsidRDefault="001C13B4">
      <w:pPr>
        <w:rPr>
          <w:rFonts w:ascii="Times New Roman" w:hAnsi="Times New Roman" w:cs="Times New Roman"/>
        </w:rPr>
      </w:pPr>
      <w:r w:rsidRPr="00B10AF4">
        <w:rPr>
          <w:rFonts w:ascii="Times New Roman" w:hAnsi="Times New Roman" w:cs="Times New Roman"/>
        </w:rPr>
        <w:t xml:space="preserve">Several papers connect institutional ownership to tax planning. </w:t>
      </w:r>
      <w:r w:rsidR="006420BA" w:rsidRPr="00B10AF4">
        <w:rPr>
          <w:rFonts w:ascii="Times New Roman" w:hAnsi="Times New Roman" w:cs="Times New Roman"/>
        </w:rPr>
        <w:t xml:space="preserve">Chen, Huang, Li, and Shevlin (2018) </w:t>
      </w:r>
      <w:r w:rsidR="00493236" w:rsidRPr="00B10AF4">
        <w:rPr>
          <w:rFonts w:ascii="Times New Roman" w:hAnsi="Times New Roman" w:cs="Times New Roman"/>
        </w:rPr>
        <w:t>show that</w:t>
      </w:r>
      <w:r w:rsidR="006420BA" w:rsidRPr="00B10AF4">
        <w:rPr>
          <w:rFonts w:ascii="Times New Roman" w:hAnsi="Times New Roman" w:cs="Times New Roman"/>
        </w:rPr>
        <w:t xml:space="preserve"> index membership discontinuity </w:t>
      </w:r>
      <w:r w:rsidR="00493236" w:rsidRPr="00B10AF4">
        <w:rPr>
          <w:rFonts w:ascii="Times New Roman" w:hAnsi="Times New Roman" w:cs="Times New Roman"/>
        </w:rPr>
        <w:t xml:space="preserve">leads to </w:t>
      </w:r>
      <w:r w:rsidR="001B5056" w:rsidRPr="00B10AF4">
        <w:rPr>
          <w:rFonts w:ascii="Times New Roman" w:hAnsi="Times New Roman" w:cs="Times New Roman"/>
        </w:rPr>
        <w:t xml:space="preserve">better corporate tax planning and link this outcome to quasi-indexer’s influence on executive compensation and corporate governance. </w:t>
      </w:r>
      <w:r w:rsidR="00166088" w:rsidRPr="00B10AF4">
        <w:rPr>
          <w:rFonts w:ascii="Times New Roman" w:hAnsi="Times New Roman" w:cs="Times New Roman"/>
        </w:rPr>
        <w:t xml:space="preserve">Khan, </w:t>
      </w:r>
      <w:r w:rsidR="00421599" w:rsidRPr="00B10AF4">
        <w:rPr>
          <w:rFonts w:ascii="Times New Roman" w:hAnsi="Times New Roman" w:cs="Times New Roman"/>
        </w:rPr>
        <w:t>Srinivasan</w:t>
      </w:r>
      <w:r w:rsidR="00421599" w:rsidRPr="00B10AF4">
        <w:rPr>
          <w:rFonts w:ascii="Times New Roman" w:hAnsi="Times New Roman" w:cs="Times New Roman"/>
        </w:rPr>
        <w:t xml:space="preserve">, and Tan (2016) </w:t>
      </w:r>
      <w:r w:rsidR="00577FCA" w:rsidRPr="00B10AF4">
        <w:rPr>
          <w:rFonts w:ascii="Times New Roman" w:hAnsi="Times New Roman" w:cs="Times New Roman"/>
        </w:rPr>
        <w:t>similarly</w:t>
      </w:r>
      <w:r w:rsidR="00421599" w:rsidRPr="00B10AF4">
        <w:rPr>
          <w:rFonts w:ascii="Times New Roman" w:hAnsi="Times New Roman" w:cs="Times New Roman"/>
        </w:rPr>
        <w:t xml:space="preserve"> show that index membership discontinuity leads to </w:t>
      </w:r>
      <w:r w:rsidR="00577FCA" w:rsidRPr="00B10AF4">
        <w:rPr>
          <w:rFonts w:ascii="Times New Roman" w:hAnsi="Times New Roman" w:cs="Times New Roman"/>
        </w:rPr>
        <w:t>increased tax avoidance policies</w:t>
      </w:r>
      <w:r w:rsidR="00282B09" w:rsidRPr="00B10AF4">
        <w:rPr>
          <w:rFonts w:ascii="Times New Roman" w:hAnsi="Times New Roman" w:cs="Times New Roman"/>
        </w:rPr>
        <w:t xml:space="preserve">, though they disagree with Chen, Huang, Li, and Shevlin (2018) on the mechanism of the reduced taxes, </w:t>
      </w:r>
      <w:r w:rsidR="00CE45F3" w:rsidRPr="00B10AF4">
        <w:rPr>
          <w:rFonts w:ascii="Times New Roman" w:hAnsi="Times New Roman" w:cs="Times New Roman"/>
        </w:rPr>
        <w:t xml:space="preserve">providing evidence that it is the result of tax shelters </w:t>
      </w:r>
      <w:proofErr w:type="gramStart"/>
      <w:r w:rsidR="00CE45F3" w:rsidRPr="00B10AF4">
        <w:rPr>
          <w:rFonts w:ascii="Times New Roman" w:hAnsi="Times New Roman" w:cs="Times New Roman"/>
        </w:rPr>
        <w:t>in order to</w:t>
      </w:r>
      <w:proofErr w:type="gramEnd"/>
      <w:r w:rsidR="00CE45F3" w:rsidRPr="00B10AF4">
        <w:rPr>
          <w:rFonts w:ascii="Times New Roman" w:hAnsi="Times New Roman" w:cs="Times New Roman"/>
        </w:rPr>
        <w:t xml:space="preserve"> meet analyst expectations.</w:t>
      </w:r>
    </w:p>
    <w:p w14:paraId="391ABC8B" w14:textId="3483CCC6" w:rsidR="00531618" w:rsidRPr="00B10AF4" w:rsidRDefault="00367F3F">
      <w:pPr>
        <w:rPr>
          <w:rFonts w:ascii="Times New Roman" w:hAnsi="Times New Roman" w:cs="Times New Roman"/>
        </w:rPr>
      </w:pPr>
      <w:r w:rsidRPr="00B10AF4">
        <w:rPr>
          <w:rFonts w:ascii="Times New Roman" w:hAnsi="Times New Roman" w:cs="Times New Roman"/>
        </w:rPr>
        <w:lastRenderedPageBreak/>
        <w:t xml:space="preserve">Many papers use the discontinuity to demonstrate that institutional ownership is a societal positive. </w:t>
      </w:r>
      <w:r w:rsidR="00531618" w:rsidRPr="00B10AF4">
        <w:rPr>
          <w:rFonts w:ascii="Times New Roman" w:hAnsi="Times New Roman" w:cs="Times New Roman"/>
        </w:rPr>
        <w:t xml:space="preserve">Lin, Mao, and Wang (2018) find that </w:t>
      </w:r>
      <w:r w:rsidR="001A3684" w:rsidRPr="00B10AF4">
        <w:rPr>
          <w:rFonts w:ascii="Times New Roman" w:hAnsi="Times New Roman" w:cs="Times New Roman"/>
        </w:rPr>
        <w:t xml:space="preserve">the increase in institutional ownership from the index membership discontinuity </w:t>
      </w:r>
      <w:r w:rsidR="00F11B7A" w:rsidRPr="00B10AF4">
        <w:rPr>
          <w:rFonts w:ascii="Times New Roman" w:hAnsi="Times New Roman" w:cs="Times New Roman"/>
        </w:rPr>
        <w:t>are more likely to issue managerial forecasts</w:t>
      </w:r>
      <w:r w:rsidR="005505FF" w:rsidRPr="00B10AF4">
        <w:rPr>
          <w:rFonts w:ascii="Times New Roman" w:hAnsi="Times New Roman" w:cs="Times New Roman"/>
        </w:rPr>
        <w:t xml:space="preserve"> </w:t>
      </w:r>
      <w:r w:rsidR="00F11B7A" w:rsidRPr="00B10AF4">
        <w:rPr>
          <w:rFonts w:ascii="Times New Roman" w:hAnsi="Times New Roman" w:cs="Times New Roman"/>
        </w:rPr>
        <w:t>and explains that this is evidence of “peer pressure”</w:t>
      </w:r>
      <w:r w:rsidR="003E5F15" w:rsidRPr="00B10AF4">
        <w:rPr>
          <w:rFonts w:ascii="Times New Roman" w:hAnsi="Times New Roman" w:cs="Times New Roman"/>
        </w:rPr>
        <w:t xml:space="preserve"> for increased voluntary disclosure.</w:t>
      </w:r>
      <w:r w:rsidR="00786DF7" w:rsidRPr="00B10AF4">
        <w:rPr>
          <w:rFonts w:ascii="Times New Roman" w:hAnsi="Times New Roman" w:cs="Times New Roman"/>
        </w:rPr>
        <w:t xml:space="preserve"> Chen, Dong, and Lin (2019) link institutional ownership to increases in CSR performance. </w:t>
      </w:r>
      <w:r w:rsidR="00A006C4" w:rsidRPr="00B10AF4">
        <w:rPr>
          <w:rFonts w:ascii="Times New Roman" w:hAnsi="Times New Roman" w:cs="Times New Roman"/>
        </w:rPr>
        <w:t xml:space="preserve">Azar, </w:t>
      </w:r>
      <w:proofErr w:type="spellStart"/>
      <w:r w:rsidR="00764FE5" w:rsidRPr="00B10AF4">
        <w:rPr>
          <w:rFonts w:ascii="Times New Roman" w:hAnsi="Times New Roman" w:cs="Times New Roman"/>
        </w:rPr>
        <w:t>Duro</w:t>
      </w:r>
      <w:proofErr w:type="spellEnd"/>
      <w:r w:rsidR="00764FE5" w:rsidRPr="00B10AF4">
        <w:rPr>
          <w:rFonts w:ascii="Times New Roman" w:hAnsi="Times New Roman" w:cs="Times New Roman"/>
        </w:rPr>
        <w:t xml:space="preserve">, </w:t>
      </w:r>
      <w:proofErr w:type="spellStart"/>
      <w:r w:rsidR="00764FE5" w:rsidRPr="00B10AF4">
        <w:rPr>
          <w:rFonts w:ascii="Times New Roman" w:hAnsi="Times New Roman" w:cs="Times New Roman"/>
        </w:rPr>
        <w:t>Kadach</w:t>
      </w:r>
      <w:proofErr w:type="spellEnd"/>
      <w:r w:rsidR="00764FE5" w:rsidRPr="00B10AF4">
        <w:rPr>
          <w:rFonts w:ascii="Times New Roman" w:hAnsi="Times New Roman" w:cs="Times New Roman"/>
        </w:rPr>
        <w:t xml:space="preserve">, and </w:t>
      </w:r>
      <w:proofErr w:type="spellStart"/>
      <w:r w:rsidR="00764FE5" w:rsidRPr="00B10AF4">
        <w:rPr>
          <w:rFonts w:ascii="Times New Roman" w:hAnsi="Times New Roman" w:cs="Times New Roman"/>
        </w:rPr>
        <w:t>Ormazabal</w:t>
      </w:r>
      <w:proofErr w:type="spellEnd"/>
      <w:r w:rsidR="00764FE5" w:rsidRPr="00B10AF4">
        <w:rPr>
          <w:rFonts w:ascii="Times New Roman" w:hAnsi="Times New Roman" w:cs="Times New Roman"/>
        </w:rPr>
        <w:t xml:space="preserve"> (2020) come to the same conclusion that passive institutional investors</w:t>
      </w:r>
      <w:r w:rsidR="007526B5" w:rsidRPr="00B10AF4">
        <w:rPr>
          <w:rFonts w:ascii="Times New Roman" w:hAnsi="Times New Roman" w:cs="Times New Roman"/>
        </w:rPr>
        <w:t xml:space="preserve">—in </w:t>
      </w:r>
      <w:r w:rsidR="00764FE5" w:rsidRPr="00B10AF4">
        <w:rPr>
          <w:rFonts w:ascii="Times New Roman" w:hAnsi="Times New Roman" w:cs="Times New Roman"/>
        </w:rPr>
        <w:t>particular</w:t>
      </w:r>
      <w:r w:rsidR="007526B5" w:rsidRPr="00B10AF4">
        <w:rPr>
          <w:rFonts w:ascii="Times New Roman" w:hAnsi="Times New Roman" w:cs="Times New Roman"/>
        </w:rPr>
        <w:t>,</w:t>
      </w:r>
      <w:r w:rsidR="00764FE5" w:rsidRPr="00B10AF4">
        <w:rPr>
          <w:rFonts w:ascii="Times New Roman" w:hAnsi="Times New Roman" w:cs="Times New Roman"/>
        </w:rPr>
        <w:t xml:space="preserve"> the “Big 3</w:t>
      </w:r>
      <w:r w:rsidR="00951C02" w:rsidRPr="00B10AF4">
        <w:rPr>
          <w:rFonts w:ascii="Times New Roman" w:hAnsi="Times New Roman" w:cs="Times New Roman"/>
        </w:rPr>
        <w:t>”</w:t>
      </w:r>
      <w:r w:rsidR="007526B5" w:rsidRPr="00B10AF4">
        <w:rPr>
          <w:rFonts w:ascii="Times New Roman" w:hAnsi="Times New Roman" w:cs="Times New Roman"/>
        </w:rPr>
        <w:t xml:space="preserve">—cause </w:t>
      </w:r>
      <w:r w:rsidR="00951C02" w:rsidRPr="00B10AF4">
        <w:rPr>
          <w:rFonts w:ascii="Times New Roman" w:hAnsi="Times New Roman" w:cs="Times New Roman"/>
        </w:rPr>
        <w:t xml:space="preserve">reductions of corporate carbon emissions in companies they’re invested in. </w:t>
      </w:r>
      <w:r w:rsidRPr="00B10AF4">
        <w:rPr>
          <w:rFonts w:ascii="Times New Roman" w:hAnsi="Times New Roman" w:cs="Times New Roman"/>
        </w:rPr>
        <w:t xml:space="preserve">Appel, Gormley, and </w:t>
      </w:r>
      <w:proofErr w:type="spellStart"/>
      <w:r w:rsidRPr="00B10AF4">
        <w:rPr>
          <w:rFonts w:ascii="Times New Roman" w:hAnsi="Times New Roman" w:cs="Times New Roman"/>
        </w:rPr>
        <w:t>Keim</w:t>
      </w:r>
      <w:proofErr w:type="spellEnd"/>
      <w:r w:rsidRPr="00B10AF4">
        <w:rPr>
          <w:rFonts w:ascii="Times New Roman" w:hAnsi="Times New Roman" w:cs="Times New Roman"/>
        </w:rPr>
        <w:t xml:space="preserve"> (2016) </w:t>
      </w:r>
      <w:r w:rsidR="00684991" w:rsidRPr="00B10AF4">
        <w:rPr>
          <w:rFonts w:ascii="Times New Roman" w:hAnsi="Times New Roman" w:cs="Times New Roman"/>
        </w:rPr>
        <w:t xml:space="preserve">find that passive institutions influence firm’s governance choices to increase the number of independent board directors, remove takeover defenses, and </w:t>
      </w:r>
      <w:r w:rsidR="00B41549" w:rsidRPr="00B10AF4">
        <w:rPr>
          <w:rFonts w:ascii="Times New Roman" w:hAnsi="Times New Roman" w:cs="Times New Roman"/>
        </w:rPr>
        <w:t>equalize</w:t>
      </w:r>
      <w:r w:rsidR="00554392" w:rsidRPr="00B10AF4">
        <w:rPr>
          <w:rFonts w:ascii="Times New Roman" w:hAnsi="Times New Roman" w:cs="Times New Roman"/>
        </w:rPr>
        <w:t xml:space="preserve"> voting rights</w:t>
      </w:r>
      <w:r w:rsidR="00B41549" w:rsidRPr="00B10AF4">
        <w:rPr>
          <w:rFonts w:ascii="Times New Roman" w:hAnsi="Times New Roman" w:cs="Times New Roman"/>
        </w:rPr>
        <w:t xml:space="preserve"> across different classes of shares</w:t>
      </w:r>
      <w:r w:rsidR="00554392" w:rsidRPr="00B10AF4">
        <w:rPr>
          <w:rFonts w:ascii="Times New Roman" w:hAnsi="Times New Roman" w:cs="Times New Roman"/>
        </w:rPr>
        <w:t>, and that these together help explain</w:t>
      </w:r>
      <w:r w:rsidR="005830F4" w:rsidRPr="00B10AF4">
        <w:rPr>
          <w:rFonts w:ascii="Times New Roman" w:hAnsi="Times New Roman" w:cs="Times New Roman"/>
        </w:rPr>
        <w:t xml:space="preserve"> positive</w:t>
      </w:r>
      <w:r w:rsidR="00554392" w:rsidRPr="00B10AF4">
        <w:rPr>
          <w:rFonts w:ascii="Times New Roman" w:hAnsi="Times New Roman" w:cs="Times New Roman"/>
        </w:rPr>
        <w:t xml:space="preserve"> </w:t>
      </w:r>
      <w:r w:rsidR="005830F4" w:rsidRPr="00B10AF4">
        <w:rPr>
          <w:rFonts w:ascii="Times New Roman" w:hAnsi="Times New Roman" w:cs="Times New Roman"/>
        </w:rPr>
        <w:t>longer-term performance.</w:t>
      </w:r>
    </w:p>
    <w:p w14:paraId="4680877B" w14:textId="485254D7" w:rsidR="005F0F5C" w:rsidRDefault="00583AEC">
      <w:pPr>
        <w:rPr>
          <w:rFonts w:ascii="Times New Roman" w:hAnsi="Times New Roman" w:cs="Times New Roman"/>
          <w:b/>
          <w:bCs/>
        </w:rPr>
      </w:pPr>
      <w:r w:rsidRPr="00B10AF4">
        <w:rPr>
          <w:rFonts w:ascii="Times New Roman" w:hAnsi="Times New Roman" w:cs="Times New Roman"/>
          <w:b/>
          <w:bCs/>
        </w:rPr>
        <w:t>2. Replication Process</w:t>
      </w:r>
    </w:p>
    <w:p w14:paraId="75961A13" w14:textId="3BEEDBC7" w:rsidR="001A638B" w:rsidRPr="00837991" w:rsidRDefault="00837991">
      <w:pPr>
        <w:rPr>
          <w:rFonts w:ascii="Times New Roman" w:hAnsi="Times New Roman" w:cs="Times New Roman"/>
        </w:rPr>
      </w:pPr>
      <w:r>
        <w:rPr>
          <w:rFonts w:ascii="Times New Roman" w:hAnsi="Times New Roman" w:cs="Times New Roman"/>
        </w:rPr>
        <w:t>During the sample period, the authors state that the</w:t>
      </w:r>
      <w:r w:rsidR="003659DA">
        <w:rPr>
          <w:rFonts w:ascii="Times New Roman" w:hAnsi="Times New Roman" w:cs="Times New Roman"/>
        </w:rPr>
        <w:t>y use</w:t>
      </w:r>
      <w:r>
        <w:rPr>
          <w:rFonts w:ascii="Times New Roman" w:hAnsi="Times New Roman" w:cs="Times New Roman"/>
        </w:rPr>
        <w:t xml:space="preserve"> 6,472 unique firms across the Russell 1000/2000 indices.</w:t>
      </w:r>
      <w:r w:rsidR="003659DA">
        <w:rPr>
          <w:rFonts w:ascii="Times New Roman" w:hAnsi="Times New Roman" w:cs="Times New Roman"/>
        </w:rPr>
        <w:t xml:space="preserve"> I find that there are 7,775 but post-CRSP merge, there are 7,325. The reason they authors find fewer companies may be due to </w:t>
      </w:r>
      <w:r w:rsidR="00C00A00">
        <w:rPr>
          <w:rFonts w:ascii="Times New Roman" w:hAnsi="Times New Roman" w:cs="Times New Roman"/>
        </w:rPr>
        <w:t xml:space="preserve">merges with other datasets, </w:t>
      </w:r>
      <w:proofErr w:type="gramStart"/>
      <w:r w:rsidR="00C00A00">
        <w:rPr>
          <w:rFonts w:ascii="Times New Roman" w:hAnsi="Times New Roman" w:cs="Times New Roman"/>
        </w:rPr>
        <w:t>e.g.</w:t>
      </w:r>
      <w:proofErr w:type="gramEnd"/>
      <w:r w:rsidR="00C00A00">
        <w:rPr>
          <w:rFonts w:ascii="Times New Roman" w:hAnsi="Times New Roman" w:cs="Times New Roman"/>
        </w:rPr>
        <w:t xml:space="preserve"> </w:t>
      </w:r>
      <w:proofErr w:type="spellStart"/>
      <w:r w:rsidR="00C00A00">
        <w:rPr>
          <w:rFonts w:ascii="Times New Roman" w:hAnsi="Times New Roman" w:cs="Times New Roman"/>
        </w:rPr>
        <w:t>Compustat</w:t>
      </w:r>
      <w:proofErr w:type="spellEnd"/>
      <w:r w:rsidR="006C75AD">
        <w:rPr>
          <w:rFonts w:ascii="Times New Roman" w:hAnsi="Times New Roman" w:cs="Times New Roman"/>
        </w:rPr>
        <w:t>, First Company Issued Guidance, and I/E/B/S.</w:t>
      </w:r>
    </w:p>
    <w:p w14:paraId="63A179EE" w14:textId="698E242C" w:rsidR="00583AEC" w:rsidRPr="00B10AF4" w:rsidRDefault="00583AEC">
      <w:pPr>
        <w:rPr>
          <w:rFonts w:ascii="Times New Roman" w:hAnsi="Times New Roman" w:cs="Times New Roman"/>
          <w:b/>
          <w:bCs/>
        </w:rPr>
      </w:pPr>
      <w:r w:rsidRPr="00B10AF4">
        <w:rPr>
          <w:rFonts w:ascii="Times New Roman" w:hAnsi="Times New Roman" w:cs="Times New Roman"/>
          <w:b/>
          <w:bCs/>
        </w:rPr>
        <w:t>2.1 Replicating Inferences</w:t>
      </w:r>
    </w:p>
    <w:p w14:paraId="068EC383" w14:textId="5A1EF7CA" w:rsidR="00583AEC" w:rsidRPr="00B10AF4" w:rsidRDefault="009F1662">
      <w:pPr>
        <w:rPr>
          <w:rFonts w:ascii="Times New Roman" w:hAnsi="Times New Roman" w:cs="Times New Roman"/>
        </w:rPr>
      </w:pPr>
      <w:r w:rsidRPr="00B10AF4">
        <w:rPr>
          <w:rFonts w:ascii="Times New Roman" w:hAnsi="Times New Roman" w:cs="Times New Roman"/>
        </w:rPr>
        <w:t xml:space="preserve">I focus my replication efforts on the link between </w:t>
      </w:r>
      <w:r w:rsidR="00EC15A1" w:rsidRPr="00B10AF4">
        <w:rPr>
          <w:rFonts w:ascii="Times New Roman" w:hAnsi="Times New Roman" w:cs="Times New Roman"/>
        </w:rPr>
        <w:t xml:space="preserve">the exogenous shock of index membership and measures of the “trading environment.” Specifically, the authors find that </w:t>
      </w:r>
      <w:r w:rsidR="00497F1F" w:rsidRPr="00B10AF4">
        <w:rPr>
          <w:rFonts w:ascii="Times New Roman" w:hAnsi="Times New Roman" w:cs="Times New Roman"/>
        </w:rPr>
        <w:t>increased institutional ownership leads to:</w:t>
      </w:r>
    </w:p>
    <w:p w14:paraId="48EA8408" w14:textId="0834FE91" w:rsidR="00497F1F" w:rsidRPr="00B10AF4" w:rsidRDefault="00497F1F" w:rsidP="00497F1F">
      <w:pPr>
        <w:pStyle w:val="ListParagraph"/>
        <w:numPr>
          <w:ilvl w:val="0"/>
          <w:numId w:val="1"/>
        </w:numPr>
        <w:rPr>
          <w:rFonts w:ascii="Times New Roman" w:hAnsi="Times New Roman" w:cs="Times New Roman"/>
        </w:rPr>
      </w:pPr>
      <w:r w:rsidRPr="00B10AF4">
        <w:rPr>
          <w:rFonts w:ascii="Times New Roman" w:hAnsi="Times New Roman" w:cs="Times New Roman"/>
        </w:rPr>
        <w:t xml:space="preserve">Lower bid-ask </w:t>
      </w:r>
      <w:proofErr w:type="gramStart"/>
      <w:r w:rsidRPr="00B10AF4">
        <w:rPr>
          <w:rFonts w:ascii="Times New Roman" w:hAnsi="Times New Roman" w:cs="Times New Roman"/>
        </w:rPr>
        <w:t>spread</w:t>
      </w:r>
      <w:r w:rsidR="007C461A" w:rsidRPr="00B10AF4">
        <w:rPr>
          <w:rFonts w:ascii="Times New Roman" w:hAnsi="Times New Roman" w:cs="Times New Roman"/>
        </w:rPr>
        <w:t>:</w:t>
      </w:r>
      <w:proofErr w:type="gramEnd"/>
      <w:r w:rsidR="007C461A" w:rsidRPr="00B10AF4">
        <w:rPr>
          <w:rFonts w:ascii="Times New Roman" w:hAnsi="Times New Roman" w:cs="Times New Roman"/>
        </w:rPr>
        <w:t xml:space="preserve"> bid-ask spread divided by the mean of the bid and ask prices</w:t>
      </w:r>
    </w:p>
    <w:p w14:paraId="67CEC78C" w14:textId="22120A1B" w:rsidR="00497F1F" w:rsidRPr="00B10AF4" w:rsidRDefault="00D01318" w:rsidP="00497F1F">
      <w:pPr>
        <w:pStyle w:val="ListParagraph"/>
        <w:numPr>
          <w:ilvl w:val="0"/>
          <w:numId w:val="1"/>
        </w:numPr>
        <w:rPr>
          <w:rFonts w:ascii="Times New Roman" w:hAnsi="Times New Roman" w:cs="Times New Roman"/>
        </w:rPr>
      </w:pPr>
      <w:r w:rsidRPr="00B10AF4">
        <w:rPr>
          <w:rFonts w:ascii="Times New Roman" w:hAnsi="Times New Roman" w:cs="Times New Roman"/>
        </w:rPr>
        <w:t>Higher turnover: volume divided by shares outstanding</w:t>
      </w:r>
    </w:p>
    <w:p w14:paraId="7696E238" w14:textId="1647FFD0" w:rsidR="00D01318" w:rsidRPr="00B10AF4" w:rsidRDefault="00D01318" w:rsidP="00497F1F">
      <w:pPr>
        <w:pStyle w:val="ListParagraph"/>
        <w:numPr>
          <w:ilvl w:val="0"/>
          <w:numId w:val="1"/>
        </w:numPr>
        <w:rPr>
          <w:rFonts w:ascii="Times New Roman" w:hAnsi="Times New Roman" w:cs="Times New Roman"/>
        </w:rPr>
      </w:pPr>
      <w:r w:rsidRPr="00B10AF4">
        <w:rPr>
          <w:rFonts w:ascii="Times New Roman" w:hAnsi="Times New Roman" w:cs="Times New Roman"/>
        </w:rPr>
        <w:t>Higher dollar volume: volume times share price</w:t>
      </w:r>
    </w:p>
    <w:p w14:paraId="2F0DACB7" w14:textId="654582D9" w:rsidR="005014BD" w:rsidRPr="00B10AF4" w:rsidRDefault="005014BD" w:rsidP="005014BD">
      <w:pPr>
        <w:rPr>
          <w:rFonts w:ascii="Times New Roman" w:hAnsi="Times New Roman" w:cs="Times New Roman"/>
        </w:rPr>
      </w:pPr>
      <w:r w:rsidRPr="00B10AF4">
        <w:rPr>
          <w:rFonts w:ascii="Times New Roman" w:hAnsi="Times New Roman" w:cs="Times New Roman"/>
        </w:rPr>
        <w:t>The two main tests are a difference-in-means test across bandwidths of 50, 100, and 200 along the discontinuity</w:t>
      </w:r>
      <w:r w:rsidR="00410885" w:rsidRPr="00B10AF4">
        <w:rPr>
          <w:rFonts w:ascii="Times New Roman" w:hAnsi="Times New Roman" w:cs="Times New Roman"/>
        </w:rPr>
        <w:t xml:space="preserve"> as well as a RDD with substantially similar bandwidths.</w:t>
      </w:r>
      <w:r w:rsidR="00256F16" w:rsidRPr="00B10AF4">
        <w:rPr>
          <w:rFonts w:ascii="Times New Roman" w:hAnsi="Times New Roman" w:cs="Times New Roman"/>
        </w:rPr>
        <w:t xml:space="preserve"> The authors use a “local third-order polynomial estimate using a triangular kernel t</w:t>
      </w:r>
      <w:r w:rsidR="004A19BB" w:rsidRPr="00B10AF4">
        <w:rPr>
          <w:rFonts w:ascii="Times New Roman" w:hAnsi="Times New Roman" w:cs="Times New Roman"/>
        </w:rPr>
        <w:t>o</w:t>
      </w:r>
      <w:r w:rsidR="00256F16" w:rsidRPr="00B10AF4">
        <w:rPr>
          <w:rFonts w:ascii="Times New Roman" w:hAnsi="Times New Roman" w:cs="Times New Roman"/>
        </w:rPr>
        <w:t xml:space="preserve"> the left and right…using the bias-correction methodology in </w:t>
      </w:r>
      <w:proofErr w:type="spellStart"/>
      <w:r w:rsidR="00256F16" w:rsidRPr="00B10AF4">
        <w:rPr>
          <w:rFonts w:ascii="Times New Roman" w:hAnsi="Times New Roman" w:cs="Times New Roman"/>
        </w:rPr>
        <w:t>Calonico</w:t>
      </w:r>
      <w:proofErr w:type="spellEnd"/>
      <w:r w:rsidR="00256F16" w:rsidRPr="00B10AF4">
        <w:rPr>
          <w:rFonts w:ascii="Times New Roman" w:hAnsi="Times New Roman" w:cs="Times New Roman"/>
        </w:rPr>
        <w:t xml:space="preserve">, </w:t>
      </w:r>
      <w:proofErr w:type="spellStart"/>
      <w:r w:rsidR="00256F16" w:rsidRPr="00B10AF4">
        <w:rPr>
          <w:rFonts w:ascii="Times New Roman" w:hAnsi="Times New Roman" w:cs="Times New Roman"/>
        </w:rPr>
        <w:t>Catt</w:t>
      </w:r>
      <w:r w:rsidR="004A19BB" w:rsidRPr="00B10AF4">
        <w:rPr>
          <w:rFonts w:ascii="Times New Roman" w:hAnsi="Times New Roman" w:cs="Times New Roman"/>
        </w:rPr>
        <w:t>aneo</w:t>
      </w:r>
      <w:proofErr w:type="spellEnd"/>
      <w:r w:rsidR="004A19BB" w:rsidRPr="00B10AF4">
        <w:rPr>
          <w:rFonts w:ascii="Times New Roman" w:hAnsi="Times New Roman" w:cs="Times New Roman"/>
        </w:rPr>
        <w:t xml:space="preserve">, and </w:t>
      </w:r>
      <w:proofErr w:type="spellStart"/>
      <w:r w:rsidR="004A19BB" w:rsidRPr="00B10AF4">
        <w:rPr>
          <w:rFonts w:ascii="Times New Roman" w:hAnsi="Times New Roman" w:cs="Times New Roman"/>
        </w:rPr>
        <w:t>Titiunik</w:t>
      </w:r>
      <w:proofErr w:type="spellEnd"/>
      <w:r w:rsidR="004A19BB" w:rsidRPr="00B10AF4">
        <w:rPr>
          <w:rFonts w:ascii="Times New Roman" w:hAnsi="Times New Roman" w:cs="Times New Roman"/>
        </w:rPr>
        <w:t xml:space="preserve"> (2014).” I replicate his results using third-order polynomials to the left and right of the discontinuity but without the triangular kernel or bias-correction methodology.</w:t>
      </w:r>
      <w:r w:rsidR="00540B2D" w:rsidRPr="00B10AF4">
        <w:rPr>
          <w:rFonts w:ascii="Times New Roman" w:hAnsi="Times New Roman" w:cs="Times New Roman"/>
        </w:rPr>
        <w:t xml:space="preserve"> </w:t>
      </w:r>
      <w:proofErr w:type="gramStart"/>
      <w:r w:rsidR="00540B2D" w:rsidRPr="00B10AF4">
        <w:rPr>
          <w:rFonts w:ascii="Times New Roman" w:hAnsi="Times New Roman" w:cs="Times New Roman"/>
        </w:rPr>
        <w:t>Similarly</w:t>
      </w:r>
      <w:proofErr w:type="gramEnd"/>
      <w:r w:rsidR="00540B2D" w:rsidRPr="00B10AF4">
        <w:rPr>
          <w:rFonts w:ascii="Times New Roman" w:hAnsi="Times New Roman" w:cs="Times New Roman"/>
        </w:rPr>
        <w:t xml:space="preserve"> to the author, I find highly significant difference-in-means for all bandwidths as well as </w:t>
      </w:r>
      <w:r w:rsidR="00837B1A" w:rsidRPr="00B10AF4">
        <w:rPr>
          <w:rFonts w:ascii="Times New Roman" w:hAnsi="Times New Roman" w:cs="Times New Roman"/>
        </w:rPr>
        <w:t>highly significant RDD coefficients.</w:t>
      </w:r>
      <w:r w:rsidR="006A4904" w:rsidRPr="00B10AF4">
        <w:rPr>
          <w:rFonts w:ascii="Times New Roman" w:hAnsi="Times New Roman" w:cs="Times New Roman"/>
        </w:rPr>
        <w:t xml:space="preserve"> See Table 1 for the replication results.</w:t>
      </w:r>
    </w:p>
    <w:p w14:paraId="496971A5" w14:textId="44450064" w:rsidR="00583AEC" w:rsidRPr="00B10AF4" w:rsidRDefault="00583AEC">
      <w:pPr>
        <w:rPr>
          <w:rFonts w:ascii="Times New Roman" w:hAnsi="Times New Roman" w:cs="Times New Roman"/>
          <w:b/>
          <w:bCs/>
        </w:rPr>
      </w:pPr>
      <w:r w:rsidRPr="00B10AF4">
        <w:rPr>
          <w:rFonts w:ascii="Times New Roman" w:hAnsi="Times New Roman" w:cs="Times New Roman"/>
          <w:b/>
          <w:bCs/>
        </w:rPr>
        <w:t xml:space="preserve">2.2 </w:t>
      </w:r>
      <w:r w:rsidR="0039014B" w:rsidRPr="00B10AF4">
        <w:rPr>
          <w:rFonts w:ascii="Times New Roman" w:hAnsi="Times New Roman" w:cs="Times New Roman"/>
          <w:b/>
          <w:bCs/>
        </w:rPr>
        <w:t>Perturbations to the Independent Variables of Interest</w:t>
      </w:r>
    </w:p>
    <w:p w14:paraId="7D4CF560" w14:textId="390650EF" w:rsidR="00583AEC" w:rsidRPr="00B10AF4" w:rsidRDefault="00CA6A2F">
      <w:pPr>
        <w:rPr>
          <w:rFonts w:ascii="Times New Roman" w:hAnsi="Times New Roman" w:cs="Times New Roman"/>
        </w:rPr>
      </w:pPr>
      <w:r w:rsidRPr="00B10AF4">
        <w:rPr>
          <w:rFonts w:ascii="Times New Roman" w:hAnsi="Times New Roman" w:cs="Times New Roman"/>
        </w:rPr>
        <w:t xml:space="preserve">The authors use </w:t>
      </w:r>
      <w:r w:rsidR="00BC682C" w:rsidRPr="00B10AF4">
        <w:rPr>
          <w:rFonts w:ascii="Times New Roman" w:hAnsi="Times New Roman" w:cs="Times New Roman"/>
        </w:rPr>
        <w:t>three separate measures for liquidity</w:t>
      </w:r>
      <w:r w:rsidR="00B256B0" w:rsidRPr="00B10AF4">
        <w:rPr>
          <w:rFonts w:ascii="Times New Roman" w:hAnsi="Times New Roman" w:cs="Times New Roman"/>
        </w:rPr>
        <w:t xml:space="preserve"> and the trading environment which are </w:t>
      </w:r>
      <w:proofErr w:type="gramStart"/>
      <w:r w:rsidR="00B256B0" w:rsidRPr="00B10AF4">
        <w:rPr>
          <w:rFonts w:ascii="Times New Roman" w:hAnsi="Times New Roman" w:cs="Times New Roman"/>
        </w:rPr>
        <w:t>fairly comprehensive</w:t>
      </w:r>
      <w:proofErr w:type="gramEnd"/>
      <w:r w:rsidR="00B256B0" w:rsidRPr="00B10AF4">
        <w:rPr>
          <w:rFonts w:ascii="Times New Roman" w:hAnsi="Times New Roman" w:cs="Times New Roman"/>
        </w:rPr>
        <w:t xml:space="preserve"> as their independent variables. To investigate the specific constructs, </w:t>
      </w:r>
      <w:r w:rsidR="00F361D5" w:rsidRPr="00B10AF4">
        <w:rPr>
          <w:rFonts w:ascii="Times New Roman" w:hAnsi="Times New Roman" w:cs="Times New Roman"/>
        </w:rPr>
        <w:t>I perturb their variable measurement formulas</w:t>
      </w:r>
      <w:r w:rsidR="004F39DF" w:rsidRPr="00B10AF4">
        <w:rPr>
          <w:rFonts w:ascii="Times New Roman" w:hAnsi="Times New Roman" w:cs="Times New Roman"/>
        </w:rPr>
        <w:t xml:space="preserve"> as follows:</w:t>
      </w:r>
    </w:p>
    <w:p w14:paraId="55C9C9C5" w14:textId="12FFCCC9" w:rsidR="004F39DF" w:rsidRPr="00B10AF4" w:rsidRDefault="004F39DF" w:rsidP="004F39DF">
      <w:pPr>
        <w:pStyle w:val="ListParagraph"/>
        <w:numPr>
          <w:ilvl w:val="0"/>
          <w:numId w:val="2"/>
        </w:numPr>
        <w:rPr>
          <w:rFonts w:ascii="Times New Roman" w:hAnsi="Times New Roman" w:cs="Times New Roman"/>
        </w:rPr>
      </w:pPr>
      <w:r w:rsidRPr="00B10AF4">
        <w:rPr>
          <w:rFonts w:ascii="Times New Roman" w:hAnsi="Times New Roman" w:cs="Times New Roman"/>
        </w:rPr>
        <w:t>Bid-ask spread</w:t>
      </w:r>
      <w:r w:rsidR="007C494D" w:rsidRPr="00B10AF4">
        <w:rPr>
          <w:rFonts w:ascii="Times New Roman" w:hAnsi="Times New Roman" w:cs="Times New Roman"/>
        </w:rPr>
        <w:t>: The authors calculate a bid-ask spread that varies over time. I perturb this by calculating the 11-month average.</w:t>
      </w:r>
    </w:p>
    <w:p w14:paraId="16F592A3" w14:textId="32BE2D4F" w:rsidR="004F39DF" w:rsidRPr="00B10AF4" w:rsidRDefault="004F39DF" w:rsidP="004F39DF">
      <w:pPr>
        <w:pStyle w:val="ListParagraph"/>
        <w:numPr>
          <w:ilvl w:val="0"/>
          <w:numId w:val="2"/>
        </w:numPr>
        <w:rPr>
          <w:rFonts w:ascii="Times New Roman" w:hAnsi="Times New Roman" w:cs="Times New Roman"/>
        </w:rPr>
      </w:pPr>
      <w:r w:rsidRPr="00B10AF4">
        <w:rPr>
          <w:rFonts w:ascii="Times New Roman" w:hAnsi="Times New Roman" w:cs="Times New Roman"/>
        </w:rPr>
        <w:t>Turnover</w:t>
      </w:r>
      <w:r w:rsidR="00947230" w:rsidRPr="00B10AF4">
        <w:rPr>
          <w:rFonts w:ascii="Times New Roman" w:hAnsi="Times New Roman" w:cs="Times New Roman"/>
        </w:rPr>
        <w:t xml:space="preserve">: The authors calculate an </w:t>
      </w:r>
      <w:proofErr w:type="gramStart"/>
      <w:r w:rsidR="00947230" w:rsidRPr="00B10AF4">
        <w:rPr>
          <w:rFonts w:ascii="Times New Roman" w:hAnsi="Times New Roman" w:cs="Times New Roman"/>
        </w:rPr>
        <w:t>11 month</w:t>
      </w:r>
      <w:proofErr w:type="gramEnd"/>
      <w:r w:rsidR="00947230" w:rsidRPr="00B10AF4">
        <w:rPr>
          <w:rFonts w:ascii="Times New Roman" w:hAnsi="Times New Roman" w:cs="Times New Roman"/>
        </w:rPr>
        <w:t xml:space="preserve"> average of the turnover. I perturb this by </w:t>
      </w:r>
      <w:r w:rsidR="007C494D" w:rsidRPr="00B10AF4">
        <w:rPr>
          <w:rFonts w:ascii="Times New Roman" w:hAnsi="Times New Roman" w:cs="Times New Roman"/>
        </w:rPr>
        <w:t>allowing turnover to vary over time.</w:t>
      </w:r>
    </w:p>
    <w:p w14:paraId="472BB399" w14:textId="3C9C90AB" w:rsidR="004F39DF" w:rsidRPr="00B10AF4" w:rsidRDefault="004F39DF" w:rsidP="004F39DF">
      <w:pPr>
        <w:pStyle w:val="ListParagraph"/>
        <w:numPr>
          <w:ilvl w:val="0"/>
          <w:numId w:val="2"/>
        </w:numPr>
        <w:rPr>
          <w:rFonts w:ascii="Times New Roman" w:hAnsi="Times New Roman" w:cs="Times New Roman"/>
        </w:rPr>
      </w:pPr>
      <w:r w:rsidRPr="00B10AF4">
        <w:rPr>
          <w:rFonts w:ascii="Times New Roman" w:hAnsi="Times New Roman" w:cs="Times New Roman"/>
        </w:rPr>
        <w:t>Dollar volume</w:t>
      </w:r>
      <w:r w:rsidR="007C494D" w:rsidRPr="00B10AF4">
        <w:rPr>
          <w:rFonts w:ascii="Times New Roman" w:hAnsi="Times New Roman" w:cs="Times New Roman"/>
        </w:rPr>
        <w:t xml:space="preserve">: </w:t>
      </w:r>
      <w:r w:rsidR="007C494D" w:rsidRPr="00B10AF4">
        <w:rPr>
          <w:rFonts w:ascii="Times New Roman" w:hAnsi="Times New Roman" w:cs="Times New Roman"/>
        </w:rPr>
        <w:t xml:space="preserve">The authors calculate an </w:t>
      </w:r>
      <w:proofErr w:type="gramStart"/>
      <w:r w:rsidR="007C494D" w:rsidRPr="00B10AF4">
        <w:rPr>
          <w:rFonts w:ascii="Times New Roman" w:hAnsi="Times New Roman" w:cs="Times New Roman"/>
        </w:rPr>
        <w:t>11 month</w:t>
      </w:r>
      <w:proofErr w:type="gramEnd"/>
      <w:r w:rsidR="007C494D" w:rsidRPr="00B10AF4">
        <w:rPr>
          <w:rFonts w:ascii="Times New Roman" w:hAnsi="Times New Roman" w:cs="Times New Roman"/>
        </w:rPr>
        <w:t xml:space="preserve"> average of the turnover. I perturb this by allowing turnover to vary over time.</w:t>
      </w:r>
    </w:p>
    <w:p w14:paraId="5BCE2D3A" w14:textId="14DCD62C" w:rsidR="00EF7256" w:rsidRPr="00B10AF4" w:rsidRDefault="00EF7256" w:rsidP="00EF7256">
      <w:pPr>
        <w:rPr>
          <w:rFonts w:ascii="Times New Roman" w:hAnsi="Times New Roman" w:cs="Times New Roman"/>
        </w:rPr>
      </w:pPr>
      <w:r w:rsidRPr="00B10AF4">
        <w:rPr>
          <w:rFonts w:ascii="Times New Roman" w:hAnsi="Times New Roman" w:cs="Times New Roman"/>
        </w:rPr>
        <w:lastRenderedPageBreak/>
        <w:t xml:space="preserve">Put simply, my perturbations to the independent variables were to </w:t>
      </w:r>
      <w:r w:rsidR="007E6F84" w:rsidRPr="00B10AF4">
        <w:rPr>
          <w:rFonts w:ascii="Times New Roman" w:hAnsi="Times New Roman" w:cs="Times New Roman"/>
        </w:rPr>
        <w:t>use the calculations methods they propose on the opposite variables that they used. I find substantially the same results from these perturbations.</w:t>
      </w:r>
      <w:r w:rsidR="006659F4" w:rsidRPr="00B10AF4">
        <w:rPr>
          <w:rFonts w:ascii="Times New Roman" w:hAnsi="Times New Roman" w:cs="Times New Roman"/>
        </w:rPr>
        <w:t xml:space="preserve"> See Table 2 for a comparison of t-statistics.</w:t>
      </w:r>
      <w:r w:rsidR="00E45FF2" w:rsidRPr="00B10AF4">
        <w:rPr>
          <w:rFonts w:ascii="Times New Roman" w:hAnsi="Times New Roman" w:cs="Times New Roman"/>
        </w:rPr>
        <w:t xml:space="preserve"> </w:t>
      </w:r>
    </w:p>
    <w:p w14:paraId="038BF339" w14:textId="1F1C6735" w:rsidR="00583AEC" w:rsidRPr="00B10AF4" w:rsidRDefault="00583AEC">
      <w:pPr>
        <w:rPr>
          <w:rFonts w:ascii="Times New Roman" w:hAnsi="Times New Roman" w:cs="Times New Roman"/>
          <w:b/>
          <w:bCs/>
        </w:rPr>
      </w:pPr>
      <w:r w:rsidRPr="00B10AF4">
        <w:rPr>
          <w:rFonts w:ascii="Times New Roman" w:hAnsi="Times New Roman" w:cs="Times New Roman"/>
          <w:b/>
          <w:bCs/>
        </w:rPr>
        <w:t xml:space="preserve">2.3 </w:t>
      </w:r>
      <w:r w:rsidR="000477CD" w:rsidRPr="00B10AF4">
        <w:rPr>
          <w:rFonts w:ascii="Times New Roman" w:hAnsi="Times New Roman" w:cs="Times New Roman"/>
          <w:b/>
          <w:bCs/>
        </w:rPr>
        <w:t>Perturbations to the Running Variable of Interest</w:t>
      </w:r>
    </w:p>
    <w:p w14:paraId="6C928501" w14:textId="74A722FD" w:rsidR="004C7997" w:rsidRDefault="001B2A9C">
      <w:pPr>
        <w:rPr>
          <w:rFonts w:ascii="Times New Roman" w:hAnsi="Times New Roman" w:cs="Times New Roman"/>
        </w:rPr>
      </w:pPr>
      <w:r>
        <w:rPr>
          <w:rFonts w:ascii="Times New Roman" w:hAnsi="Times New Roman" w:cs="Times New Roman"/>
        </w:rPr>
        <w:t xml:space="preserve">The Russell Index reconstitution consists for several dates and stages that runs from the last trading day of May to the </w:t>
      </w:r>
      <w:r w:rsidR="009D4935">
        <w:rPr>
          <w:rFonts w:ascii="Times New Roman" w:hAnsi="Times New Roman" w:cs="Times New Roman"/>
        </w:rPr>
        <w:t>end of June.</w:t>
      </w:r>
      <w:r w:rsidR="004C7997">
        <w:rPr>
          <w:rStyle w:val="FootnoteReference"/>
          <w:rFonts w:ascii="Times New Roman" w:hAnsi="Times New Roman" w:cs="Times New Roman"/>
        </w:rPr>
        <w:footnoteReference w:id="1"/>
      </w:r>
      <w:r w:rsidR="009D4935">
        <w:rPr>
          <w:rFonts w:ascii="Times New Roman" w:hAnsi="Times New Roman" w:cs="Times New Roman"/>
        </w:rPr>
        <w:t xml:space="preserve"> </w:t>
      </w:r>
      <w:r w:rsidR="00574740">
        <w:rPr>
          <w:rFonts w:ascii="Times New Roman" w:hAnsi="Times New Roman" w:cs="Times New Roman"/>
        </w:rPr>
        <w:t xml:space="preserve">Most importantly, FTSE uses the market capitalizations of firms in the last trading day of May to determine membership into the Russell 1000 and Russell 2000 but uses market capitalization of firms at the end of June to determine the weighting of firms in the index. </w:t>
      </w:r>
      <w:r w:rsidR="00346897">
        <w:rPr>
          <w:rFonts w:ascii="Times New Roman" w:hAnsi="Times New Roman" w:cs="Times New Roman"/>
        </w:rPr>
        <w:t xml:space="preserve">Both the ranking of firm capitalization at the end of May and end of June, therefore, </w:t>
      </w:r>
      <w:r w:rsidR="0068786C">
        <w:rPr>
          <w:rFonts w:ascii="Times New Roman" w:hAnsi="Times New Roman" w:cs="Times New Roman"/>
        </w:rPr>
        <w:t>are possible methods to calculate the running variable up to and beyond the discontinuity.</w:t>
      </w:r>
      <w:r w:rsidR="000564E4">
        <w:rPr>
          <w:rFonts w:ascii="Times New Roman" w:hAnsi="Times New Roman" w:cs="Times New Roman"/>
        </w:rPr>
        <w:t xml:space="preserve"> The May-version is closer in principle to the discontinuity of index membership itself. However, the June-version is closer </w:t>
      </w:r>
      <w:r w:rsidR="00BA3A92">
        <w:rPr>
          <w:rFonts w:ascii="Times New Roman" w:hAnsi="Times New Roman" w:cs="Times New Roman"/>
        </w:rPr>
        <w:t>to the effect on institutional ownership by quasi-indexers.</w:t>
      </w:r>
    </w:p>
    <w:p w14:paraId="61360598" w14:textId="275A94C5" w:rsidR="000416C3" w:rsidRDefault="000416C3">
      <w:pPr>
        <w:rPr>
          <w:rFonts w:ascii="Times New Roman" w:hAnsi="Times New Roman" w:cs="Times New Roman"/>
        </w:rPr>
      </w:pPr>
      <w:r>
        <w:rPr>
          <w:rFonts w:ascii="Times New Roman" w:hAnsi="Times New Roman" w:cs="Times New Roman"/>
        </w:rPr>
        <w:t>The authors use the June-version of market capitalization ranking to determine the discontinuity and bandwidths. I experiment with using the May-version instead.</w:t>
      </w:r>
      <w:r w:rsidR="003D6118">
        <w:rPr>
          <w:rFonts w:ascii="Times New Roman" w:hAnsi="Times New Roman" w:cs="Times New Roman"/>
        </w:rPr>
        <w:t xml:space="preserve"> One confounding factor is that I was unable to find matches in CRSP market capitalization for all </w:t>
      </w:r>
      <w:r w:rsidR="0009594E">
        <w:rPr>
          <w:rFonts w:ascii="Times New Roman" w:hAnsi="Times New Roman" w:cs="Times New Roman"/>
        </w:rPr>
        <w:t xml:space="preserve">7,775 companies with positive weights in the Russell 1000/2000. I find matches for 7,325 instead. If the </w:t>
      </w:r>
      <w:r w:rsidR="00A42A7B">
        <w:rPr>
          <w:rFonts w:ascii="Times New Roman" w:hAnsi="Times New Roman" w:cs="Times New Roman"/>
        </w:rPr>
        <w:t>~6% of companies that are missing data are correlated in some way, use of the May ranking will bias results.</w:t>
      </w:r>
    </w:p>
    <w:p w14:paraId="44323E3F" w14:textId="559C69C5" w:rsidR="000477CD" w:rsidRPr="00B10AF4" w:rsidRDefault="007333BB">
      <w:pPr>
        <w:rPr>
          <w:rFonts w:ascii="Times New Roman" w:hAnsi="Times New Roman" w:cs="Times New Roman"/>
        </w:rPr>
      </w:pPr>
      <w:r w:rsidRPr="00B10AF4">
        <w:rPr>
          <w:rFonts w:ascii="Times New Roman" w:hAnsi="Times New Roman" w:cs="Times New Roman"/>
        </w:rPr>
        <w:t>See Table 3 for a comparison of t-statistics.</w:t>
      </w:r>
    </w:p>
    <w:p w14:paraId="274817CE" w14:textId="4861039E" w:rsidR="000477CD" w:rsidRPr="00B10AF4" w:rsidRDefault="000477CD">
      <w:pPr>
        <w:rPr>
          <w:rFonts w:ascii="Times New Roman" w:hAnsi="Times New Roman" w:cs="Times New Roman"/>
          <w:b/>
          <w:bCs/>
        </w:rPr>
      </w:pPr>
      <w:r w:rsidRPr="00B10AF4">
        <w:rPr>
          <w:rFonts w:ascii="Times New Roman" w:hAnsi="Times New Roman" w:cs="Times New Roman"/>
          <w:b/>
          <w:bCs/>
        </w:rPr>
        <w:t>2.4 Perturbations to the RDD Bandwidth</w:t>
      </w:r>
    </w:p>
    <w:p w14:paraId="4B4013DD" w14:textId="6674F103" w:rsidR="00294A20" w:rsidRDefault="005126B4">
      <w:pPr>
        <w:rPr>
          <w:rFonts w:ascii="Times New Roman" w:hAnsi="Times New Roman" w:cs="Times New Roman"/>
        </w:rPr>
      </w:pPr>
      <w:r>
        <w:rPr>
          <w:rFonts w:ascii="Times New Roman" w:hAnsi="Times New Roman" w:cs="Times New Roman"/>
        </w:rPr>
        <w:t xml:space="preserve">One of the weaknesses of RDD is that they trade off more internal validity with the natural experiment around the discontinuity for less external validity since findings may not apply to firms far away from the cutoff. The authors substantially address this by considering large bandwidths of </w:t>
      </w:r>
      <w:r w:rsidR="00EB4E42">
        <w:rPr>
          <w:rFonts w:ascii="Times New Roman" w:hAnsi="Times New Roman" w:cs="Times New Roman"/>
        </w:rPr>
        <w:t>up to</w:t>
      </w:r>
      <w:r>
        <w:rPr>
          <w:rFonts w:ascii="Times New Roman" w:hAnsi="Times New Roman" w:cs="Times New Roman"/>
        </w:rPr>
        <w:t xml:space="preserve"> 200 firms</w:t>
      </w:r>
      <w:r w:rsidR="00FF58A8">
        <w:rPr>
          <w:rFonts w:ascii="Times New Roman" w:hAnsi="Times New Roman" w:cs="Times New Roman"/>
        </w:rPr>
        <w:t>: t</w:t>
      </w:r>
      <w:r w:rsidR="00E77B43">
        <w:rPr>
          <w:rFonts w:ascii="Times New Roman" w:hAnsi="Times New Roman" w:cs="Times New Roman"/>
        </w:rPr>
        <w:t>he bandwidths of 200 firms cover 13% of the total firms in either Russell index</w:t>
      </w:r>
      <w:r w:rsidR="00E54BC0">
        <w:rPr>
          <w:rFonts w:ascii="Times New Roman" w:hAnsi="Times New Roman" w:cs="Times New Roman"/>
        </w:rPr>
        <w:t xml:space="preserve"> compared to just 1.7% for the bandwidth of 50 firms</w:t>
      </w:r>
      <w:r w:rsidR="0037618B">
        <w:rPr>
          <w:rFonts w:ascii="Times New Roman" w:hAnsi="Times New Roman" w:cs="Times New Roman"/>
        </w:rPr>
        <w:t>, giving the reader more confidence in the external validity of this research design.</w:t>
      </w:r>
    </w:p>
    <w:p w14:paraId="0377DE2F" w14:textId="62722D0D" w:rsidR="0037618B" w:rsidRDefault="0037618B">
      <w:pPr>
        <w:rPr>
          <w:rFonts w:ascii="Times New Roman" w:hAnsi="Times New Roman" w:cs="Times New Roman"/>
        </w:rPr>
      </w:pPr>
      <w:r>
        <w:rPr>
          <w:rFonts w:ascii="Times New Roman" w:hAnsi="Times New Roman" w:cs="Times New Roman"/>
        </w:rPr>
        <w:t>However, a visual inspection of Figure 5</w:t>
      </w:r>
      <w:r w:rsidR="00F14EAE">
        <w:rPr>
          <w:rFonts w:ascii="Times New Roman" w:hAnsi="Times New Roman" w:cs="Times New Roman"/>
        </w:rPr>
        <w:t xml:space="preserve"> or a close inspection of </w:t>
      </w:r>
      <w:r w:rsidR="00D94D39">
        <w:rPr>
          <w:rFonts w:ascii="Times New Roman" w:hAnsi="Times New Roman" w:cs="Times New Roman"/>
        </w:rPr>
        <w:t xml:space="preserve">diminishing results in </w:t>
      </w:r>
      <w:r w:rsidR="00F14EAE">
        <w:rPr>
          <w:rFonts w:ascii="Times New Roman" w:hAnsi="Times New Roman" w:cs="Times New Roman"/>
        </w:rPr>
        <w:t>Table 5</w:t>
      </w:r>
      <w:r w:rsidR="00D94D39">
        <w:rPr>
          <w:rFonts w:ascii="Times New Roman" w:hAnsi="Times New Roman" w:cs="Times New Roman"/>
        </w:rPr>
        <w:t xml:space="preserve"> suggest that </w:t>
      </w:r>
      <w:r w:rsidR="00983051">
        <w:rPr>
          <w:rFonts w:ascii="Times New Roman" w:hAnsi="Times New Roman" w:cs="Times New Roman"/>
        </w:rPr>
        <w:t xml:space="preserve">the statistical significance of results rests substantially on the shoulders of only the 1.7% of firms that are very close to the </w:t>
      </w:r>
      <w:r w:rsidR="00B700C6">
        <w:rPr>
          <w:rFonts w:ascii="Times New Roman" w:hAnsi="Times New Roman" w:cs="Times New Roman"/>
        </w:rPr>
        <w:t xml:space="preserve">discontinuity of membership. I test this by examining firms that are within the </w:t>
      </w:r>
      <w:r w:rsidR="003B6D26">
        <w:rPr>
          <w:rFonts w:ascii="Times New Roman" w:hAnsi="Times New Roman" w:cs="Times New Roman"/>
        </w:rPr>
        <w:t>closest 200 firms</w:t>
      </w:r>
      <w:r w:rsidR="00B700C6">
        <w:rPr>
          <w:rFonts w:ascii="Times New Roman" w:hAnsi="Times New Roman" w:cs="Times New Roman"/>
        </w:rPr>
        <w:t xml:space="preserve"> but outside the closest 50 firms</w:t>
      </w:r>
      <w:r w:rsidR="003B6D26">
        <w:rPr>
          <w:rFonts w:ascii="Times New Roman" w:hAnsi="Times New Roman" w:cs="Times New Roman"/>
        </w:rPr>
        <w:t xml:space="preserve"> </w:t>
      </w:r>
      <w:r w:rsidR="002602A7">
        <w:rPr>
          <w:rFonts w:ascii="Times New Roman" w:hAnsi="Times New Roman" w:cs="Times New Roman"/>
        </w:rPr>
        <w:t xml:space="preserve">ranked closest </w:t>
      </w:r>
      <w:r w:rsidR="003B6D26">
        <w:rPr>
          <w:rFonts w:ascii="Times New Roman" w:hAnsi="Times New Roman" w:cs="Times New Roman"/>
        </w:rPr>
        <w:t>to the breakpoint</w:t>
      </w:r>
      <w:r w:rsidR="00B700C6">
        <w:rPr>
          <w:rFonts w:ascii="Times New Roman" w:hAnsi="Times New Roman" w:cs="Times New Roman"/>
        </w:rPr>
        <w:t>.</w:t>
      </w:r>
      <w:r w:rsidR="0066727D">
        <w:rPr>
          <w:rFonts w:ascii="Times New Roman" w:hAnsi="Times New Roman" w:cs="Times New Roman"/>
        </w:rPr>
        <w:t xml:space="preserve"> This is reasonable for two reasons: firstly, this is a strict subset of the bandwidth proposed by the authors</w:t>
      </w:r>
      <w:r w:rsidR="006F586E">
        <w:rPr>
          <w:rFonts w:ascii="Times New Roman" w:hAnsi="Times New Roman" w:cs="Times New Roman"/>
        </w:rPr>
        <w:t xml:space="preserve"> themselves of up</w:t>
      </w:r>
      <w:r w:rsidR="00BF06FA">
        <w:rPr>
          <w:rFonts w:ascii="Times New Roman" w:hAnsi="Times New Roman" w:cs="Times New Roman"/>
        </w:rPr>
        <w:t xml:space="preserve"> to 200 firms. Second, the story of the discontinuity </w:t>
      </w:r>
      <w:r w:rsidR="000E5D75">
        <w:rPr>
          <w:rFonts w:ascii="Times New Roman" w:hAnsi="Times New Roman" w:cs="Times New Roman"/>
        </w:rPr>
        <w:t xml:space="preserve">increasing institutional ownership holds in the 50-200 distance range as can be verified through a visual inspection of Figure 3 in Boone and White (2015). </w:t>
      </w:r>
      <w:r w:rsidR="00C07D67">
        <w:rPr>
          <w:rFonts w:ascii="Times New Roman" w:hAnsi="Times New Roman" w:cs="Times New Roman"/>
        </w:rPr>
        <w:t xml:space="preserve">The difference in institutional ownership is especially prominent in the 50-100 </w:t>
      </w:r>
      <w:r w:rsidR="00696253">
        <w:rPr>
          <w:rFonts w:ascii="Times New Roman" w:hAnsi="Times New Roman" w:cs="Times New Roman"/>
        </w:rPr>
        <w:t xml:space="preserve">distance </w:t>
      </w:r>
      <w:r w:rsidR="00C07D67">
        <w:rPr>
          <w:rFonts w:ascii="Times New Roman" w:hAnsi="Times New Roman" w:cs="Times New Roman"/>
        </w:rPr>
        <w:t>range and diminished but still present from 100-200</w:t>
      </w:r>
      <w:r w:rsidR="00696253">
        <w:rPr>
          <w:rFonts w:ascii="Times New Roman" w:hAnsi="Times New Roman" w:cs="Times New Roman"/>
        </w:rPr>
        <w:t xml:space="preserve"> distance range</w:t>
      </w:r>
      <w:r w:rsidR="00C07D67">
        <w:rPr>
          <w:rFonts w:ascii="Times New Roman" w:hAnsi="Times New Roman" w:cs="Times New Roman"/>
        </w:rPr>
        <w:t>.</w:t>
      </w:r>
      <w:r w:rsidR="00593A63">
        <w:rPr>
          <w:rFonts w:ascii="Times New Roman" w:hAnsi="Times New Roman" w:cs="Times New Roman"/>
        </w:rPr>
        <w:t xml:space="preserve"> Therefore, if differences in institutional ownership cause a more transparent and liquid trading environment, the story should continue to hold in the more distant subset of the proposed bandwidths.</w:t>
      </w:r>
    </w:p>
    <w:p w14:paraId="2048E605" w14:textId="68AC0AAD" w:rsidR="000C70A6" w:rsidRDefault="000C70A6">
      <w:pPr>
        <w:rPr>
          <w:rFonts w:ascii="Times New Roman" w:hAnsi="Times New Roman" w:cs="Times New Roman"/>
        </w:rPr>
      </w:pPr>
      <w:r>
        <w:rPr>
          <w:rFonts w:ascii="Times New Roman" w:hAnsi="Times New Roman" w:cs="Times New Roman"/>
        </w:rPr>
        <w:t>I find that the authors’ results often on the trading environment are either not statistically significant or even reverse</w:t>
      </w:r>
      <w:r w:rsidR="00C07C5D">
        <w:rPr>
          <w:rFonts w:ascii="Times New Roman" w:hAnsi="Times New Roman" w:cs="Times New Roman"/>
        </w:rPr>
        <w:t xml:space="preserve"> direction for companies inside the bandwidth but outside the closest 50 firms.</w:t>
      </w:r>
      <w:r w:rsidR="00EB74E3">
        <w:rPr>
          <w:rFonts w:ascii="Times New Roman" w:hAnsi="Times New Roman" w:cs="Times New Roman"/>
        </w:rPr>
        <w:t xml:space="preserve"> This is potentially a cause for concern for inferences linking institutional ownership to </w:t>
      </w:r>
      <w:r w:rsidR="00AB3D4B">
        <w:rPr>
          <w:rFonts w:ascii="Times New Roman" w:hAnsi="Times New Roman" w:cs="Times New Roman"/>
        </w:rPr>
        <w:t xml:space="preserve">the trading environment since firms in the bandwidth outside the closest 50 show clear differences in institutional holding from differential index membership without any of the accompanying </w:t>
      </w:r>
      <w:r w:rsidR="00CC47EC">
        <w:rPr>
          <w:rFonts w:ascii="Times New Roman" w:hAnsi="Times New Roman" w:cs="Times New Roman"/>
        </w:rPr>
        <w:t>gains in trading environment liquidity.</w:t>
      </w:r>
      <w:r w:rsidR="00600DB2">
        <w:rPr>
          <w:rFonts w:ascii="Times New Roman" w:hAnsi="Times New Roman" w:cs="Times New Roman"/>
        </w:rPr>
        <w:t xml:space="preserve"> To control for size as a confounding factor, I also attempt a variant of these results with market capitalization as a control in the RDD</w:t>
      </w:r>
      <w:r w:rsidR="00F33E8A">
        <w:rPr>
          <w:rFonts w:ascii="Times New Roman" w:hAnsi="Times New Roman" w:cs="Times New Roman"/>
        </w:rPr>
        <w:t xml:space="preserve"> and find the same results.</w:t>
      </w:r>
    </w:p>
    <w:p w14:paraId="4F6CFA4C" w14:textId="4400C380" w:rsidR="00385D4F" w:rsidRPr="00B10AF4" w:rsidRDefault="007333BB">
      <w:pPr>
        <w:rPr>
          <w:rFonts w:ascii="Times New Roman" w:hAnsi="Times New Roman" w:cs="Times New Roman"/>
        </w:rPr>
      </w:pPr>
      <w:r w:rsidRPr="00B10AF4">
        <w:rPr>
          <w:rFonts w:ascii="Times New Roman" w:hAnsi="Times New Roman" w:cs="Times New Roman"/>
        </w:rPr>
        <w:t>See Table 4 for a comparison of t-statistics.</w:t>
      </w:r>
    </w:p>
    <w:p w14:paraId="64C02D91" w14:textId="6604EDAC" w:rsidR="00385D4F" w:rsidRPr="00B10AF4" w:rsidRDefault="00385D4F">
      <w:pPr>
        <w:rPr>
          <w:rFonts w:ascii="Times New Roman" w:hAnsi="Times New Roman" w:cs="Times New Roman"/>
          <w:b/>
          <w:bCs/>
        </w:rPr>
      </w:pPr>
      <w:r w:rsidRPr="00B10AF4">
        <w:rPr>
          <w:rFonts w:ascii="Times New Roman" w:hAnsi="Times New Roman" w:cs="Times New Roman"/>
          <w:b/>
          <w:bCs/>
        </w:rPr>
        <w:lastRenderedPageBreak/>
        <w:t>3. Tables</w:t>
      </w:r>
    </w:p>
    <w:p w14:paraId="62AAB0CA" w14:textId="20D26FCD" w:rsidR="00E45FF2" w:rsidRDefault="00E45FF2">
      <w:pPr>
        <w:rPr>
          <w:rFonts w:ascii="Times New Roman" w:hAnsi="Times New Roman" w:cs="Times New Roman"/>
        </w:rPr>
      </w:pPr>
      <w:r w:rsidRPr="00B10AF4">
        <w:rPr>
          <w:rFonts w:ascii="Times New Roman" w:hAnsi="Times New Roman" w:cs="Times New Roman"/>
        </w:rPr>
        <w:t>Green-highlighted entries are statistics that agree with the authors’ results. Yellow-highlighted entries are non-statistically significant in contrast to the author’s findings and predictions. Red-highlighted entries are statistically significant but in the opposite direction of the author’s findings and predictions.</w:t>
      </w:r>
    </w:p>
    <w:tbl>
      <w:tblPr>
        <w:tblW w:w="5176" w:type="dxa"/>
        <w:jc w:val="center"/>
        <w:tblLook w:val="04A0" w:firstRow="1" w:lastRow="0" w:firstColumn="1" w:lastColumn="0" w:noHBand="0" w:noVBand="1"/>
      </w:tblPr>
      <w:tblGrid>
        <w:gridCol w:w="2354"/>
        <w:gridCol w:w="1712"/>
        <w:gridCol w:w="1110"/>
      </w:tblGrid>
      <w:tr w:rsidR="00384802" w:rsidRPr="00384802" w14:paraId="6C1623BF" w14:textId="77777777" w:rsidTr="006C70D9">
        <w:trPr>
          <w:trHeight w:val="410"/>
          <w:jc w:val="center"/>
        </w:trPr>
        <w:tc>
          <w:tcPr>
            <w:tcW w:w="5176" w:type="dxa"/>
            <w:gridSpan w:val="3"/>
            <w:tcBorders>
              <w:top w:val="nil"/>
              <w:left w:val="nil"/>
              <w:bottom w:val="nil"/>
              <w:right w:val="nil"/>
            </w:tcBorders>
            <w:shd w:val="clear" w:color="auto" w:fill="auto"/>
            <w:noWrap/>
            <w:vAlign w:val="bottom"/>
            <w:hideMark/>
          </w:tcPr>
          <w:p w14:paraId="7E6B0E72" w14:textId="77777777" w:rsidR="00384802" w:rsidRPr="00384802" w:rsidRDefault="00384802" w:rsidP="00384802">
            <w:pPr>
              <w:spacing w:after="0" w:line="240" w:lineRule="auto"/>
              <w:jc w:val="center"/>
              <w:rPr>
                <w:rFonts w:ascii="Times New Roman" w:eastAsia="Times New Roman" w:hAnsi="Times New Roman" w:cs="Times New Roman"/>
                <w:b/>
                <w:bCs/>
                <w:color w:val="000000"/>
                <w:sz w:val="32"/>
                <w:szCs w:val="32"/>
              </w:rPr>
            </w:pPr>
            <w:r w:rsidRPr="00384802">
              <w:rPr>
                <w:rFonts w:ascii="Times New Roman" w:eastAsia="Times New Roman" w:hAnsi="Times New Roman" w:cs="Times New Roman"/>
                <w:b/>
                <w:bCs/>
                <w:color w:val="000000"/>
                <w:sz w:val="32"/>
                <w:szCs w:val="32"/>
              </w:rPr>
              <w:t>Table 1</w:t>
            </w:r>
          </w:p>
        </w:tc>
      </w:tr>
      <w:tr w:rsidR="00384802" w:rsidRPr="00384802" w14:paraId="7776C339" w14:textId="77777777" w:rsidTr="006C70D9">
        <w:trPr>
          <w:trHeight w:val="410"/>
          <w:jc w:val="center"/>
        </w:trPr>
        <w:tc>
          <w:tcPr>
            <w:tcW w:w="5176" w:type="dxa"/>
            <w:gridSpan w:val="3"/>
            <w:tcBorders>
              <w:top w:val="nil"/>
              <w:left w:val="nil"/>
              <w:bottom w:val="nil"/>
              <w:right w:val="nil"/>
            </w:tcBorders>
            <w:shd w:val="clear" w:color="auto" w:fill="auto"/>
            <w:vAlign w:val="bottom"/>
            <w:hideMark/>
          </w:tcPr>
          <w:p w14:paraId="28664BCD" w14:textId="77777777" w:rsidR="00384802" w:rsidRPr="00384802" w:rsidRDefault="00384802" w:rsidP="00384802">
            <w:pPr>
              <w:spacing w:after="0" w:line="240" w:lineRule="auto"/>
              <w:jc w:val="center"/>
              <w:rPr>
                <w:rFonts w:ascii="Times New Roman" w:eastAsia="Times New Roman" w:hAnsi="Times New Roman" w:cs="Times New Roman"/>
                <w:b/>
                <w:bCs/>
                <w:color w:val="000000"/>
                <w:sz w:val="32"/>
                <w:szCs w:val="32"/>
              </w:rPr>
            </w:pPr>
            <w:r w:rsidRPr="00384802">
              <w:rPr>
                <w:rFonts w:ascii="Times New Roman" w:eastAsia="Times New Roman" w:hAnsi="Times New Roman" w:cs="Times New Roman"/>
                <w:b/>
                <w:bCs/>
                <w:color w:val="000000"/>
                <w:sz w:val="32"/>
                <w:szCs w:val="32"/>
              </w:rPr>
              <w:t>t-statistics from Replication Results</w:t>
            </w:r>
          </w:p>
        </w:tc>
      </w:tr>
      <w:tr w:rsidR="00384802" w:rsidRPr="00384802" w14:paraId="46FB0B6C" w14:textId="77777777" w:rsidTr="006C70D9">
        <w:trPr>
          <w:trHeight w:val="290"/>
          <w:jc w:val="center"/>
        </w:trPr>
        <w:tc>
          <w:tcPr>
            <w:tcW w:w="2354" w:type="dxa"/>
            <w:tcBorders>
              <w:top w:val="nil"/>
              <w:left w:val="nil"/>
              <w:bottom w:val="nil"/>
              <w:right w:val="nil"/>
            </w:tcBorders>
            <w:shd w:val="clear" w:color="auto" w:fill="auto"/>
            <w:noWrap/>
            <w:vAlign w:val="bottom"/>
            <w:hideMark/>
          </w:tcPr>
          <w:p w14:paraId="222C540D" w14:textId="77777777" w:rsidR="00384802" w:rsidRPr="00384802" w:rsidRDefault="00384802" w:rsidP="00384802">
            <w:pPr>
              <w:spacing w:after="0" w:line="240" w:lineRule="auto"/>
              <w:jc w:val="center"/>
              <w:rPr>
                <w:rFonts w:ascii="Times New Roman" w:eastAsia="Times New Roman" w:hAnsi="Times New Roman" w:cs="Times New Roman"/>
                <w:b/>
                <w:bCs/>
                <w:color w:val="000000"/>
                <w:sz w:val="32"/>
                <w:szCs w:val="32"/>
              </w:rPr>
            </w:pPr>
          </w:p>
        </w:tc>
        <w:tc>
          <w:tcPr>
            <w:tcW w:w="1712" w:type="dxa"/>
            <w:tcBorders>
              <w:top w:val="nil"/>
              <w:left w:val="nil"/>
              <w:bottom w:val="nil"/>
              <w:right w:val="nil"/>
            </w:tcBorders>
            <w:shd w:val="clear" w:color="auto" w:fill="auto"/>
            <w:noWrap/>
            <w:vAlign w:val="bottom"/>
            <w:hideMark/>
          </w:tcPr>
          <w:p w14:paraId="19A13165" w14:textId="77777777" w:rsidR="00384802" w:rsidRPr="00384802" w:rsidRDefault="00384802" w:rsidP="00384802">
            <w:pPr>
              <w:spacing w:after="0" w:line="240" w:lineRule="auto"/>
              <w:rPr>
                <w:rFonts w:ascii="Times New Roman" w:eastAsia="Times New Roman" w:hAnsi="Times New Roman" w:cs="Times New Roman"/>
                <w:sz w:val="20"/>
                <w:szCs w:val="20"/>
              </w:rPr>
            </w:pPr>
          </w:p>
        </w:tc>
        <w:tc>
          <w:tcPr>
            <w:tcW w:w="1110" w:type="dxa"/>
            <w:tcBorders>
              <w:top w:val="nil"/>
              <w:left w:val="nil"/>
              <w:bottom w:val="nil"/>
              <w:right w:val="nil"/>
            </w:tcBorders>
            <w:shd w:val="clear" w:color="auto" w:fill="auto"/>
            <w:noWrap/>
            <w:vAlign w:val="bottom"/>
            <w:hideMark/>
          </w:tcPr>
          <w:p w14:paraId="57F0ABC8" w14:textId="77777777" w:rsidR="00384802" w:rsidRPr="00384802" w:rsidRDefault="00384802" w:rsidP="00384802">
            <w:pPr>
              <w:spacing w:after="0" w:line="240" w:lineRule="auto"/>
              <w:rPr>
                <w:rFonts w:ascii="Times New Roman" w:eastAsia="Times New Roman" w:hAnsi="Times New Roman" w:cs="Times New Roman"/>
                <w:sz w:val="20"/>
                <w:szCs w:val="20"/>
              </w:rPr>
            </w:pPr>
          </w:p>
        </w:tc>
      </w:tr>
      <w:tr w:rsidR="00384802" w:rsidRPr="00384802" w14:paraId="5720A60E" w14:textId="77777777" w:rsidTr="006C70D9">
        <w:trPr>
          <w:trHeight w:val="290"/>
          <w:jc w:val="center"/>
        </w:trPr>
        <w:tc>
          <w:tcPr>
            <w:tcW w:w="2354" w:type="dxa"/>
            <w:tcBorders>
              <w:top w:val="nil"/>
              <w:left w:val="nil"/>
              <w:bottom w:val="nil"/>
              <w:right w:val="nil"/>
            </w:tcBorders>
            <w:shd w:val="clear" w:color="auto" w:fill="auto"/>
            <w:noWrap/>
            <w:vAlign w:val="bottom"/>
            <w:hideMark/>
          </w:tcPr>
          <w:p w14:paraId="27F1FA10" w14:textId="77777777" w:rsidR="00384802" w:rsidRPr="00384802" w:rsidRDefault="00384802" w:rsidP="00384802">
            <w:pPr>
              <w:spacing w:after="0" w:line="240" w:lineRule="auto"/>
              <w:rPr>
                <w:rFonts w:ascii="Times New Roman" w:eastAsia="Times New Roman" w:hAnsi="Times New Roman" w:cs="Times New Roman"/>
                <w:sz w:val="20"/>
                <w:szCs w:val="20"/>
              </w:rPr>
            </w:pPr>
          </w:p>
        </w:tc>
        <w:tc>
          <w:tcPr>
            <w:tcW w:w="1712" w:type="dxa"/>
            <w:tcBorders>
              <w:top w:val="nil"/>
              <w:left w:val="nil"/>
              <w:bottom w:val="nil"/>
              <w:right w:val="nil"/>
            </w:tcBorders>
            <w:shd w:val="clear" w:color="auto" w:fill="auto"/>
            <w:noWrap/>
            <w:vAlign w:val="bottom"/>
            <w:hideMark/>
          </w:tcPr>
          <w:p w14:paraId="09130AC3" w14:textId="77777777" w:rsidR="00384802" w:rsidRPr="00384802" w:rsidRDefault="00384802" w:rsidP="00384802">
            <w:pPr>
              <w:spacing w:after="0" w:line="240" w:lineRule="auto"/>
              <w:rPr>
                <w:rFonts w:ascii="Times New Roman" w:eastAsia="Times New Roman" w:hAnsi="Times New Roman" w:cs="Times New Roman"/>
                <w:sz w:val="20"/>
                <w:szCs w:val="20"/>
              </w:rPr>
            </w:pPr>
          </w:p>
        </w:tc>
        <w:tc>
          <w:tcPr>
            <w:tcW w:w="1110" w:type="dxa"/>
            <w:tcBorders>
              <w:top w:val="nil"/>
              <w:left w:val="nil"/>
              <w:bottom w:val="nil"/>
              <w:right w:val="nil"/>
            </w:tcBorders>
            <w:shd w:val="clear" w:color="auto" w:fill="auto"/>
            <w:noWrap/>
            <w:vAlign w:val="bottom"/>
            <w:hideMark/>
          </w:tcPr>
          <w:p w14:paraId="3A90913D" w14:textId="77777777" w:rsidR="00384802" w:rsidRPr="00384802" w:rsidRDefault="00384802" w:rsidP="00384802">
            <w:pPr>
              <w:spacing w:after="0" w:line="240" w:lineRule="auto"/>
              <w:rPr>
                <w:rFonts w:ascii="Times New Roman" w:eastAsia="Times New Roman" w:hAnsi="Times New Roman" w:cs="Times New Roman"/>
                <w:sz w:val="20"/>
                <w:szCs w:val="20"/>
              </w:rPr>
            </w:pPr>
          </w:p>
        </w:tc>
      </w:tr>
      <w:tr w:rsidR="00384802" w:rsidRPr="00384802" w14:paraId="11556359" w14:textId="77777777" w:rsidTr="006C70D9">
        <w:trPr>
          <w:trHeight w:val="290"/>
          <w:jc w:val="center"/>
        </w:trPr>
        <w:tc>
          <w:tcPr>
            <w:tcW w:w="2354" w:type="dxa"/>
            <w:tcBorders>
              <w:top w:val="nil"/>
              <w:left w:val="nil"/>
              <w:bottom w:val="single" w:sz="4" w:space="0" w:color="auto"/>
              <w:right w:val="nil"/>
            </w:tcBorders>
            <w:shd w:val="clear" w:color="auto" w:fill="auto"/>
            <w:noWrap/>
            <w:vAlign w:val="bottom"/>
            <w:hideMark/>
          </w:tcPr>
          <w:p w14:paraId="1A8F3936" w14:textId="77777777" w:rsidR="00384802" w:rsidRPr="00384802" w:rsidRDefault="00384802" w:rsidP="00384802">
            <w:pPr>
              <w:spacing w:after="0" w:line="240" w:lineRule="auto"/>
              <w:rPr>
                <w:rFonts w:ascii="Times New Roman" w:eastAsia="Times New Roman" w:hAnsi="Times New Roman" w:cs="Times New Roman"/>
                <w:b/>
                <w:bCs/>
                <w:color w:val="000000"/>
              </w:rPr>
            </w:pPr>
            <w:r w:rsidRPr="00384802">
              <w:rPr>
                <w:rFonts w:ascii="Times New Roman" w:eastAsia="Times New Roman" w:hAnsi="Times New Roman" w:cs="Times New Roman"/>
                <w:b/>
                <w:bCs/>
                <w:color w:val="000000"/>
              </w:rPr>
              <w:t>Construct</w:t>
            </w:r>
          </w:p>
        </w:tc>
        <w:tc>
          <w:tcPr>
            <w:tcW w:w="1712" w:type="dxa"/>
            <w:tcBorders>
              <w:top w:val="nil"/>
              <w:left w:val="nil"/>
              <w:bottom w:val="single" w:sz="4" w:space="0" w:color="auto"/>
              <w:right w:val="nil"/>
            </w:tcBorders>
            <w:shd w:val="clear" w:color="auto" w:fill="auto"/>
            <w:noWrap/>
            <w:vAlign w:val="bottom"/>
            <w:hideMark/>
          </w:tcPr>
          <w:p w14:paraId="03928318" w14:textId="77777777" w:rsidR="00384802" w:rsidRPr="00384802" w:rsidRDefault="00384802" w:rsidP="00384802">
            <w:pPr>
              <w:spacing w:after="0" w:line="240" w:lineRule="auto"/>
              <w:jc w:val="center"/>
              <w:rPr>
                <w:rFonts w:ascii="Times New Roman" w:eastAsia="Times New Roman" w:hAnsi="Times New Roman" w:cs="Times New Roman"/>
                <w:b/>
                <w:bCs/>
                <w:color w:val="000000"/>
              </w:rPr>
            </w:pPr>
            <w:r w:rsidRPr="00384802">
              <w:rPr>
                <w:rFonts w:ascii="Times New Roman" w:eastAsia="Times New Roman" w:hAnsi="Times New Roman" w:cs="Times New Roman"/>
                <w:b/>
                <w:bCs/>
                <w:color w:val="000000"/>
              </w:rPr>
              <w:t>Coefficient [1]</w:t>
            </w:r>
          </w:p>
        </w:tc>
        <w:tc>
          <w:tcPr>
            <w:tcW w:w="1110" w:type="dxa"/>
            <w:tcBorders>
              <w:top w:val="nil"/>
              <w:left w:val="nil"/>
              <w:bottom w:val="single" w:sz="4" w:space="0" w:color="auto"/>
              <w:right w:val="nil"/>
            </w:tcBorders>
            <w:shd w:val="clear" w:color="auto" w:fill="auto"/>
            <w:noWrap/>
            <w:vAlign w:val="bottom"/>
            <w:hideMark/>
          </w:tcPr>
          <w:p w14:paraId="26BBE538" w14:textId="77777777" w:rsidR="00384802" w:rsidRPr="00384802" w:rsidRDefault="00384802" w:rsidP="00384802">
            <w:pPr>
              <w:spacing w:after="0" w:line="240" w:lineRule="auto"/>
              <w:jc w:val="center"/>
              <w:rPr>
                <w:rFonts w:ascii="Times New Roman" w:eastAsia="Times New Roman" w:hAnsi="Times New Roman" w:cs="Times New Roman"/>
                <w:b/>
                <w:bCs/>
                <w:color w:val="000000"/>
              </w:rPr>
            </w:pPr>
            <w:r w:rsidRPr="00384802">
              <w:rPr>
                <w:rFonts w:ascii="Times New Roman" w:eastAsia="Times New Roman" w:hAnsi="Times New Roman" w:cs="Times New Roman"/>
                <w:b/>
                <w:bCs/>
                <w:color w:val="000000"/>
              </w:rPr>
              <w:t>t-statistic</w:t>
            </w:r>
          </w:p>
        </w:tc>
      </w:tr>
      <w:tr w:rsidR="00384802" w:rsidRPr="00384802" w14:paraId="3A589F7B" w14:textId="77777777" w:rsidTr="006C70D9">
        <w:trPr>
          <w:trHeight w:val="290"/>
          <w:jc w:val="center"/>
        </w:trPr>
        <w:tc>
          <w:tcPr>
            <w:tcW w:w="4066" w:type="dxa"/>
            <w:gridSpan w:val="2"/>
            <w:tcBorders>
              <w:top w:val="nil"/>
              <w:left w:val="nil"/>
              <w:bottom w:val="nil"/>
              <w:right w:val="nil"/>
            </w:tcBorders>
            <w:shd w:val="clear" w:color="auto" w:fill="auto"/>
            <w:noWrap/>
            <w:vAlign w:val="bottom"/>
            <w:hideMark/>
          </w:tcPr>
          <w:p w14:paraId="13D1042F" w14:textId="77777777" w:rsidR="00384802" w:rsidRPr="00384802" w:rsidRDefault="00384802" w:rsidP="00384802">
            <w:pPr>
              <w:spacing w:after="0" w:line="240" w:lineRule="auto"/>
              <w:rPr>
                <w:rFonts w:ascii="Calibri" w:eastAsia="Times New Roman" w:hAnsi="Calibri" w:cs="Calibri"/>
                <w:i/>
                <w:iCs/>
                <w:color w:val="000000"/>
                <w:u w:val="single"/>
              </w:rPr>
            </w:pPr>
            <w:r w:rsidRPr="00384802">
              <w:rPr>
                <w:rFonts w:ascii="Calibri" w:eastAsia="Times New Roman" w:hAnsi="Calibri" w:cs="Calibri"/>
                <w:i/>
                <w:iCs/>
                <w:color w:val="000000"/>
                <w:u w:val="single"/>
              </w:rPr>
              <w:t>Difference in Means</w:t>
            </w:r>
          </w:p>
        </w:tc>
        <w:tc>
          <w:tcPr>
            <w:tcW w:w="1110" w:type="dxa"/>
            <w:tcBorders>
              <w:top w:val="nil"/>
              <w:left w:val="nil"/>
              <w:bottom w:val="nil"/>
              <w:right w:val="nil"/>
            </w:tcBorders>
            <w:shd w:val="clear" w:color="auto" w:fill="auto"/>
            <w:noWrap/>
            <w:vAlign w:val="bottom"/>
            <w:hideMark/>
          </w:tcPr>
          <w:p w14:paraId="549A310D" w14:textId="77777777" w:rsidR="00384802" w:rsidRPr="00384802" w:rsidRDefault="00384802" w:rsidP="00384802">
            <w:pPr>
              <w:spacing w:after="0" w:line="240" w:lineRule="auto"/>
              <w:rPr>
                <w:rFonts w:ascii="Calibri" w:eastAsia="Times New Roman" w:hAnsi="Calibri" w:cs="Calibri"/>
                <w:i/>
                <w:iCs/>
                <w:color w:val="000000"/>
                <w:u w:val="single"/>
              </w:rPr>
            </w:pPr>
          </w:p>
        </w:tc>
      </w:tr>
      <w:tr w:rsidR="00384802" w:rsidRPr="00384802" w14:paraId="6E15137C" w14:textId="77777777" w:rsidTr="006C70D9">
        <w:trPr>
          <w:trHeight w:val="290"/>
          <w:jc w:val="center"/>
        </w:trPr>
        <w:tc>
          <w:tcPr>
            <w:tcW w:w="2354" w:type="dxa"/>
            <w:tcBorders>
              <w:top w:val="nil"/>
              <w:left w:val="nil"/>
              <w:bottom w:val="nil"/>
              <w:right w:val="nil"/>
            </w:tcBorders>
            <w:shd w:val="clear" w:color="auto" w:fill="auto"/>
            <w:noWrap/>
            <w:vAlign w:val="bottom"/>
            <w:hideMark/>
          </w:tcPr>
          <w:p w14:paraId="74EB10C4" w14:textId="77777777" w:rsidR="00384802" w:rsidRPr="00384802" w:rsidRDefault="00384802" w:rsidP="00384802">
            <w:pPr>
              <w:spacing w:after="0" w:line="240" w:lineRule="auto"/>
              <w:rPr>
                <w:rFonts w:ascii="Times New Roman" w:eastAsia="Times New Roman" w:hAnsi="Times New Roman" w:cs="Times New Roman"/>
                <w:color w:val="000000"/>
              </w:rPr>
            </w:pPr>
            <w:r w:rsidRPr="00384802">
              <w:rPr>
                <w:rFonts w:ascii="Times New Roman" w:eastAsia="Times New Roman" w:hAnsi="Times New Roman" w:cs="Times New Roman"/>
                <w:color w:val="000000"/>
              </w:rPr>
              <w:t>Bid-ask spread</w:t>
            </w:r>
          </w:p>
        </w:tc>
        <w:tc>
          <w:tcPr>
            <w:tcW w:w="1712" w:type="dxa"/>
            <w:tcBorders>
              <w:top w:val="nil"/>
              <w:left w:val="nil"/>
              <w:bottom w:val="nil"/>
              <w:right w:val="nil"/>
            </w:tcBorders>
            <w:shd w:val="clear" w:color="auto" w:fill="auto"/>
            <w:noWrap/>
            <w:vAlign w:val="bottom"/>
            <w:hideMark/>
          </w:tcPr>
          <w:p w14:paraId="78EF1C4C" w14:textId="77777777" w:rsidR="00384802" w:rsidRPr="00384802" w:rsidRDefault="00384802" w:rsidP="00384802">
            <w:pPr>
              <w:spacing w:after="0" w:line="240" w:lineRule="auto"/>
              <w:jc w:val="center"/>
              <w:rPr>
                <w:rFonts w:ascii="Times New Roman" w:eastAsia="Times New Roman" w:hAnsi="Times New Roman" w:cs="Times New Roman"/>
                <w:color w:val="000000"/>
              </w:rPr>
            </w:pPr>
            <w:r w:rsidRPr="00384802">
              <w:rPr>
                <w:rFonts w:ascii="Times New Roman" w:eastAsia="Times New Roman" w:hAnsi="Times New Roman" w:cs="Times New Roman"/>
                <w:color w:val="000000"/>
              </w:rPr>
              <w:t>-0.018</w:t>
            </w:r>
          </w:p>
        </w:tc>
        <w:tc>
          <w:tcPr>
            <w:tcW w:w="1110" w:type="dxa"/>
            <w:tcBorders>
              <w:top w:val="nil"/>
              <w:left w:val="nil"/>
              <w:bottom w:val="nil"/>
              <w:right w:val="nil"/>
            </w:tcBorders>
            <w:shd w:val="clear" w:color="auto" w:fill="auto"/>
            <w:noWrap/>
            <w:vAlign w:val="bottom"/>
            <w:hideMark/>
          </w:tcPr>
          <w:p w14:paraId="081D7B6F" w14:textId="77777777" w:rsidR="00384802" w:rsidRPr="00384802" w:rsidRDefault="00384802" w:rsidP="00384802">
            <w:pPr>
              <w:spacing w:after="0" w:line="240" w:lineRule="auto"/>
              <w:jc w:val="center"/>
              <w:rPr>
                <w:rFonts w:ascii="Times New Roman" w:eastAsia="Times New Roman" w:hAnsi="Times New Roman" w:cs="Times New Roman"/>
                <w:color w:val="000000"/>
              </w:rPr>
            </w:pPr>
            <w:r w:rsidRPr="00384802">
              <w:rPr>
                <w:rFonts w:ascii="Times New Roman" w:eastAsia="Times New Roman" w:hAnsi="Times New Roman" w:cs="Times New Roman"/>
                <w:color w:val="000000"/>
              </w:rPr>
              <w:t>-8.76</w:t>
            </w:r>
          </w:p>
        </w:tc>
      </w:tr>
      <w:tr w:rsidR="00384802" w:rsidRPr="00384802" w14:paraId="1C3D6D2B" w14:textId="77777777" w:rsidTr="006C70D9">
        <w:trPr>
          <w:trHeight w:val="290"/>
          <w:jc w:val="center"/>
        </w:trPr>
        <w:tc>
          <w:tcPr>
            <w:tcW w:w="2354" w:type="dxa"/>
            <w:tcBorders>
              <w:top w:val="nil"/>
              <w:left w:val="nil"/>
              <w:bottom w:val="nil"/>
              <w:right w:val="nil"/>
            </w:tcBorders>
            <w:shd w:val="clear" w:color="auto" w:fill="auto"/>
            <w:noWrap/>
            <w:vAlign w:val="bottom"/>
            <w:hideMark/>
          </w:tcPr>
          <w:p w14:paraId="399964CC" w14:textId="77777777" w:rsidR="00384802" w:rsidRPr="00384802" w:rsidRDefault="00384802" w:rsidP="00384802">
            <w:pPr>
              <w:spacing w:after="0" w:line="240" w:lineRule="auto"/>
              <w:rPr>
                <w:rFonts w:ascii="Times New Roman" w:eastAsia="Times New Roman" w:hAnsi="Times New Roman" w:cs="Times New Roman"/>
                <w:color w:val="000000"/>
              </w:rPr>
            </w:pPr>
            <w:r w:rsidRPr="00384802">
              <w:rPr>
                <w:rFonts w:ascii="Times New Roman" w:eastAsia="Times New Roman" w:hAnsi="Times New Roman" w:cs="Times New Roman"/>
                <w:color w:val="000000"/>
              </w:rPr>
              <w:t>Turnover</w:t>
            </w:r>
          </w:p>
        </w:tc>
        <w:tc>
          <w:tcPr>
            <w:tcW w:w="1712" w:type="dxa"/>
            <w:tcBorders>
              <w:top w:val="nil"/>
              <w:left w:val="nil"/>
              <w:bottom w:val="nil"/>
              <w:right w:val="nil"/>
            </w:tcBorders>
            <w:shd w:val="clear" w:color="auto" w:fill="auto"/>
            <w:noWrap/>
            <w:vAlign w:val="bottom"/>
            <w:hideMark/>
          </w:tcPr>
          <w:p w14:paraId="4CBCBD8D" w14:textId="77777777" w:rsidR="00384802" w:rsidRPr="00384802" w:rsidRDefault="00384802" w:rsidP="00384802">
            <w:pPr>
              <w:spacing w:after="0" w:line="240" w:lineRule="auto"/>
              <w:jc w:val="center"/>
              <w:rPr>
                <w:rFonts w:ascii="Times New Roman" w:eastAsia="Times New Roman" w:hAnsi="Times New Roman" w:cs="Times New Roman"/>
                <w:color w:val="000000"/>
              </w:rPr>
            </w:pPr>
            <w:r w:rsidRPr="00384802">
              <w:rPr>
                <w:rFonts w:ascii="Times New Roman" w:eastAsia="Times New Roman" w:hAnsi="Times New Roman" w:cs="Times New Roman"/>
                <w:color w:val="000000"/>
              </w:rPr>
              <w:t>3.09</w:t>
            </w:r>
          </w:p>
        </w:tc>
        <w:tc>
          <w:tcPr>
            <w:tcW w:w="1110" w:type="dxa"/>
            <w:tcBorders>
              <w:top w:val="nil"/>
              <w:left w:val="nil"/>
              <w:bottom w:val="nil"/>
              <w:right w:val="nil"/>
            </w:tcBorders>
            <w:shd w:val="clear" w:color="auto" w:fill="auto"/>
            <w:noWrap/>
            <w:vAlign w:val="bottom"/>
            <w:hideMark/>
          </w:tcPr>
          <w:p w14:paraId="7FC0A316" w14:textId="77777777" w:rsidR="00384802" w:rsidRPr="00384802" w:rsidRDefault="00384802" w:rsidP="00384802">
            <w:pPr>
              <w:spacing w:after="0" w:line="240" w:lineRule="auto"/>
              <w:jc w:val="center"/>
              <w:rPr>
                <w:rFonts w:ascii="Times New Roman" w:eastAsia="Times New Roman" w:hAnsi="Times New Roman" w:cs="Times New Roman"/>
                <w:color w:val="000000"/>
              </w:rPr>
            </w:pPr>
            <w:r w:rsidRPr="00384802">
              <w:rPr>
                <w:rFonts w:ascii="Times New Roman" w:eastAsia="Times New Roman" w:hAnsi="Times New Roman" w:cs="Times New Roman"/>
                <w:color w:val="000000"/>
              </w:rPr>
              <w:t>13.5</w:t>
            </w:r>
          </w:p>
        </w:tc>
      </w:tr>
      <w:tr w:rsidR="00384802" w:rsidRPr="00384802" w14:paraId="042A823D" w14:textId="77777777" w:rsidTr="006C70D9">
        <w:trPr>
          <w:trHeight w:val="290"/>
          <w:jc w:val="center"/>
        </w:trPr>
        <w:tc>
          <w:tcPr>
            <w:tcW w:w="2354" w:type="dxa"/>
            <w:tcBorders>
              <w:top w:val="nil"/>
              <w:left w:val="nil"/>
              <w:bottom w:val="nil"/>
              <w:right w:val="nil"/>
            </w:tcBorders>
            <w:shd w:val="clear" w:color="auto" w:fill="auto"/>
            <w:noWrap/>
            <w:vAlign w:val="bottom"/>
            <w:hideMark/>
          </w:tcPr>
          <w:p w14:paraId="7B91CCEE" w14:textId="77777777" w:rsidR="00384802" w:rsidRPr="00384802" w:rsidRDefault="00384802" w:rsidP="00384802">
            <w:pPr>
              <w:spacing w:after="0" w:line="240" w:lineRule="auto"/>
              <w:rPr>
                <w:rFonts w:ascii="Times New Roman" w:eastAsia="Times New Roman" w:hAnsi="Times New Roman" w:cs="Times New Roman"/>
                <w:color w:val="000000"/>
              </w:rPr>
            </w:pPr>
            <w:r w:rsidRPr="00384802">
              <w:rPr>
                <w:rFonts w:ascii="Times New Roman" w:eastAsia="Times New Roman" w:hAnsi="Times New Roman" w:cs="Times New Roman"/>
                <w:color w:val="000000"/>
              </w:rPr>
              <w:t>Dollar volume</w:t>
            </w:r>
          </w:p>
        </w:tc>
        <w:tc>
          <w:tcPr>
            <w:tcW w:w="1712" w:type="dxa"/>
            <w:tcBorders>
              <w:top w:val="nil"/>
              <w:left w:val="nil"/>
              <w:bottom w:val="nil"/>
              <w:right w:val="nil"/>
            </w:tcBorders>
            <w:shd w:val="clear" w:color="auto" w:fill="auto"/>
            <w:noWrap/>
            <w:vAlign w:val="bottom"/>
            <w:hideMark/>
          </w:tcPr>
          <w:p w14:paraId="236FBD26" w14:textId="77777777" w:rsidR="00384802" w:rsidRPr="00384802" w:rsidRDefault="00384802" w:rsidP="00384802">
            <w:pPr>
              <w:spacing w:after="0" w:line="240" w:lineRule="auto"/>
              <w:jc w:val="center"/>
              <w:rPr>
                <w:rFonts w:ascii="Times New Roman" w:eastAsia="Times New Roman" w:hAnsi="Times New Roman" w:cs="Times New Roman"/>
                <w:color w:val="000000"/>
              </w:rPr>
            </w:pPr>
            <w:r w:rsidRPr="00384802">
              <w:rPr>
                <w:rFonts w:ascii="Times New Roman" w:eastAsia="Times New Roman" w:hAnsi="Times New Roman" w:cs="Times New Roman"/>
                <w:color w:val="000000"/>
              </w:rPr>
              <w:t>11,369,349</w:t>
            </w:r>
          </w:p>
        </w:tc>
        <w:tc>
          <w:tcPr>
            <w:tcW w:w="1110" w:type="dxa"/>
            <w:tcBorders>
              <w:top w:val="nil"/>
              <w:left w:val="nil"/>
              <w:bottom w:val="nil"/>
              <w:right w:val="nil"/>
            </w:tcBorders>
            <w:shd w:val="clear" w:color="auto" w:fill="auto"/>
            <w:noWrap/>
            <w:vAlign w:val="bottom"/>
            <w:hideMark/>
          </w:tcPr>
          <w:p w14:paraId="10B829DB" w14:textId="77777777" w:rsidR="00384802" w:rsidRPr="00384802" w:rsidRDefault="00384802" w:rsidP="00384802">
            <w:pPr>
              <w:spacing w:after="0" w:line="240" w:lineRule="auto"/>
              <w:jc w:val="center"/>
              <w:rPr>
                <w:rFonts w:ascii="Times New Roman" w:eastAsia="Times New Roman" w:hAnsi="Times New Roman" w:cs="Times New Roman"/>
                <w:color w:val="000000"/>
              </w:rPr>
            </w:pPr>
            <w:r w:rsidRPr="00384802">
              <w:rPr>
                <w:rFonts w:ascii="Times New Roman" w:eastAsia="Times New Roman" w:hAnsi="Times New Roman" w:cs="Times New Roman"/>
                <w:color w:val="000000"/>
              </w:rPr>
              <w:t>22.99</w:t>
            </w:r>
          </w:p>
        </w:tc>
      </w:tr>
      <w:tr w:rsidR="00384802" w:rsidRPr="00384802" w14:paraId="122E3B3C" w14:textId="77777777" w:rsidTr="006C70D9">
        <w:trPr>
          <w:trHeight w:val="290"/>
          <w:jc w:val="center"/>
        </w:trPr>
        <w:tc>
          <w:tcPr>
            <w:tcW w:w="2354" w:type="dxa"/>
            <w:tcBorders>
              <w:top w:val="nil"/>
              <w:left w:val="nil"/>
              <w:bottom w:val="nil"/>
              <w:right w:val="nil"/>
            </w:tcBorders>
            <w:shd w:val="clear" w:color="auto" w:fill="auto"/>
            <w:noWrap/>
            <w:vAlign w:val="bottom"/>
            <w:hideMark/>
          </w:tcPr>
          <w:p w14:paraId="6DD3232B" w14:textId="77777777" w:rsidR="00384802" w:rsidRPr="00384802" w:rsidRDefault="00384802" w:rsidP="00384802">
            <w:pPr>
              <w:spacing w:after="0" w:line="240" w:lineRule="auto"/>
              <w:jc w:val="center"/>
              <w:rPr>
                <w:rFonts w:ascii="Times New Roman" w:eastAsia="Times New Roman" w:hAnsi="Times New Roman" w:cs="Times New Roman"/>
                <w:color w:val="000000"/>
              </w:rPr>
            </w:pPr>
          </w:p>
        </w:tc>
        <w:tc>
          <w:tcPr>
            <w:tcW w:w="1712" w:type="dxa"/>
            <w:tcBorders>
              <w:top w:val="nil"/>
              <w:left w:val="nil"/>
              <w:bottom w:val="nil"/>
              <w:right w:val="nil"/>
            </w:tcBorders>
            <w:shd w:val="clear" w:color="auto" w:fill="auto"/>
            <w:noWrap/>
            <w:vAlign w:val="bottom"/>
            <w:hideMark/>
          </w:tcPr>
          <w:p w14:paraId="57F90DA0" w14:textId="77777777" w:rsidR="00384802" w:rsidRPr="00384802" w:rsidRDefault="00384802" w:rsidP="00384802">
            <w:pPr>
              <w:spacing w:after="0" w:line="240" w:lineRule="auto"/>
              <w:rPr>
                <w:rFonts w:ascii="Times New Roman" w:eastAsia="Times New Roman" w:hAnsi="Times New Roman" w:cs="Times New Roman"/>
                <w:sz w:val="20"/>
                <w:szCs w:val="20"/>
              </w:rPr>
            </w:pPr>
          </w:p>
        </w:tc>
        <w:tc>
          <w:tcPr>
            <w:tcW w:w="1110" w:type="dxa"/>
            <w:tcBorders>
              <w:top w:val="nil"/>
              <w:left w:val="nil"/>
              <w:bottom w:val="nil"/>
              <w:right w:val="nil"/>
            </w:tcBorders>
            <w:shd w:val="clear" w:color="auto" w:fill="auto"/>
            <w:noWrap/>
            <w:vAlign w:val="bottom"/>
            <w:hideMark/>
          </w:tcPr>
          <w:p w14:paraId="088C8746" w14:textId="77777777" w:rsidR="00384802" w:rsidRPr="00384802" w:rsidRDefault="00384802" w:rsidP="00384802">
            <w:pPr>
              <w:spacing w:after="0" w:line="240" w:lineRule="auto"/>
              <w:rPr>
                <w:rFonts w:ascii="Times New Roman" w:eastAsia="Times New Roman" w:hAnsi="Times New Roman" w:cs="Times New Roman"/>
                <w:sz w:val="20"/>
                <w:szCs w:val="20"/>
              </w:rPr>
            </w:pPr>
          </w:p>
        </w:tc>
      </w:tr>
      <w:tr w:rsidR="00384802" w:rsidRPr="00384802" w14:paraId="726AD54E" w14:textId="77777777" w:rsidTr="006C70D9">
        <w:trPr>
          <w:trHeight w:val="290"/>
          <w:jc w:val="center"/>
        </w:trPr>
        <w:tc>
          <w:tcPr>
            <w:tcW w:w="4066" w:type="dxa"/>
            <w:gridSpan w:val="2"/>
            <w:tcBorders>
              <w:top w:val="nil"/>
              <w:left w:val="nil"/>
              <w:bottom w:val="nil"/>
              <w:right w:val="nil"/>
            </w:tcBorders>
            <w:shd w:val="clear" w:color="auto" w:fill="auto"/>
            <w:noWrap/>
            <w:vAlign w:val="bottom"/>
            <w:hideMark/>
          </w:tcPr>
          <w:p w14:paraId="12A3261F" w14:textId="77777777" w:rsidR="00384802" w:rsidRPr="00384802" w:rsidRDefault="00384802" w:rsidP="00384802">
            <w:pPr>
              <w:spacing w:after="0" w:line="240" w:lineRule="auto"/>
              <w:rPr>
                <w:rFonts w:ascii="Calibri" w:eastAsia="Times New Roman" w:hAnsi="Calibri" w:cs="Calibri"/>
                <w:i/>
                <w:iCs/>
                <w:color w:val="000000"/>
                <w:u w:val="single"/>
              </w:rPr>
            </w:pPr>
            <w:r w:rsidRPr="00384802">
              <w:rPr>
                <w:rFonts w:ascii="Calibri" w:eastAsia="Times New Roman" w:hAnsi="Calibri" w:cs="Calibri"/>
                <w:i/>
                <w:iCs/>
                <w:color w:val="000000"/>
                <w:u w:val="single"/>
              </w:rPr>
              <w:t>Regression Discontinuity Design</w:t>
            </w:r>
          </w:p>
        </w:tc>
        <w:tc>
          <w:tcPr>
            <w:tcW w:w="1110" w:type="dxa"/>
            <w:tcBorders>
              <w:top w:val="nil"/>
              <w:left w:val="nil"/>
              <w:bottom w:val="nil"/>
              <w:right w:val="nil"/>
            </w:tcBorders>
            <w:shd w:val="clear" w:color="auto" w:fill="auto"/>
            <w:noWrap/>
            <w:vAlign w:val="bottom"/>
            <w:hideMark/>
          </w:tcPr>
          <w:p w14:paraId="17FA2504" w14:textId="77777777" w:rsidR="00384802" w:rsidRPr="00384802" w:rsidRDefault="00384802" w:rsidP="00384802">
            <w:pPr>
              <w:spacing w:after="0" w:line="240" w:lineRule="auto"/>
              <w:rPr>
                <w:rFonts w:ascii="Calibri" w:eastAsia="Times New Roman" w:hAnsi="Calibri" w:cs="Calibri"/>
                <w:i/>
                <w:iCs/>
                <w:color w:val="000000"/>
                <w:u w:val="single"/>
              </w:rPr>
            </w:pPr>
          </w:p>
        </w:tc>
      </w:tr>
      <w:tr w:rsidR="00384802" w:rsidRPr="00384802" w14:paraId="71376EE8" w14:textId="77777777" w:rsidTr="006C70D9">
        <w:trPr>
          <w:trHeight w:val="290"/>
          <w:jc w:val="center"/>
        </w:trPr>
        <w:tc>
          <w:tcPr>
            <w:tcW w:w="2354" w:type="dxa"/>
            <w:tcBorders>
              <w:top w:val="nil"/>
              <w:left w:val="nil"/>
              <w:bottom w:val="nil"/>
              <w:right w:val="nil"/>
            </w:tcBorders>
            <w:shd w:val="clear" w:color="auto" w:fill="auto"/>
            <w:noWrap/>
            <w:vAlign w:val="bottom"/>
            <w:hideMark/>
          </w:tcPr>
          <w:p w14:paraId="0785FCC9" w14:textId="77777777" w:rsidR="00384802" w:rsidRPr="00384802" w:rsidRDefault="00384802" w:rsidP="00384802">
            <w:pPr>
              <w:spacing w:after="0" w:line="240" w:lineRule="auto"/>
              <w:rPr>
                <w:rFonts w:ascii="Times New Roman" w:eastAsia="Times New Roman" w:hAnsi="Times New Roman" w:cs="Times New Roman"/>
                <w:color w:val="000000"/>
              </w:rPr>
            </w:pPr>
            <w:r w:rsidRPr="00384802">
              <w:rPr>
                <w:rFonts w:ascii="Times New Roman" w:eastAsia="Times New Roman" w:hAnsi="Times New Roman" w:cs="Times New Roman"/>
                <w:color w:val="000000"/>
              </w:rPr>
              <w:t>Bid-ask spread</w:t>
            </w:r>
          </w:p>
        </w:tc>
        <w:tc>
          <w:tcPr>
            <w:tcW w:w="1712" w:type="dxa"/>
            <w:tcBorders>
              <w:top w:val="nil"/>
              <w:left w:val="nil"/>
              <w:bottom w:val="nil"/>
              <w:right w:val="nil"/>
            </w:tcBorders>
            <w:shd w:val="clear" w:color="auto" w:fill="auto"/>
            <w:noWrap/>
            <w:vAlign w:val="bottom"/>
            <w:hideMark/>
          </w:tcPr>
          <w:p w14:paraId="3A3F70C7" w14:textId="77777777" w:rsidR="00384802" w:rsidRPr="00384802" w:rsidRDefault="00384802" w:rsidP="00384802">
            <w:pPr>
              <w:spacing w:after="0" w:line="240" w:lineRule="auto"/>
              <w:jc w:val="center"/>
              <w:rPr>
                <w:rFonts w:ascii="Times New Roman" w:eastAsia="Times New Roman" w:hAnsi="Times New Roman" w:cs="Times New Roman"/>
                <w:color w:val="000000"/>
              </w:rPr>
            </w:pPr>
            <w:r w:rsidRPr="00384802">
              <w:rPr>
                <w:rFonts w:ascii="Times New Roman" w:eastAsia="Times New Roman" w:hAnsi="Times New Roman" w:cs="Times New Roman"/>
                <w:color w:val="000000"/>
              </w:rPr>
              <w:t>-0.009</w:t>
            </w:r>
          </w:p>
        </w:tc>
        <w:tc>
          <w:tcPr>
            <w:tcW w:w="1110" w:type="dxa"/>
            <w:tcBorders>
              <w:top w:val="nil"/>
              <w:left w:val="nil"/>
              <w:bottom w:val="nil"/>
              <w:right w:val="nil"/>
            </w:tcBorders>
            <w:shd w:val="clear" w:color="auto" w:fill="auto"/>
            <w:noWrap/>
            <w:vAlign w:val="bottom"/>
            <w:hideMark/>
          </w:tcPr>
          <w:p w14:paraId="2ED66041" w14:textId="77777777" w:rsidR="00384802" w:rsidRPr="00384802" w:rsidRDefault="00384802" w:rsidP="00384802">
            <w:pPr>
              <w:spacing w:after="0" w:line="240" w:lineRule="auto"/>
              <w:jc w:val="center"/>
              <w:rPr>
                <w:rFonts w:ascii="Times New Roman" w:eastAsia="Times New Roman" w:hAnsi="Times New Roman" w:cs="Times New Roman"/>
                <w:color w:val="000000"/>
              </w:rPr>
            </w:pPr>
            <w:r w:rsidRPr="00384802">
              <w:rPr>
                <w:rFonts w:ascii="Times New Roman" w:eastAsia="Times New Roman" w:hAnsi="Times New Roman" w:cs="Times New Roman"/>
                <w:color w:val="000000"/>
              </w:rPr>
              <w:t>-9.18</w:t>
            </w:r>
          </w:p>
        </w:tc>
      </w:tr>
      <w:tr w:rsidR="00384802" w:rsidRPr="00384802" w14:paraId="748F7847" w14:textId="77777777" w:rsidTr="006C70D9">
        <w:trPr>
          <w:trHeight w:val="290"/>
          <w:jc w:val="center"/>
        </w:trPr>
        <w:tc>
          <w:tcPr>
            <w:tcW w:w="2354" w:type="dxa"/>
            <w:tcBorders>
              <w:top w:val="nil"/>
              <w:left w:val="nil"/>
              <w:bottom w:val="nil"/>
              <w:right w:val="nil"/>
            </w:tcBorders>
            <w:shd w:val="clear" w:color="auto" w:fill="auto"/>
            <w:noWrap/>
            <w:vAlign w:val="bottom"/>
            <w:hideMark/>
          </w:tcPr>
          <w:p w14:paraId="76A6BD8D" w14:textId="77777777" w:rsidR="00384802" w:rsidRPr="00384802" w:rsidRDefault="00384802" w:rsidP="00384802">
            <w:pPr>
              <w:spacing w:after="0" w:line="240" w:lineRule="auto"/>
              <w:rPr>
                <w:rFonts w:ascii="Times New Roman" w:eastAsia="Times New Roman" w:hAnsi="Times New Roman" w:cs="Times New Roman"/>
                <w:color w:val="000000"/>
              </w:rPr>
            </w:pPr>
            <w:r w:rsidRPr="00384802">
              <w:rPr>
                <w:rFonts w:ascii="Times New Roman" w:eastAsia="Times New Roman" w:hAnsi="Times New Roman" w:cs="Times New Roman"/>
                <w:color w:val="000000"/>
              </w:rPr>
              <w:t>Turnover</w:t>
            </w:r>
          </w:p>
        </w:tc>
        <w:tc>
          <w:tcPr>
            <w:tcW w:w="1712" w:type="dxa"/>
            <w:tcBorders>
              <w:top w:val="nil"/>
              <w:left w:val="nil"/>
              <w:bottom w:val="nil"/>
              <w:right w:val="nil"/>
            </w:tcBorders>
            <w:shd w:val="clear" w:color="auto" w:fill="auto"/>
            <w:noWrap/>
            <w:vAlign w:val="bottom"/>
            <w:hideMark/>
          </w:tcPr>
          <w:p w14:paraId="75C2D36A" w14:textId="77777777" w:rsidR="00384802" w:rsidRPr="00384802" w:rsidRDefault="00384802" w:rsidP="00384802">
            <w:pPr>
              <w:spacing w:after="0" w:line="240" w:lineRule="auto"/>
              <w:jc w:val="center"/>
              <w:rPr>
                <w:rFonts w:ascii="Times New Roman" w:eastAsia="Times New Roman" w:hAnsi="Times New Roman" w:cs="Times New Roman"/>
                <w:color w:val="000000"/>
              </w:rPr>
            </w:pPr>
            <w:r w:rsidRPr="00384802">
              <w:rPr>
                <w:rFonts w:ascii="Times New Roman" w:eastAsia="Times New Roman" w:hAnsi="Times New Roman" w:cs="Times New Roman"/>
                <w:color w:val="000000"/>
              </w:rPr>
              <w:t>9.96</w:t>
            </w:r>
          </w:p>
        </w:tc>
        <w:tc>
          <w:tcPr>
            <w:tcW w:w="1110" w:type="dxa"/>
            <w:tcBorders>
              <w:top w:val="nil"/>
              <w:left w:val="nil"/>
              <w:bottom w:val="nil"/>
              <w:right w:val="nil"/>
            </w:tcBorders>
            <w:shd w:val="clear" w:color="auto" w:fill="auto"/>
            <w:noWrap/>
            <w:vAlign w:val="bottom"/>
            <w:hideMark/>
          </w:tcPr>
          <w:p w14:paraId="4E3579D3" w14:textId="77777777" w:rsidR="00384802" w:rsidRPr="00384802" w:rsidRDefault="00384802" w:rsidP="00384802">
            <w:pPr>
              <w:spacing w:after="0" w:line="240" w:lineRule="auto"/>
              <w:jc w:val="center"/>
              <w:rPr>
                <w:rFonts w:ascii="Times New Roman" w:eastAsia="Times New Roman" w:hAnsi="Times New Roman" w:cs="Times New Roman"/>
                <w:color w:val="000000"/>
              </w:rPr>
            </w:pPr>
            <w:r w:rsidRPr="00384802">
              <w:rPr>
                <w:rFonts w:ascii="Times New Roman" w:eastAsia="Times New Roman" w:hAnsi="Times New Roman" w:cs="Times New Roman"/>
                <w:color w:val="000000"/>
              </w:rPr>
              <w:t>10.05</w:t>
            </w:r>
          </w:p>
        </w:tc>
      </w:tr>
      <w:tr w:rsidR="00384802" w:rsidRPr="00384802" w14:paraId="54405DA1" w14:textId="77777777" w:rsidTr="006C70D9">
        <w:trPr>
          <w:trHeight w:val="290"/>
          <w:jc w:val="center"/>
        </w:trPr>
        <w:tc>
          <w:tcPr>
            <w:tcW w:w="2354" w:type="dxa"/>
            <w:tcBorders>
              <w:top w:val="nil"/>
              <w:left w:val="nil"/>
              <w:bottom w:val="nil"/>
              <w:right w:val="nil"/>
            </w:tcBorders>
            <w:shd w:val="clear" w:color="auto" w:fill="auto"/>
            <w:noWrap/>
            <w:vAlign w:val="bottom"/>
            <w:hideMark/>
          </w:tcPr>
          <w:p w14:paraId="3F0639D3" w14:textId="77777777" w:rsidR="00384802" w:rsidRPr="00384802" w:rsidRDefault="00384802" w:rsidP="00384802">
            <w:pPr>
              <w:spacing w:after="0" w:line="240" w:lineRule="auto"/>
              <w:rPr>
                <w:rFonts w:ascii="Times New Roman" w:eastAsia="Times New Roman" w:hAnsi="Times New Roman" w:cs="Times New Roman"/>
                <w:color w:val="000000"/>
              </w:rPr>
            </w:pPr>
            <w:r w:rsidRPr="00384802">
              <w:rPr>
                <w:rFonts w:ascii="Times New Roman" w:eastAsia="Times New Roman" w:hAnsi="Times New Roman" w:cs="Times New Roman"/>
                <w:color w:val="000000"/>
              </w:rPr>
              <w:t>Dollar volume</w:t>
            </w:r>
          </w:p>
        </w:tc>
        <w:tc>
          <w:tcPr>
            <w:tcW w:w="1712" w:type="dxa"/>
            <w:tcBorders>
              <w:top w:val="nil"/>
              <w:left w:val="nil"/>
              <w:bottom w:val="nil"/>
              <w:right w:val="nil"/>
            </w:tcBorders>
            <w:shd w:val="clear" w:color="auto" w:fill="auto"/>
            <w:noWrap/>
            <w:vAlign w:val="bottom"/>
            <w:hideMark/>
          </w:tcPr>
          <w:p w14:paraId="6CE51B35" w14:textId="77777777" w:rsidR="00384802" w:rsidRPr="00384802" w:rsidRDefault="00384802" w:rsidP="00384802">
            <w:pPr>
              <w:spacing w:after="0" w:line="240" w:lineRule="auto"/>
              <w:jc w:val="center"/>
              <w:rPr>
                <w:rFonts w:ascii="Times New Roman" w:eastAsia="Times New Roman" w:hAnsi="Times New Roman" w:cs="Times New Roman"/>
                <w:color w:val="000000"/>
              </w:rPr>
            </w:pPr>
            <w:r w:rsidRPr="00384802">
              <w:rPr>
                <w:rFonts w:ascii="Times New Roman" w:eastAsia="Times New Roman" w:hAnsi="Times New Roman" w:cs="Times New Roman"/>
                <w:color w:val="000000"/>
              </w:rPr>
              <w:t>50,998,650</w:t>
            </w:r>
          </w:p>
        </w:tc>
        <w:tc>
          <w:tcPr>
            <w:tcW w:w="1110" w:type="dxa"/>
            <w:tcBorders>
              <w:top w:val="nil"/>
              <w:left w:val="nil"/>
              <w:bottom w:val="nil"/>
              <w:right w:val="nil"/>
            </w:tcBorders>
            <w:shd w:val="clear" w:color="auto" w:fill="auto"/>
            <w:noWrap/>
            <w:vAlign w:val="bottom"/>
            <w:hideMark/>
          </w:tcPr>
          <w:p w14:paraId="2C51AC01" w14:textId="77777777" w:rsidR="00384802" w:rsidRPr="00384802" w:rsidRDefault="00384802" w:rsidP="00384802">
            <w:pPr>
              <w:spacing w:after="0" w:line="240" w:lineRule="auto"/>
              <w:jc w:val="center"/>
              <w:rPr>
                <w:rFonts w:ascii="Times New Roman" w:eastAsia="Times New Roman" w:hAnsi="Times New Roman" w:cs="Times New Roman"/>
                <w:color w:val="000000"/>
              </w:rPr>
            </w:pPr>
            <w:r w:rsidRPr="00384802">
              <w:rPr>
                <w:rFonts w:ascii="Times New Roman" w:eastAsia="Times New Roman" w:hAnsi="Times New Roman" w:cs="Times New Roman"/>
                <w:color w:val="000000"/>
              </w:rPr>
              <w:t>24.5</w:t>
            </w:r>
          </w:p>
        </w:tc>
      </w:tr>
      <w:tr w:rsidR="00384802" w:rsidRPr="00384802" w14:paraId="4B1B629A" w14:textId="77777777" w:rsidTr="006C70D9">
        <w:trPr>
          <w:trHeight w:val="290"/>
          <w:jc w:val="center"/>
        </w:trPr>
        <w:tc>
          <w:tcPr>
            <w:tcW w:w="2354" w:type="dxa"/>
            <w:tcBorders>
              <w:top w:val="nil"/>
              <w:left w:val="nil"/>
              <w:bottom w:val="nil"/>
              <w:right w:val="nil"/>
            </w:tcBorders>
            <w:shd w:val="clear" w:color="auto" w:fill="auto"/>
            <w:noWrap/>
            <w:vAlign w:val="bottom"/>
            <w:hideMark/>
          </w:tcPr>
          <w:p w14:paraId="4454DD54" w14:textId="77777777" w:rsidR="00384802" w:rsidRPr="00384802" w:rsidRDefault="00384802" w:rsidP="00384802">
            <w:pPr>
              <w:spacing w:after="0" w:line="240" w:lineRule="auto"/>
              <w:jc w:val="center"/>
              <w:rPr>
                <w:rFonts w:ascii="Times New Roman" w:eastAsia="Times New Roman" w:hAnsi="Times New Roman" w:cs="Times New Roman"/>
                <w:color w:val="000000"/>
              </w:rPr>
            </w:pPr>
          </w:p>
        </w:tc>
        <w:tc>
          <w:tcPr>
            <w:tcW w:w="1712" w:type="dxa"/>
            <w:tcBorders>
              <w:top w:val="nil"/>
              <w:left w:val="nil"/>
              <w:bottom w:val="nil"/>
              <w:right w:val="nil"/>
            </w:tcBorders>
            <w:shd w:val="clear" w:color="auto" w:fill="auto"/>
            <w:noWrap/>
            <w:vAlign w:val="bottom"/>
            <w:hideMark/>
          </w:tcPr>
          <w:p w14:paraId="06BBB251" w14:textId="77777777" w:rsidR="00384802" w:rsidRPr="00384802" w:rsidRDefault="00384802" w:rsidP="00384802">
            <w:pPr>
              <w:spacing w:after="0" w:line="240" w:lineRule="auto"/>
              <w:rPr>
                <w:rFonts w:ascii="Times New Roman" w:eastAsia="Times New Roman" w:hAnsi="Times New Roman" w:cs="Times New Roman"/>
                <w:sz w:val="20"/>
                <w:szCs w:val="20"/>
              </w:rPr>
            </w:pPr>
          </w:p>
        </w:tc>
        <w:tc>
          <w:tcPr>
            <w:tcW w:w="1110" w:type="dxa"/>
            <w:tcBorders>
              <w:top w:val="nil"/>
              <w:left w:val="nil"/>
              <w:bottom w:val="nil"/>
              <w:right w:val="nil"/>
            </w:tcBorders>
            <w:shd w:val="clear" w:color="auto" w:fill="auto"/>
            <w:noWrap/>
            <w:vAlign w:val="bottom"/>
            <w:hideMark/>
          </w:tcPr>
          <w:p w14:paraId="69B475E3" w14:textId="77777777" w:rsidR="00384802" w:rsidRPr="00384802" w:rsidRDefault="00384802" w:rsidP="00384802">
            <w:pPr>
              <w:spacing w:after="0" w:line="240" w:lineRule="auto"/>
              <w:rPr>
                <w:rFonts w:ascii="Times New Roman" w:eastAsia="Times New Roman" w:hAnsi="Times New Roman" w:cs="Times New Roman"/>
                <w:sz w:val="20"/>
                <w:szCs w:val="20"/>
              </w:rPr>
            </w:pPr>
          </w:p>
        </w:tc>
      </w:tr>
      <w:tr w:rsidR="00384802" w:rsidRPr="00384802" w14:paraId="07ED80BD" w14:textId="77777777" w:rsidTr="006C70D9">
        <w:trPr>
          <w:trHeight w:val="290"/>
          <w:jc w:val="center"/>
        </w:trPr>
        <w:tc>
          <w:tcPr>
            <w:tcW w:w="2354" w:type="dxa"/>
            <w:tcBorders>
              <w:top w:val="nil"/>
              <w:left w:val="nil"/>
              <w:bottom w:val="nil"/>
              <w:right w:val="nil"/>
            </w:tcBorders>
            <w:shd w:val="clear" w:color="auto" w:fill="auto"/>
            <w:noWrap/>
            <w:vAlign w:val="bottom"/>
            <w:hideMark/>
          </w:tcPr>
          <w:p w14:paraId="74A27F51" w14:textId="51C1B2D2" w:rsidR="00384802" w:rsidRPr="00384802" w:rsidRDefault="00384802" w:rsidP="00384802">
            <w:pPr>
              <w:spacing w:after="0" w:line="240" w:lineRule="auto"/>
              <w:rPr>
                <w:rFonts w:ascii="Calibri" w:eastAsia="Times New Roman" w:hAnsi="Calibri" w:cs="Calibri"/>
                <w:color w:val="000000"/>
              </w:rPr>
            </w:pPr>
            <w:r w:rsidRPr="00384802">
              <w:rPr>
                <w:rFonts w:ascii="Calibri" w:eastAsia="Times New Roman" w:hAnsi="Calibri" w:cs="Calibri"/>
                <w:noProof/>
                <w:color w:val="000000"/>
              </w:rPr>
              <mc:AlternateContent>
                <mc:Choice Requires="wps">
                  <w:drawing>
                    <wp:anchor distT="0" distB="0" distL="114300" distR="114300" simplePos="0" relativeHeight="251665408" behindDoc="0" locked="0" layoutInCell="1" allowOverlap="1" wp14:anchorId="4A56C908" wp14:editId="367A57BD">
                      <wp:simplePos x="0" y="0"/>
                      <wp:positionH relativeFrom="column">
                        <wp:posOffset>15240</wp:posOffset>
                      </wp:positionH>
                      <wp:positionV relativeFrom="paragraph">
                        <wp:posOffset>31115</wp:posOffset>
                      </wp:positionV>
                      <wp:extent cx="3265170" cy="723900"/>
                      <wp:effectExtent l="0" t="0" r="11430" b="0"/>
                      <wp:wrapNone/>
                      <wp:docPr id="8" name="Text Box 8">
                        <a:extLst xmlns:a="http://schemas.openxmlformats.org/drawingml/2006/main">
                          <a:ext uri="{FF2B5EF4-FFF2-40B4-BE49-F238E27FC236}">
                            <a16:creationId xmlns:a16="http://schemas.microsoft.com/office/drawing/2014/main" id="{227737DD-B423-40FC-9838-D332CA26D3DE}"/>
                          </a:ext>
                        </a:extLst>
                      </wp:docPr>
                      <wp:cNvGraphicFramePr/>
                      <a:graphic xmlns:a="http://schemas.openxmlformats.org/drawingml/2006/main">
                        <a:graphicData uri="http://schemas.microsoft.com/office/word/2010/wordprocessingShape">
                          <wps:wsp>
                            <wps:cNvSpPr txBox="1"/>
                            <wps:spPr>
                              <a:xfrm>
                                <a:off x="0" y="0"/>
                                <a:ext cx="3265170" cy="723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B62A0DB" w14:textId="5A3A3271" w:rsidR="00384802" w:rsidRDefault="00384802" w:rsidP="00384802">
                                  <w:pPr>
                                    <w:rPr>
                                      <w:color w:val="000000" w:themeColor="dark1"/>
                                      <w:sz w:val="16"/>
                                      <w:szCs w:val="16"/>
                                    </w:rPr>
                                  </w:pPr>
                                  <w:r>
                                    <w:rPr>
                                      <w:color w:val="000000" w:themeColor="dark1"/>
                                      <w:sz w:val="16"/>
                                      <w:szCs w:val="16"/>
                                    </w:rPr>
                                    <w:t>[1</w:t>
                                  </w:r>
                                  <w:proofErr w:type="gramStart"/>
                                  <w:r>
                                    <w:rPr>
                                      <w:color w:val="000000" w:themeColor="dark1"/>
                                      <w:sz w:val="16"/>
                                      <w:szCs w:val="16"/>
                                    </w:rPr>
                                    <w:t>]  The</w:t>
                                  </w:r>
                                  <w:proofErr w:type="gramEnd"/>
                                  <w:r>
                                    <w:rPr>
                                      <w:color w:val="000000" w:themeColor="dark1"/>
                                      <w:sz w:val="16"/>
                                      <w:szCs w:val="16"/>
                                    </w:rPr>
                                    <w:t xml:space="preserve"> coefficient is calculated as the difference-in-means between the most heavily weighted firms in the Russell 2000 and the most lightly weighted firms in the Russell 1000 for the difference-in-means test, and the coefficient for the "Russell 2000" dummy  vari</w:t>
                                  </w:r>
                                  <w:r w:rsidR="00902570">
                                    <w:rPr>
                                      <w:color w:val="000000" w:themeColor="dark1"/>
                                      <w:sz w:val="16"/>
                                      <w:szCs w:val="16"/>
                                    </w:rPr>
                                    <w:t>a</w:t>
                                  </w:r>
                                  <w:r>
                                    <w:rPr>
                                      <w:color w:val="000000" w:themeColor="dark1"/>
                                      <w:sz w:val="16"/>
                                      <w:szCs w:val="16"/>
                                    </w:rPr>
                                    <w:t>ble in the regression discontinuity design</w:t>
                                  </w:r>
                                  <w:r w:rsidR="00902570">
                                    <w:rPr>
                                      <w:color w:val="000000" w:themeColor="dark1"/>
                                      <w:sz w:val="16"/>
                                      <w:szCs w:val="16"/>
                                    </w:rPr>
                                    <w:t xml:space="preserve"> with triple polynomials on either side of the discontinuity.</w:t>
                                  </w:r>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type w14:anchorId="4A56C908" id="_x0000_t202" coordsize="21600,21600" o:spt="202" path="m,l,21600r21600,l21600,xe">
                      <v:stroke joinstyle="miter"/>
                      <v:path gradientshapeok="t" o:connecttype="rect"/>
                    </v:shapetype>
                    <v:shape id="Text Box 8" o:spid="_x0000_s1026" type="#_x0000_t202" style="position:absolute;margin-left:1.2pt;margin-top:2.45pt;width:257.1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" filled="f" stroked="f">
                      <v:textbox inset="0,0,0,0">
                        <w:txbxContent>
                          <w:p w14:paraId="3B62A0DB" w14:textId="5A3A3271" w:rsidR="00384802" w:rsidRDefault="00384802" w:rsidP="00384802">
                            <w:pPr>
                              <w:rPr>
                                <w:color w:val="000000" w:themeColor="dark1"/>
                                <w:sz w:val="16"/>
                                <w:szCs w:val="16"/>
                              </w:rPr>
                            </w:pPr>
                            <w:r>
                              <w:rPr>
                                <w:color w:val="000000" w:themeColor="dark1"/>
                                <w:sz w:val="16"/>
                                <w:szCs w:val="16"/>
                              </w:rPr>
                              <w:t>[1</w:t>
                            </w:r>
                            <w:proofErr w:type="gramStart"/>
                            <w:r>
                              <w:rPr>
                                <w:color w:val="000000" w:themeColor="dark1"/>
                                <w:sz w:val="16"/>
                                <w:szCs w:val="16"/>
                              </w:rPr>
                              <w:t>]  The</w:t>
                            </w:r>
                            <w:proofErr w:type="gramEnd"/>
                            <w:r>
                              <w:rPr>
                                <w:color w:val="000000" w:themeColor="dark1"/>
                                <w:sz w:val="16"/>
                                <w:szCs w:val="16"/>
                              </w:rPr>
                              <w:t xml:space="preserve"> coefficient is calculated as the difference-in-means between the most heavily weighted firms in the Russell 2000 and the most lightly weighted firms in the Russell 1000 for the difference-in-means test, and the coefficient for the "Russell 2000" dummy  vari</w:t>
                            </w:r>
                            <w:r w:rsidR="00902570">
                              <w:rPr>
                                <w:color w:val="000000" w:themeColor="dark1"/>
                                <w:sz w:val="16"/>
                                <w:szCs w:val="16"/>
                              </w:rPr>
                              <w:t>a</w:t>
                            </w:r>
                            <w:r>
                              <w:rPr>
                                <w:color w:val="000000" w:themeColor="dark1"/>
                                <w:sz w:val="16"/>
                                <w:szCs w:val="16"/>
                              </w:rPr>
                              <w:t>ble in the regression discontinuity design</w:t>
                            </w:r>
                            <w:r w:rsidR="00902570">
                              <w:rPr>
                                <w:color w:val="000000" w:themeColor="dark1"/>
                                <w:sz w:val="16"/>
                                <w:szCs w:val="16"/>
                              </w:rPr>
                              <w:t xml:space="preserve"> with triple polynomials on either side of the discontinuity.</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840"/>
            </w:tblGrid>
            <w:tr w:rsidR="00384802" w:rsidRPr="00384802" w14:paraId="7692D11E" w14:textId="77777777">
              <w:trPr>
                <w:trHeight w:val="290"/>
                <w:tblCellSpacing w:w="0" w:type="dxa"/>
              </w:trPr>
              <w:tc>
                <w:tcPr>
                  <w:tcW w:w="1840" w:type="dxa"/>
                  <w:tcBorders>
                    <w:top w:val="nil"/>
                    <w:left w:val="nil"/>
                    <w:bottom w:val="nil"/>
                    <w:right w:val="nil"/>
                  </w:tcBorders>
                  <w:shd w:val="clear" w:color="auto" w:fill="auto"/>
                  <w:noWrap/>
                  <w:vAlign w:val="bottom"/>
                  <w:hideMark/>
                </w:tcPr>
                <w:p w14:paraId="18FB2A4F" w14:textId="77777777" w:rsidR="00384802" w:rsidRPr="00384802" w:rsidRDefault="00384802" w:rsidP="00384802">
                  <w:pPr>
                    <w:spacing w:after="0" w:line="240" w:lineRule="auto"/>
                    <w:rPr>
                      <w:rFonts w:ascii="Calibri" w:eastAsia="Times New Roman" w:hAnsi="Calibri" w:cs="Calibri"/>
                      <w:color w:val="000000"/>
                    </w:rPr>
                  </w:pPr>
                </w:p>
              </w:tc>
            </w:tr>
          </w:tbl>
          <w:p w14:paraId="796D637B" w14:textId="77777777" w:rsidR="00384802" w:rsidRPr="00384802" w:rsidRDefault="00384802" w:rsidP="00384802">
            <w:pPr>
              <w:spacing w:after="0" w:line="240" w:lineRule="auto"/>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14:paraId="748E61FD" w14:textId="77777777" w:rsidR="00384802" w:rsidRPr="00384802" w:rsidRDefault="00384802" w:rsidP="00384802">
            <w:pPr>
              <w:spacing w:after="0" w:line="240" w:lineRule="auto"/>
              <w:rPr>
                <w:rFonts w:ascii="Times New Roman" w:eastAsia="Times New Roman" w:hAnsi="Times New Roman" w:cs="Times New Roman"/>
                <w:sz w:val="20"/>
                <w:szCs w:val="20"/>
              </w:rPr>
            </w:pPr>
          </w:p>
        </w:tc>
        <w:tc>
          <w:tcPr>
            <w:tcW w:w="1110" w:type="dxa"/>
            <w:tcBorders>
              <w:top w:val="nil"/>
              <w:left w:val="nil"/>
              <w:bottom w:val="nil"/>
              <w:right w:val="nil"/>
            </w:tcBorders>
            <w:shd w:val="clear" w:color="auto" w:fill="auto"/>
            <w:noWrap/>
            <w:vAlign w:val="bottom"/>
            <w:hideMark/>
          </w:tcPr>
          <w:p w14:paraId="15520DF1" w14:textId="77777777" w:rsidR="00384802" w:rsidRPr="00384802" w:rsidRDefault="00384802" w:rsidP="00384802">
            <w:pPr>
              <w:spacing w:after="0" w:line="240" w:lineRule="auto"/>
              <w:rPr>
                <w:rFonts w:ascii="Times New Roman" w:eastAsia="Times New Roman" w:hAnsi="Times New Roman" w:cs="Times New Roman"/>
                <w:sz w:val="20"/>
                <w:szCs w:val="20"/>
              </w:rPr>
            </w:pPr>
          </w:p>
        </w:tc>
      </w:tr>
      <w:tr w:rsidR="00384802" w:rsidRPr="00384802" w14:paraId="62427DA8" w14:textId="77777777" w:rsidTr="006C70D9">
        <w:trPr>
          <w:trHeight w:val="290"/>
          <w:jc w:val="center"/>
        </w:trPr>
        <w:tc>
          <w:tcPr>
            <w:tcW w:w="2354" w:type="dxa"/>
            <w:tcBorders>
              <w:top w:val="nil"/>
              <w:left w:val="nil"/>
              <w:bottom w:val="nil"/>
              <w:right w:val="nil"/>
            </w:tcBorders>
            <w:shd w:val="clear" w:color="auto" w:fill="auto"/>
            <w:noWrap/>
            <w:vAlign w:val="bottom"/>
            <w:hideMark/>
          </w:tcPr>
          <w:p w14:paraId="3D709040" w14:textId="77777777" w:rsidR="00384802" w:rsidRPr="00384802" w:rsidRDefault="00384802" w:rsidP="00384802">
            <w:pPr>
              <w:spacing w:after="0" w:line="240" w:lineRule="auto"/>
              <w:rPr>
                <w:rFonts w:ascii="Times New Roman" w:eastAsia="Times New Roman" w:hAnsi="Times New Roman" w:cs="Times New Roman"/>
                <w:sz w:val="20"/>
                <w:szCs w:val="20"/>
              </w:rPr>
            </w:pPr>
          </w:p>
        </w:tc>
        <w:tc>
          <w:tcPr>
            <w:tcW w:w="1712" w:type="dxa"/>
            <w:tcBorders>
              <w:top w:val="nil"/>
              <w:left w:val="nil"/>
              <w:bottom w:val="nil"/>
              <w:right w:val="nil"/>
            </w:tcBorders>
            <w:shd w:val="clear" w:color="auto" w:fill="auto"/>
            <w:noWrap/>
            <w:vAlign w:val="bottom"/>
            <w:hideMark/>
          </w:tcPr>
          <w:p w14:paraId="225ACCEE" w14:textId="77777777" w:rsidR="00384802" w:rsidRPr="00384802" w:rsidRDefault="00384802" w:rsidP="00384802">
            <w:pPr>
              <w:spacing w:after="0" w:line="240" w:lineRule="auto"/>
              <w:rPr>
                <w:rFonts w:ascii="Times New Roman" w:eastAsia="Times New Roman" w:hAnsi="Times New Roman" w:cs="Times New Roman"/>
                <w:sz w:val="20"/>
                <w:szCs w:val="20"/>
              </w:rPr>
            </w:pPr>
          </w:p>
        </w:tc>
        <w:tc>
          <w:tcPr>
            <w:tcW w:w="1110" w:type="dxa"/>
            <w:tcBorders>
              <w:top w:val="nil"/>
              <w:left w:val="nil"/>
              <w:bottom w:val="nil"/>
              <w:right w:val="nil"/>
            </w:tcBorders>
            <w:shd w:val="clear" w:color="auto" w:fill="auto"/>
            <w:noWrap/>
            <w:vAlign w:val="bottom"/>
            <w:hideMark/>
          </w:tcPr>
          <w:p w14:paraId="10748C99" w14:textId="77777777" w:rsidR="00384802" w:rsidRPr="00384802" w:rsidRDefault="00384802" w:rsidP="00384802">
            <w:pPr>
              <w:spacing w:after="0" w:line="240" w:lineRule="auto"/>
              <w:rPr>
                <w:rFonts w:ascii="Times New Roman" w:eastAsia="Times New Roman" w:hAnsi="Times New Roman" w:cs="Times New Roman"/>
                <w:sz w:val="20"/>
                <w:szCs w:val="20"/>
              </w:rPr>
            </w:pPr>
          </w:p>
        </w:tc>
      </w:tr>
      <w:tr w:rsidR="00384802" w:rsidRPr="00384802" w14:paraId="5F542BE5" w14:textId="77777777" w:rsidTr="006C70D9">
        <w:trPr>
          <w:trHeight w:val="290"/>
          <w:jc w:val="center"/>
        </w:trPr>
        <w:tc>
          <w:tcPr>
            <w:tcW w:w="2354" w:type="dxa"/>
            <w:tcBorders>
              <w:top w:val="nil"/>
              <w:left w:val="nil"/>
              <w:bottom w:val="nil"/>
              <w:right w:val="nil"/>
            </w:tcBorders>
            <w:shd w:val="clear" w:color="auto" w:fill="auto"/>
            <w:noWrap/>
            <w:vAlign w:val="bottom"/>
            <w:hideMark/>
          </w:tcPr>
          <w:p w14:paraId="2BDB7917" w14:textId="77777777" w:rsidR="00384802" w:rsidRPr="00384802" w:rsidRDefault="00384802" w:rsidP="00384802">
            <w:pPr>
              <w:spacing w:after="0" w:line="240" w:lineRule="auto"/>
              <w:rPr>
                <w:rFonts w:ascii="Times New Roman" w:eastAsia="Times New Roman" w:hAnsi="Times New Roman" w:cs="Times New Roman"/>
                <w:sz w:val="20"/>
                <w:szCs w:val="20"/>
              </w:rPr>
            </w:pPr>
          </w:p>
        </w:tc>
        <w:tc>
          <w:tcPr>
            <w:tcW w:w="1712" w:type="dxa"/>
            <w:tcBorders>
              <w:top w:val="nil"/>
              <w:left w:val="nil"/>
              <w:bottom w:val="nil"/>
              <w:right w:val="nil"/>
            </w:tcBorders>
            <w:shd w:val="clear" w:color="auto" w:fill="auto"/>
            <w:noWrap/>
            <w:vAlign w:val="bottom"/>
            <w:hideMark/>
          </w:tcPr>
          <w:p w14:paraId="1DC11FC7" w14:textId="77777777" w:rsidR="00384802" w:rsidRPr="00384802" w:rsidRDefault="00384802" w:rsidP="00384802">
            <w:pPr>
              <w:spacing w:after="0" w:line="240" w:lineRule="auto"/>
              <w:rPr>
                <w:rFonts w:ascii="Times New Roman" w:eastAsia="Times New Roman" w:hAnsi="Times New Roman" w:cs="Times New Roman"/>
                <w:sz w:val="20"/>
                <w:szCs w:val="20"/>
              </w:rPr>
            </w:pPr>
          </w:p>
        </w:tc>
        <w:tc>
          <w:tcPr>
            <w:tcW w:w="1110" w:type="dxa"/>
            <w:tcBorders>
              <w:top w:val="nil"/>
              <w:left w:val="nil"/>
              <w:bottom w:val="nil"/>
              <w:right w:val="nil"/>
            </w:tcBorders>
            <w:shd w:val="clear" w:color="auto" w:fill="auto"/>
            <w:noWrap/>
            <w:vAlign w:val="bottom"/>
            <w:hideMark/>
          </w:tcPr>
          <w:p w14:paraId="14ECE685" w14:textId="77777777" w:rsidR="00384802" w:rsidRPr="00384802" w:rsidRDefault="00384802" w:rsidP="00384802">
            <w:pPr>
              <w:spacing w:after="0" w:line="240" w:lineRule="auto"/>
              <w:rPr>
                <w:rFonts w:ascii="Times New Roman" w:eastAsia="Times New Roman" w:hAnsi="Times New Roman" w:cs="Times New Roman"/>
                <w:sz w:val="20"/>
                <w:szCs w:val="20"/>
              </w:rPr>
            </w:pPr>
          </w:p>
        </w:tc>
      </w:tr>
      <w:tr w:rsidR="00384802" w:rsidRPr="00384802" w14:paraId="617E413D" w14:textId="77777777" w:rsidTr="006C70D9">
        <w:trPr>
          <w:trHeight w:val="290"/>
          <w:jc w:val="center"/>
        </w:trPr>
        <w:tc>
          <w:tcPr>
            <w:tcW w:w="2354" w:type="dxa"/>
            <w:tcBorders>
              <w:top w:val="nil"/>
              <w:left w:val="nil"/>
              <w:bottom w:val="nil"/>
              <w:right w:val="nil"/>
            </w:tcBorders>
            <w:shd w:val="clear" w:color="auto" w:fill="auto"/>
            <w:noWrap/>
            <w:vAlign w:val="bottom"/>
            <w:hideMark/>
          </w:tcPr>
          <w:p w14:paraId="3B24D725" w14:textId="77777777" w:rsidR="00384802" w:rsidRPr="00384802" w:rsidRDefault="00384802" w:rsidP="00384802">
            <w:pPr>
              <w:spacing w:after="0" w:line="240" w:lineRule="auto"/>
              <w:rPr>
                <w:rFonts w:ascii="Times New Roman" w:eastAsia="Times New Roman" w:hAnsi="Times New Roman" w:cs="Times New Roman"/>
                <w:sz w:val="20"/>
                <w:szCs w:val="20"/>
              </w:rPr>
            </w:pPr>
          </w:p>
        </w:tc>
        <w:tc>
          <w:tcPr>
            <w:tcW w:w="1712" w:type="dxa"/>
            <w:tcBorders>
              <w:top w:val="nil"/>
              <w:left w:val="nil"/>
              <w:bottom w:val="nil"/>
              <w:right w:val="nil"/>
            </w:tcBorders>
            <w:shd w:val="clear" w:color="auto" w:fill="auto"/>
            <w:noWrap/>
            <w:vAlign w:val="bottom"/>
            <w:hideMark/>
          </w:tcPr>
          <w:p w14:paraId="0F5E6FF3" w14:textId="77777777" w:rsidR="00384802" w:rsidRPr="00384802" w:rsidRDefault="00384802" w:rsidP="00384802">
            <w:pPr>
              <w:spacing w:after="0" w:line="240" w:lineRule="auto"/>
              <w:rPr>
                <w:rFonts w:ascii="Times New Roman" w:eastAsia="Times New Roman" w:hAnsi="Times New Roman" w:cs="Times New Roman"/>
                <w:sz w:val="20"/>
                <w:szCs w:val="20"/>
              </w:rPr>
            </w:pPr>
          </w:p>
        </w:tc>
        <w:tc>
          <w:tcPr>
            <w:tcW w:w="1110" w:type="dxa"/>
            <w:tcBorders>
              <w:top w:val="nil"/>
              <w:left w:val="nil"/>
              <w:bottom w:val="nil"/>
              <w:right w:val="nil"/>
            </w:tcBorders>
            <w:shd w:val="clear" w:color="auto" w:fill="auto"/>
            <w:noWrap/>
            <w:vAlign w:val="bottom"/>
            <w:hideMark/>
          </w:tcPr>
          <w:p w14:paraId="34F97806" w14:textId="77777777" w:rsidR="00384802" w:rsidRPr="00384802" w:rsidRDefault="00384802" w:rsidP="00384802">
            <w:pPr>
              <w:spacing w:after="0" w:line="240" w:lineRule="auto"/>
              <w:rPr>
                <w:rFonts w:ascii="Times New Roman" w:eastAsia="Times New Roman" w:hAnsi="Times New Roman" w:cs="Times New Roman"/>
                <w:sz w:val="20"/>
                <w:szCs w:val="20"/>
              </w:rPr>
            </w:pPr>
          </w:p>
        </w:tc>
      </w:tr>
    </w:tbl>
    <w:p w14:paraId="3ECB1B73" w14:textId="4172711F" w:rsidR="00384802" w:rsidRDefault="00384802">
      <w:pPr>
        <w:rPr>
          <w:rFonts w:ascii="Times New Roman" w:hAnsi="Times New Roman" w:cs="Times New Roman"/>
        </w:rPr>
      </w:pPr>
    </w:p>
    <w:p w14:paraId="5E6A928B" w14:textId="77777777" w:rsidR="00384802" w:rsidRDefault="00384802">
      <w:pPr>
        <w:rPr>
          <w:rFonts w:ascii="Times New Roman" w:hAnsi="Times New Roman" w:cs="Times New Roman"/>
        </w:rPr>
      </w:pPr>
      <w:r>
        <w:rPr>
          <w:rFonts w:ascii="Times New Roman" w:hAnsi="Times New Roman" w:cs="Times New Roman"/>
        </w:rPr>
        <w:br w:type="page"/>
      </w:r>
    </w:p>
    <w:tbl>
      <w:tblPr>
        <w:tblW w:w="5436" w:type="dxa"/>
        <w:jc w:val="center"/>
        <w:tblLook w:val="04A0" w:firstRow="1" w:lastRow="0" w:firstColumn="1" w:lastColumn="0" w:noHBand="0" w:noVBand="1"/>
      </w:tblPr>
      <w:tblGrid>
        <w:gridCol w:w="2651"/>
        <w:gridCol w:w="1145"/>
        <w:gridCol w:w="820"/>
        <w:gridCol w:w="820"/>
      </w:tblGrid>
      <w:tr w:rsidR="00D13168" w:rsidRPr="00D13168" w14:paraId="29A0D9E0" w14:textId="77777777" w:rsidTr="006C70D9">
        <w:trPr>
          <w:trHeight w:val="410"/>
          <w:jc w:val="center"/>
        </w:trPr>
        <w:tc>
          <w:tcPr>
            <w:tcW w:w="5436" w:type="dxa"/>
            <w:gridSpan w:val="4"/>
            <w:tcBorders>
              <w:top w:val="nil"/>
              <w:left w:val="nil"/>
              <w:bottom w:val="nil"/>
              <w:right w:val="nil"/>
            </w:tcBorders>
            <w:shd w:val="clear" w:color="auto" w:fill="auto"/>
            <w:noWrap/>
            <w:vAlign w:val="bottom"/>
            <w:hideMark/>
          </w:tcPr>
          <w:p w14:paraId="769ABF11" w14:textId="77777777" w:rsidR="00D13168" w:rsidRPr="00D13168" w:rsidRDefault="00D13168" w:rsidP="00D13168">
            <w:pPr>
              <w:spacing w:after="0" w:line="240" w:lineRule="auto"/>
              <w:jc w:val="center"/>
              <w:rPr>
                <w:rFonts w:ascii="Times New Roman" w:eastAsia="Times New Roman" w:hAnsi="Times New Roman" w:cs="Times New Roman"/>
                <w:b/>
                <w:bCs/>
                <w:color w:val="000000"/>
                <w:sz w:val="32"/>
                <w:szCs w:val="32"/>
              </w:rPr>
            </w:pPr>
            <w:r w:rsidRPr="00D13168">
              <w:rPr>
                <w:rFonts w:ascii="Times New Roman" w:eastAsia="Times New Roman" w:hAnsi="Times New Roman" w:cs="Times New Roman"/>
                <w:b/>
                <w:bCs/>
                <w:color w:val="000000"/>
                <w:sz w:val="32"/>
                <w:szCs w:val="32"/>
              </w:rPr>
              <w:lastRenderedPageBreak/>
              <w:t>Table 2</w:t>
            </w:r>
          </w:p>
        </w:tc>
      </w:tr>
      <w:tr w:rsidR="00D13168" w:rsidRPr="00D13168" w14:paraId="3359666A" w14:textId="77777777" w:rsidTr="006C70D9">
        <w:trPr>
          <w:trHeight w:val="1210"/>
          <w:jc w:val="center"/>
        </w:trPr>
        <w:tc>
          <w:tcPr>
            <w:tcW w:w="5436" w:type="dxa"/>
            <w:gridSpan w:val="4"/>
            <w:tcBorders>
              <w:top w:val="nil"/>
              <w:left w:val="nil"/>
              <w:bottom w:val="nil"/>
              <w:right w:val="nil"/>
            </w:tcBorders>
            <w:shd w:val="clear" w:color="auto" w:fill="auto"/>
            <w:vAlign w:val="bottom"/>
            <w:hideMark/>
          </w:tcPr>
          <w:p w14:paraId="1AD33307" w14:textId="77777777" w:rsidR="00D13168" w:rsidRPr="00D13168" w:rsidRDefault="00D13168" w:rsidP="00D13168">
            <w:pPr>
              <w:spacing w:after="0" w:line="240" w:lineRule="auto"/>
              <w:jc w:val="center"/>
              <w:rPr>
                <w:rFonts w:ascii="Times New Roman" w:eastAsia="Times New Roman" w:hAnsi="Times New Roman" w:cs="Times New Roman"/>
                <w:b/>
                <w:bCs/>
                <w:color w:val="000000"/>
                <w:sz w:val="32"/>
                <w:szCs w:val="32"/>
              </w:rPr>
            </w:pPr>
            <w:r w:rsidRPr="00D13168">
              <w:rPr>
                <w:rFonts w:ascii="Times New Roman" w:eastAsia="Times New Roman" w:hAnsi="Times New Roman" w:cs="Times New Roman"/>
                <w:b/>
                <w:bCs/>
                <w:color w:val="000000"/>
                <w:sz w:val="32"/>
                <w:szCs w:val="32"/>
              </w:rPr>
              <w:t xml:space="preserve">t-statistics from Perturbations in the Definition of Independent Variables Measuring </w:t>
            </w:r>
            <w:proofErr w:type="spellStart"/>
            <w:r w:rsidRPr="00D13168">
              <w:rPr>
                <w:rFonts w:ascii="Times New Roman" w:eastAsia="Times New Roman" w:hAnsi="Times New Roman" w:cs="Times New Roman"/>
                <w:b/>
                <w:bCs/>
                <w:color w:val="000000"/>
                <w:sz w:val="32"/>
                <w:szCs w:val="32"/>
              </w:rPr>
              <w:t>Liquiditiy</w:t>
            </w:r>
            <w:proofErr w:type="spellEnd"/>
          </w:p>
        </w:tc>
      </w:tr>
      <w:tr w:rsidR="00D13168" w:rsidRPr="00D13168" w14:paraId="00EFE270" w14:textId="77777777" w:rsidTr="006C70D9">
        <w:trPr>
          <w:trHeight w:val="290"/>
          <w:jc w:val="center"/>
        </w:trPr>
        <w:tc>
          <w:tcPr>
            <w:tcW w:w="2651" w:type="dxa"/>
            <w:tcBorders>
              <w:top w:val="nil"/>
              <w:left w:val="nil"/>
              <w:bottom w:val="nil"/>
              <w:right w:val="nil"/>
            </w:tcBorders>
            <w:shd w:val="clear" w:color="auto" w:fill="auto"/>
            <w:noWrap/>
            <w:vAlign w:val="bottom"/>
            <w:hideMark/>
          </w:tcPr>
          <w:p w14:paraId="07BAC64E" w14:textId="77777777" w:rsidR="00D13168" w:rsidRPr="00D13168" w:rsidRDefault="00D13168" w:rsidP="00D13168">
            <w:pPr>
              <w:spacing w:after="0" w:line="240" w:lineRule="auto"/>
              <w:jc w:val="center"/>
              <w:rPr>
                <w:rFonts w:ascii="Times New Roman" w:eastAsia="Times New Roman" w:hAnsi="Times New Roman" w:cs="Times New Roman"/>
                <w:b/>
                <w:bCs/>
                <w:color w:val="000000"/>
                <w:sz w:val="32"/>
                <w:szCs w:val="32"/>
              </w:rPr>
            </w:pPr>
          </w:p>
        </w:tc>
        <w:tc>
          <w:tcPr>
            <w:tcW w:w="1145" w:type="dxa"/>
            <w:tcBorders>
              <w:top w:val="nil"/>
              <w:left w:val="nil"/>
              <w:bottom w:val="nil"/>
              <w:right w:val="nil"/>
            </w:tcBorders>
            <w:shd w:val="clear" w:color="auto" w:fill="auto"/>
            <w:noWrap/>
            <w:vAlign w:val="bottom"/>
            <w:hideMark/>
          </w:tcPr>
          <w:p w14:paraId="235650FD"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416DCBA8"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2C2ACC64" w14:textId="77777777" w:rsidR="00D13168" w:rsidRPr="00D13168" w:rsidRDefault="00D13168" w:rsidP="00D13168">
            <w:pPr>
              <w:spacing w:after="0" w:line="240" w:lineRule="auto"/>
              <w:rPr>
                <w:rFonts w:ascii="Times New Roman" w:eastAsia="Times New Roman" w:hAnsi="Times New Roman" w:cs="Times New Roman"/>
                <w:sz w:val="20"/>
                <w:szCs w:val="20"/>
              </w:rPr>
            </w:pPr>
          </w:p>
        </w:tc>
      </w:tr>
      <w:tr w:rsidR="00D13168" w:rsidRPr="00D13168" w14:paraId="6350E16C" w14:textId="77777777" w:rsidTr="006C70D9">
        <w:trPr>
          <w:trHeight w:val="290"/>
          <w:jc w:val="center"/>
        </w:trPr>
        <w:tc>
          <w:tcPr>
            <w:tcW w:w="2651" w:type="dxa"/>
            <w:tcBorders>
              <w:top w:val="nil"/>
              <w:left w:val="nil"/>
              <w:bottom w:val="nil"/>
              <w:right w:val="nil"/>
            </w:tcBorders>
            <w:shd w:val="clear" w:color="auto" w:fill="auto"/>
            <w:noWrap/>
            <w:vAlign w:val="bottom"/>
            <w:hideMark/>
          </w:tcPr>
          <w:p w14:paraId="0DCE8874"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1145" w:type="dxa"/>
            <w:tcBorders>
              <w:top w:val="nil"/>
              <w:left w:val="nil"/>
              <w:bottom w:val="nil"/>
              <w:right w:val="nil"/>
            </w:tcBorders>
            <w:shd w:val="clear" w:color="auto" w:fill="auto"/>
            <w:noWrap/>
            <w:vAlign w:val="bottom"/>
            <w:hideMark/>
          </w:tcPr>
          <w:p w14:paraId="47559299"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1640" w:type="dxa"/>
            <w:gridSpan w:val="2"/>
            <w:tcBorders>
              <w:top w:val="nil"/>
              <w:left w:val="nil"/>
              <w:bottom w:val="single" w:sz="4" w:space="0" w:color="auto"/>
              <w:right w:val="nil"/>
            </w:tcBorders>
            <w:shd w:val="clear" w:color="auto" w:fill="auto"/>
            <w:noWrap/>
            <w:vAlign w:val="bottom"/>
            <w:hideMark/>
          </w:tcPr>
          <w:p w14:paraId="38E5CF5C" w14:textId="77777777" w:rsidR="00D13168" w:rsidRPr="00D13168" w:rsidRDefault="00D13168" w:rsidP="00D13168">
            <w:pPr>
              <w:spacing w:after="0" w:line="240" w:lineRule="auto"/>
              <w:jc w:val="center"/>
              <w:rPr>
                <w:rFonts w:ascii="Times New Roman" w:eastAsia="Times New Roman" w:hAnsi="Times New Roman" w:cs="Times New Roman"/>
                <w:b/>
                <w:bCs/>
                <w:color w:val="000000"/>
              </w:rPr>
            </w:pPr>
            <w:r w:rsidRPr="00D13168">
              <w:rPr>
                <w:rFonts w:ascii="Times New Roman" w:eastAsia="Times New Roman" w:hAnsi="Times New Roman" w:cs="Times New Roman"/>
                <w:b/>
                <w:bCs/>
                <w:color w:val="000000"/>
              </w:rPr>
              <w:t>New</w:t>
            </w:r>
          </w:p>
        </w:tc>
      </w:tr>
      <w:tr w:rsidR="00D13168" w:rsidRPr="00D13168" w14:paraId="749A7617" w14:textId="77777777" w:rsidTr="006C70D9">
        <w:trPr>
          <w:trHeight w:val="290"/>
          <w:jc w:val="center"/>
        </w:trPr>
        <w:tc>
          <w:tcPr>
            <w:tcW w:w="2651" w:type="dxa"/>
            <w:tcBorders>
              <w:top w:val="nil"/>
              <w:left w:val="nil"/>
              <w:bottom w:val="single" w:sz="4" w:space="0" w:color="auto"/>
              <w:right w:val="nil"/>
            </w:tcBorders>
            <w:shd w:val="clear" w:color="auto" w:fill="auto"/>
            <w:noWrap/>
            <w:vAlign w:val="bottom"/>
            <w:hideMark/>
          </w:tcPr>
          <w:p w14:paraId="30E4E6BE" w14:textId="77777777" w:rsidR="00D13168" w:rsidRPr="00D13168" w:rsidRDefault="00D13168" w:rsidP="00D13168">
            <w:pPr>
              <w:spacing w:after="0" w:line="240" w:lineRule="auto"/>
              <w:rPr>
                <w:rFonts w:ascii="Times New Roman" w:eastAsia="Times New Roman" w:hAnsi="Times New Roman" w:cs="Times New Roman"/>
                <w:b/>
                <w:bCs/>
                <w:color w:val="000000"/>
              </w:rPr>
            </w:pPr>
            <w:r w:rsidRPr="00D13168">
              <w:rPr>
                <w:rFonts w:ascii="Times New Roman" w:eastAsia="Times New Roman" w:hAnsi="Times New Roman" w:cs="Times New Roman"/>
                <w:b/>
                <w:bCs/>
                <w:color w:val="000000"/>
              </w:rPr>
              <w:t>Construct</w:t>
            </w:r>
          </w:p>
        </w:tc>
        <w:tc>
          <w:tcPr>
            <w:tcW w:w="1145" w:type="dxa"/>
            <w:tcBorders>
              <w:top w:val="nil"/>
              <w:left w:val="nil"/>
              <w:bottom w:val="single" w:sz="4" w:space="0" w:color="auto"/>
              <w:right w:val="nil"/>
            </w:tcBorders>
            <w:shd w:val="clear" w:color="auto" w:fill="auto"/>
            <w:noWrap/>
            <w:vAlign w:val="bottom"/>
            <w:hideMark/>
          </w:tcPr>
          <w:p w14:paraId="5874E030" w14:textId="77777777" w:rsidR="00D13168" w:rsidRPr="00D13168" w:rsidRDefault="00D13168" w:rsidP="00D13168">
            <w:pPr>
              <w:spacing w:after="0" w:line="240" w:lineRule="auto"/>
              <w:jc w:val="center"/>
              <w:rPr>
                <w:rFonts w:ascii="Times New Roman" w:eastAsia="Times New Roman" w:hAnsi="Times New Roman" w:cs="Times New Roman"/>
                <w:b/>
                <w:bCs/>
                <w:color w:val="000000"/>
              </w:rPr>
            </w:pPr>
            <w:r w:rsidRPr="00D13168">
              <w:rPr>
                <w:rFonts w:ascii="Times New Roman" w:eastAsia="Times New Roman" w:hAnsi="Times New Roman" w:cs="Times New Roman"/>
                <w:b/>
                <w:bCs/>
                <w:color w:val="000000"/>
              </w:rPr>
              <w:t>Original</w:t>
            </w:r>
          </w:p>
        </w:tc>
        <w:tc>
          <w:tcPr>
            <w:tcW w:w="820" w:type="dxa"/>
            <w:tcBorders>
              <w:top w:val="nil"/>
              <w:left w:val="nil"/>
              <w:bottom w:val="single" w:sz="4" w:space="0" w:color="auto"/>
              <w:right w:val="nil"/>
            </w:tcBorders>
            <w:shd w:val="clear" w:color="auto" w:fill="auto"/>
            <w:noWrap/>
            <w:vAlign w:val="bottom"/>
            <w:hideMark/>
          </w:tcPr>
          <w:p w14:paraId="16C97120" w14:textId="77777777" w:rsidR="00D13168" w:rsidRPr="00D13168" w:rsidRDefault="00D13168" w:rsidP="00D13168">
            <w:pPr>
              <w:spacing w:after="0" w:line="240" w:lineRule="auto"/>
              <w:jc w:val="center"/>
              <w:rPr>
                <w:rFonts w:ascii="Times New Roman" w:eastAsia="Times New Roman" w:hAnsi="Times New Roman" w:cs="Times New Roman"/>
                <w:b/>
                <w:bCs/>
                <w:color w:val="000000"/>
              </w:rPr>
            </w:pPr>
            <w:r w:rsidRPr="00D13168">
              <w:rPr>
                <w:rFonts w:ascii="Times New Roman" w:eastAsia="Times New Roman" w:hAnsi="Times New Roman" w:cs="Times New Roman"/>
                <w:b/>
                <w:bCs/>
                <w:color w:val="000000"/>
              </w:rPr>
              <w:t>Alt 1</w:t>
            </w:r>
          </w:p>
        </w:tc>
        <w:tc>
          <w:tcPr>
            <w:tcW w:w="820" w:type="dxa"/>
            <w:tcBorders>
              <w:top w:val="nil"/>
              <w:left w:val="nil"/>
              <w:bottom w:val="single" w:sz="4" w:space="0" w:color="auto"/>
              <w:right w:val="nil"/>
            </w:tcBorders>
            <w:shd w:val="clear" w:color="auto" w:fill="auto"/>
            <w:noWrap/>
            <w:vAlign w:val="bottom"/>
            <w:hideMark/>
          </w:tcPr>
          <w:p w14:paraId="49058A61" w14:textId="77777777" w:rsidR="00D13168" w:rsidRPr="00D13168" w:rsidRDefault="00D13168" w:rsidP="00D13168">
            <w:pPr>
              <w:spacing w:after="0" w:line="240" w:lineRule="auto"/>
              <w:jc w:val="center"/>
              <w:rPr>
                <w:rFonts w:ascii="Times New Roman" w:eastAsia="Times New Roman" w:hAnsi="Times New Roman" w:cs="Times New Roman"/>
                <w:b/>
                <w:bCs/>
                <w:color w:val="000000"/>
              </w:rPr>
            </w:pPr>
            <w:r w:rsidRPr="00D13168">
              <w:rPr>
                <w:rFonts w:ascii="Times New Roman" w:eastAsia="Times New Roman" w:hAnsi="Times New Roman" w:cs="Times New Roman"/>
                <w:b/>
                <w:bCs/>
                <w:color w:val="000000"/>
              </w:rPr>
              <w:t>Alt 2</w:t>
            </w:r>
          </w:p>
        </w:tc>
      </w:tr>
      <w:tr w:rsidR="00D13168" w:rsidRPr="00D13168" w14:paraId="396A9229" w14:textId="77777777" w:rsidTr="006C70D9">
        <w:trPr>
          <w:trHeight w:val="290"/>
          <w:jc w:val="center"/>
        </w:trPr>
        <w:tc>
          <w:tcPr>
            <w:tcW w:w="3796" w:type="dxa"/>
            <w:gridSpan w:val="2"/>
            <w:tcBorders>
              <w:top w:val="nil"/>
              <w:left w:val="nil"/>
              <w:bottom w:val="nil"/>
              <w:right w:val="nil"/>
            </w:tcBorders>
            <w:shd w:val="clear" w:color="auto" w:fill="auto"/>
            <w:noWrap/>
            <w:vAlign w:val="bottom"/>
            <w:hideMark/>
          </w:tcPr>
          <w:p w14:paraId="64B13BCD" w14:textId="77777777" w:rsidR="00D13168" w:rsidRPr="00D13168" w:rsidRDefault="00D13168" w:rsidP="00D13168">
            <w:pPr>
              <w:spacing w:after="0" w:line="240" w:lineRule="auto"/>
              <w:rPr>
                <w:rFonts w:ascii="Calibri" w:eastAsia="Times New Roman" w:hAnsi="Calibri" w:cs="Calibri"/>
                <w:i/>
                <w:iCs/>
                <w:color w:val="000000"/>
                <w:u w:val="single"/>
              </w:rPr>
            </w:pPr>
            <w:r w:rsidRPr="00D13168">
              <w:rPr>
                <w:rFonts w:ascii="Calibri" w:eastAsia="Times New Roman" w:hAnsi="Calibri" w:cs="Calibri"/>
                <w:i/>
                <w:iCs/>
                <w:color w:val="000000"/>
                <w:u w:val="single"/>
              </w:rPr>
              <w:t>Difference in Means</w:t>
            </w:r>
          </w:p>
        </w:tc>
        <w:tc>
          <w:tcPr>
            <w:tcW w:w="820" w:type="dxa"/>
            <w:tcBorders>
              <w:top w:val="nil"/>
              <w:left w:val="nil"/>
              <w:bottom w:val="nil"/>
              <w:right w:val="nil"/>
            </w:tcBorders>
            <w:shd w:val="clear" w:color="auto" w:fill="auto"/>
            <w:noWrap/>
            <w:vAlign w:val="bottom"/>
            <w:hideMark/>
          </w:tcPr>
          <w:p w14:paraId="7E501397" w14:textId="77777777" w:rsidR="00D13168" w:rsidRPr="00D13168" w:rsidRDefault="00D13168" w:rsidP="00D13168">
            <w:pPr>
              <w:spacing w:after="0" w:line="240" w:lineRule="auto"/>
              <w:rPr>
                <w:rFonts w:ascii="Calibri" w:eastAsia="Times New Roman" w:hAnsi="Calibri" w:cs="Calibri"/>
                <w:i/>
                <w:iCs/>
                <w:color w:val="000000"/>
                <w:u w:val="single"/>
              </w:rPr>
            </w:pPr>
          </w:p>
        </w:tc>
        <w:tc>
          <w:tcPr>
            <w:tcW w:w="820" w:type="dxa"/>
            <w:tcBorders>
              <w:top w:val="nil"/>
              <w:left w:val="nil"/>
              <w:bottom w:val="nil"/>
              <w:right w:val="nil"/>
            </w:tcBorders>
            <w:shd w:val="clear" w:color="auto" w:fill="auto"/>
            <w:noWrap/>
            <w:vAlign w:val="bottom"/>
            <w:hideMark/>
          </w:tcPr>
          <w:p w14:paraId="610C8C2D" w14:textId="77777777" w:rsidR="00D13168" w:rsidRPr="00D13168" w:rsidRDefault="00D13168" w:rsidP="00D13168">
            <w:pPr>
              <w:spacing w:after="0" w:line="240" w:lineRule="auto"/>
              <w:rPr>
                <w:rFonts w:ascii="Times New Roman" w:eastAsia="Times New Roman" w:hAnsi="Times New Roman" w:cs="Times New Roman"/>
                <w:sz w:val="20"/>
                <w:szCs w:val="20"/>
              </w:rPr>
            </w:pPr>
          </w:p>
        </w:tc>
      </w:tr>
      <w:tr w:rsidR="00D13168" w:rsidRPr="00D13168" w14:paraId="7AA55004" w14:textId="77777777" w:rsidTr="006C70D9">
        <w:trPr>
          <w:trHeight w:val="290"/>
          <w:jc w:val="center"/>
        </w:trPr>
        <w:tc>
          <w:tcPr>
            <w:tcW w:w="2651" w:type="dxa"/>
            <w:tcBorders>
              <w:top w:val="nil"/>
              <w:left w:val="nil"/>
              <w:bottom w:val="nil"/>
              <w:right w:val="nil"/>
            </w:tcBorders>
            <w:shd w:val="clear" w:color="auto" w:fill="auto"/>
            <w:noWrap/>
            <w:vAlign w:val="bottom"/>
            <w:hideMark/>
          </w:tcPr>
          <w:p w14:paraId="4875F361" w14:textId="77777777" w:rsidR="00D13168" w:rsidRPr="00D13168" w:rsidRDefault="00D13168" w:rsidP="00D13168">
            <w:pPr>
              <w:spacing w:after="0" w:line="240" w:lineRule="auto"/>
              <w:rPr>
                <w:rFonts w:ascii="Times New Roman" w:eastAsia="Times New Roman" w:hAnsi="Times New Roman" w:cs="Times New Roman"/>
                <w:color w:val="000000"/>
              </w:rPr>
            </w:pPr>
            <w:r w:rsidRPr="00D13168">
              <w:rPr>
                <w:rFonts w:ascii="Times New Roman" w:eastAsia="Times New Roman" w:hAnsi="Times New Roman" w:cs="Times New Roman"/>
                <w:color w:val="000000"/>
              </w:rPr>
              <w:t>Bid-ask spread [1]</w:t>
            </w:r>
          </w:p>
        </w:tc>
        <w:tc>
          <w:tcPr>
            <w:tcW w:w="1145" w:type="dxa"/>
            <w:tcBorders>
              <w:top w:val="nil"/>
              <w:left w:val="nil"/>
              <w:bottom w:val="nil"/>
              <w:right w:val="nil"/>
            </w:tcBorders>
            <w:shd w:val="clear" w:color="000000" w:fill="E2EFDA"/>
            <w:noWrap/>
            <w:vAlign w:val="bottom"/>
            <w:hideMark/>
          </w:tcPr>
          <w:p w14:paraId="7006AAD3" w14:textId="77777777" w:rsidR="00D13168" w:rsidRPr="00D13168" w:rsidRDefault="00D13168" w:rsidP="00D13168">
            <w:pPr>
              <w:spacing w:after="0" w:line="240" w:lineRule="auto"/>
              <w:jc w:val="center"/>
              <w:rPr>
                <w:rFonts w:ascii="Times New Roman" w:eastAsia="Times New Roman" w:hAnsi="Times New Roman" w:cs="Times New Roman"/>
                <w:color w:val="000000"/>
              </w:rPr>
            </w:pPr>
            <w:r w:rsidRPr="00D13168">
              <w:rPr>
                <w:rFonts w:ascii="Times New Roman" w:eastAsia="Times New Roman" w:hAnsi="Times New Roman" w:cs="Times New Roman"/>
                <w:color w:val="000000"/>
              </w:rPr>
              <w:t>-8.76</w:t>
            </w:r>
          </w:p>
        </w:tc>
        <w:tc>
          <w:tcPr>
            <w:tcW w:w="820" w:type="dxa"/>
            <w:tcBorders>
              <w:top w:val="nil"/>
              <w:left w:val="nil"/>
              <w:bottom w:val="nil"/>
              <w:right w:val="nil"/>
            </w:tcBorders>
            <w:shd w:val="clear" w:color="000000" w:fill="E2EFDA"/>
            <w:noWrap/>
            <w:vAlign w:val="bottom"/>
            <w:hideMark/>
          </w:tcPr>
          <w:p w14:paraId="4AD451A5" w14:textId="77777777" w:rsidR="00D13168" w:rsidRPr="00D13168" w:rsidRDefault="00D13168" w:rsidP="00D13168">
            <w:pPr>
              <w:spacing w:after="0" w:line="240" w:lineRule="auto"/>
              <w:jc w:val="center"/>
              <w:rPr>
                <w:rFonts w:ascii="Times New Roman" w:eastAsia="Times New Roman" w:hAnsi="Times New Roman" w:cs="Times New Roman"/>
                <w:color w:val="000000"/>
              </w:rPr>
            </w:pPr>
            <w:r w:rsidRPr="00D13168">
              <w:rPr>
                <w:rFonts w:ascii="Times New Roman" w:eastAsia="Times New Roman" w:hAnsi="Times New Roman" w:cs="Times New Roman"/>
                <w:color w:val="000000"/>
              </w:rPr>
              <w:t>-13.52</w:t>
            </w:r>
          </w:p>
        </w:tc>
        <w:tc>
          <w:tcPr>
            <w:tcW w:w="820" w:type="dxa"/>
            <w:tcBorders>
              <w:top w:val="nil"/>
              <w:left w:val="nil"/>
              <w:bottom w:val="nil"/>
              <w:right w:val="nil"/>
            </w:tcBorders>
            <w:shd w:val="clear" w:color="000000" w:fill="E2EFDA"/>
            <w:noWrap/>
            <w:vAlign w:val="bottom"/>
            <w:hideMark/>
          </w:tcPr>
          <w:p w14:paraId="4E4CFD7C" w14:textId="77777777" w:rsidR="00D13168" w:rsidRPr="00D13168" w:rsidRDefault="00D13168" w:rsidP="00D13168">
            <w:pPr>
              <w:spacing w:after="0" w:line="240" w:lineRule="auto"/>
              <w:jc w:val="center"/>
              <w:rPr>
                <w:rFonts w:ascii="Times New Roman" w:eastAsia="Times New Roman" w:hAnsi="Times New Roman" w:cs="Times New Roman"/>
                <w:color w:val="000000"/>
              </w:rPr>
            </w:pPr>
            <w:r w:rsidRPr="00D13168">
              <w:rPr>
                <w:rFonts w:ascii="Times New Roman" w:eastAsia="Times New Roman" w:hAnsi="Times New Roman" w:cs="Times New Roman"/>
                <w:color w:val="000000"/>
              </w:rPr>
              <w:t>-22.58</w:t>
            </w:r>
          </w:p>
        </w:tc>
      </w:tr>
      <w:tr w:rsidR="00D13168" w:rsidRPr="00D13168" w14:paraId="059DE530" w14:textId="77777777" w:rsidTr="006C70D9">
        <w:trPr>
          <w:trHeight w:val="290"/>
          <w:jc w:val="center"/>
        </w:trPr>
        <w:tc>
          <w:tcPr>
            <w:tcW w:w="2651" w:type="dxa"/>
            <w:tcBorders>
              <w:top w:val="nil"/>
              <w:left w:val="nil"/>
              <w:bottom w:val="nil"/>
              <w:right w:val="nil"/>
            </w:tcBorders>
            <w:shd w:val="clear" w:color="auto" w:fill="auto"/>
            <w:noWrap/>
            <w:vAlign w:val="bottom"/>
            <w:hideMark/>
          </w:tcPr>
          <w:p w14:paraId="32FB9EB8" w14:textId="77777777" w:rsidR="00D13168" w:rsidRPr="00D13168" w:rsidRDefault="00D13168" w:rsidP="00D13168">
            <w:pPr>
              <w:spacing w:after="0" w:line="240" w:lineRule="auto"/>
              <w:rPr>
                <w:rFonts w:ascii="Times New Roman" w:eastAsia="Times New Roman" w:hAnsi="Times New Roman" w:cs="Times New Roman"/>
                <w:color w:val="000000"/>
              </w:rPr>
            </w:pPr>
            <w:r w:rsidRPr="00D13168">
              <w:rPr>
                <w:rFonts w:ascii="Times New Roman" w:eastAsia="Times New Roman" w:hAnsi="Times New Roman" w:cs="Times New Roman"/>
                <w:color w:val="000000"/>
              </w:rPr>
              <w:t>Turnover [2]</w:t>
            </w:r>
          </w:p>
        </w:tc>
        <w:tc>
          <w:tcPr>
            <w:tcW w:w="1145" w:type="dxa"/>
            <w:tcBorders>
              <w:top w:val="nil"/>
              <w:left w:val="nil"/>
              <w:bottom w:val="nil"/>
              <w:right w:val="nil"/>
            </w:tcBorders>
            <w:shd w:val="clear" w:color="000000" w:fill="E2EFDA"/>
            <w:noWrap/>
            <w:vAlign w:val="bottom"/>
            <w:hideMark/>
          </w:tcPr>
          <w:p w14:paraId="7A04B6A8" w14:textId="77777777" w:rsidR="00D13168" w:rsidRPr="00D13168" w:rsidRDefault="00D13168" w:rsidP="00D13168">
            <w:pPr>
              <w:spacing w:after="0" w:line="240" w:lineRule="auto"/>
              <w:jc w:val="center"/>
              <w:rPr>
                <w:rFonts w:ascii="Times New Roman" w:eastAsia="Times New Roman" w:hAnsi="Times New Roman" w:cs="Times New Roman"/>
                <w:color w:val="000000"/>
              </w:rPr>
            </w:pPr>
            <w:r w:rsidRPr="00D13168">
              <w:rPr>
                <w:rFonts w:ascii="Times New Roman" w:eastAsia="Times New Roman" w:hAnsi="Times New Roman" w:cs="Times New Roman"/>
                <w:color w:val="000000"/>
              </w:rPr>
              <w:t>13.5</w:t>
            </w:r>
          </w:p>
        </w:tc>
        <w:tc>
          <w:tcPr>
            <w:tcW w:w="820" w:type="dxa"/>
            <w:tcBorders>
              <w:top w:val="nil"/>
              <w:left w:val="nil"/>
              <w:bottom w:val="nil"/>
              <w:right w:val="nil"/>
            </w:tcBorders>
            <w:shd w:val="clear" w:color="000000" w:fill="E2EFDA"/>
            <w:noWrap/>
            <w:vAlign w:val="bottom"/>
            <w:hideMark/>
          </w:tcPr>
          <w:p w14:paraId="21E0459E" w14:textId="77777777" w:rsidR="00D13168" w:rsidRPr="00D13168" w:rsidRDefault="00D13168" w:rsidP="00D13168">
            <w:pPr>
              <w:spacing w:after="0" w:line="240" w:lineRule="auto"/>
              <w:jc w:val="center"/>
              <w:rPr>
                <w:rFonts w:ascii="Times New Roman" w:eastAsia="Times New Roman" w:hAnsi="Times New Roman" w:cs="Times New Roman"/>
                <w:color w:val="000000"/>
              </w:rPr>
            </w:pPr>
            <w:r w:rsidRPr="00D13168">
              <w:rPr>
                <w:rFonts w:ascii="Times New Roman" w:eastAsia="Times New Roman" w:hAnsi="Times New Roman" w:cs="Times New Roman"/>
                <w:color w:val="000000"/>
              </w:rPr>
              <w:t>10.14</w:t>
            </w:r>
          </w:p>
        </w:tc>
        <w:tc>
          <w:tcPr>
            <w:tcW w:w="820" w:type="dxa"/>
            <w:tcBorders>
              <w:top w:val="nil"/>
              <w:left w:val="nil"/>
              <w:bottom w:val="nil"/>
              <w:right w:val="nil"/>
            </w:tcBorders>
            <w:shd w:val="clear" w:color="auto" w:fill="auto"/>
            <w:noWrap/>
            <w:vAlign w:val="bottom"/>
            <w:hideMark/>
          </w:tcPr>
          <w:p w14:paraId="33DB782B" w14:textId="77777777" w:rsidR="00D13168" w:rsidRPr="00D13168" w:rsidRDefault="00D13168" w:rsidP="00D13168">
            <w:pPr>
              <w:spacing w:after="0" w:line="240" w:lineRule="auto"/>
              <w:jc w:val="center"/>
              <w:rPr>
                <w:rFonts w:ascii="Times New Roman" w:eastAsia="Times New Roman" w:hAnsi="Times New Roman" w:cs="Times New Roman"/>
                <w:color w:val="000000"/>
              </w:rPr>
            </w:pPr>
            <w:r w:rsidRPr="00D13168">
              <w:rPr>
                <w:rFonts w:ascii="Times New Roman" w:eastAsia="Times New Roman" w:hAnsi="Times New Roman" w:cs="Times New Roman"/>
                <w:color w:val="000000"/>
              </w:rPr>
              <w:t>--</w:t>
            </w:r>
          </w:p>
        </w:tc>
      </w:tr>
      <w:tr w:rsidR="00D13168" w:rsidRPr="00D13168" w14:paraId="14F63419" w14:textId="77777777" w:rsidTr="006C70D9">
        <w:trPr>
          <w:trHeight w:val="290"/>
          <w:jc w:val="center"/>
        </w:trPr>
        <w:tc>
          <w:tcPr>
            <w:tcW w:w="2651" w:type="dxa"/>
            <w:tcBorders>
              <w:top w:val="nil"/>
              <w:left w:val="nil"/>
              <w:bottom w:val="nil"/>
              <w:right w:val="nil"/>
            </w:tcBorders>
            <w:shd w:val="clear" w:color="auto" w:fill="auto"/>
            <w:noWrap/>
            <w:vAlign w:val="bottom"/>
            <w:hideMark/>
          </w:tcPr>
          <w:p w14:paraId="156E1491" w14:textId="77777777" w:rsidR="00D13168" w:rsidRPr="00D13168" w:rsidRDefault="00D13168" w:rsidP="00D13168">
            <w:pPr>
              <w:spacing w:after="0" w:line="240" w:lineRule="auto"/>
              <w:rPr>
                <w:rFonts w:ascii="Times New Roman" w:eastAsia="Times New Roman" w:hAnsi="Times New Roman" w:cs="Times New Roman"/>
                <w:color w:val="000000"/>
              </w:rPr>
            </w:pPr>
            <w:r w:rsidRPr="00D13168">
              <w:rPr>
                <w:rFonts w:ascii="Times New Roman" w:eastAsia="Times New Roman" w:hAnsi="Times New Roman" w:cs="Times New Roman"/>
                <w:color w:val="000000"/>
              </w:rPr>
              <w:t>Dollar volume [2]</w:t>
            </w:r>
          </w:p>
        </w:tc>
        <w:tc>
          <w:tcPr>
            <w:tcW w:w="1145" w:type="dxa"/>
            <w:tcBorders>
              <w:top w:val="nil"/>
              <w:left w:val="nil"/>
              <w:bottom w:val="nil"/>
              <w:right w:val="nil"/>
            </w:tcBorders>
            <w:shd w:val="clear" w:color="000000" w:fill="E2EFDA"/>
            <w:noWrap/>
            <w:vAlign w:val="bottom"/>
            <w:hideMark/>
          </w:tcPr>
          <w:p w14:paraId="3B17C602" w14:textId="77777777" w:rsidR="00D13168" w:rsidRPr="00D13168" w:rsidRDefault="00D13168" w:rsidP="00D13168">
            <w:pPr>
              <w:spacing w:after="0" w:line="240" w:lineRule="auto"/>
              <w:jc w:val="center"/>
              <w:rPr>
                <w:rFonts w:ascii="Times New Roman" w:eastAsia="Times New Roman" w:hAnsi="Times New Roman" w:cs="Times New Roman"/>
                <w:color w:val="000000"/>
              </w:rPr>
            </w:pPr>
            <w:r w:rsidRPr="00D13168">
              <w:rPr>
                <w:rFonts w:ascii="Times New Roman" w:eastAsia="Times New Roman" w:hAnsi="Times New Roman" w:cs="Times New Roman"/>
                <w:color w:val="000000"/>
              </w:rPr>
              <w:t>22.99</w:t>
            </w:r>
          </w:p>
        </w:tc>
        <w:tc>
          <w:tcPr>
            <w:tcW w:w="820" w:type="dxa"/>
            <w:tcBorders>
              <w:top w:val="nil"/>
              <w:left w:val="nil"/>
              <w:bottom w:val="nil"/>
              <w:right w:val="nil"/>
            </w:tcBorders>
            <w:shd w:val="clear" w:color="000000" w:fill="E2EFDA"/>
            <w:noWrap/>
            <w:vAlign w:val="bottom"/>
            <w:hideMark/>
          </w:tcPr>
          <w:p w14:paraId="1A141192" w14:textId="77777777" w:rsidR="00D13168" w:rsidRPr="00D13168" w:rsidRDefault="00D13168" w:rsidP="00D13168">
            <w:pPr>
              <w:spacing w:after="0" w:line="240" w:lineRule="auto"/>
              <w:jc w:val="center"/>
              <w:rPr>
                <w:rFonts w:ascii="Times New Roman" w:eastAsia="Times New Roman" w:hAnsi="Times New Roman" w:cs="Times New Roman"/>
                <w:color w:val="000000"/>
              </w:rPr>
            </w:pPr>
            <w:r w:rsidRPr="00D13168">
              <w:rPr>
                <w:rFonts w:ascii="Times New Roman" w:eastAsia="Times New Roman" w:hAnsi="Times New Roman" w:cs="Times New Roman"/>
                <w:color w:val="000000"/>
              </w:rPr>
              <w:t>20.02</w:t>
            </w:r>
          </w:p>
        </w:tc>
        <w:tc>
          <w:tcPr>
            <w:tcW w:w="820" w:type="dxa"/>
            <w:tcBorders>
              <w:top w:val="nil"/>
              <w:left w:val="nil"/>
              <w:bottom w:val="nil"/>
              <w:right w:val="nil"/>
            </w:tcBorders>
            <w:shd w:val="clear" w:color="auto" w:fill="auto"/>
            <w:noWrap/>
            <w:vAlign w:val="bottom"/>
            <w:hideMark/>
          </w:tcPr>
          <w:p w14:paraId="0EF2D586" w14:textId="77777777" w:rsidR="00D13168" w:rsidRPr="00D13168" w:rsidRDefault="00D13168" w:rsidP="00D13168">
            <w:pPr>
              <w:spacing w:after="0" w:line="240" w:lineRule="auto"/>
              <w:jc w:val="center"/>
              <w:rPr>
                <w:rFonts w:ascii="Times New Roman" w:eastAsia="Times New Roman" w:hAnsi="Times New Roman" w:cs="Times New Roman"/>
                <w:color w:val="000000"/>
              </w:rPr>
            </w:pPr>
            <w:r w:rsidRPr="00D13168">
              <w:rPr>
                <w:rFonts w:ascii="Times New Roman" w:eastAsia="Times New Roman" w:hAnsi="Times New Roman" w:cs="Times New Roman"/>
                <w:color w:val="000000"/>
              </w:rPr>
              <w:t>--</w:t>
            </w:r>
          </w:p>
        </w:tc>
      </w:tr>
      <w:tr w:rsidR="00D13168" w:rsidRPr="00D13168" w14:paraId="76FB9760" w14:textId="77777777" w:rsidTr="006C70D9">
        <w:trPr>
          <w:trHeight w:val="290"/>
          <w:jc w:val="center"/>
        </w:trPr>
        <w:tc>
          <w:tcPr>
            <w:tcW w:w="2651" w:type="dxa"/>
            <w:tcBorders>
              <w:top w:val="nil"/>
              <w:left w:val="nil"/>
              <w:bottom w:val="nil"/>
              <w:right w:val="nil"/>
            </w:tcBorders>
            <w:shd w:val="clear" w:color="auto" w:fill="auto"/>
            <w:noWrap/>
            <w:vAlign w:val="bottom"/>
            <w:hideMark/>
          </w:tcPr>
          <w:p w14:paraId="44396252" w14:textId="77777777" w:rsidR="00D13168" w:rsidRPr="00D13168" w:rsidRDefault="00D13168" w:rsidP="00D13168">
            <w:pPr>
              <w:spacing w:after="0" w:line="240" w:lineRule="auto"/>
              <w:jc w:val="center"/>
              <w:rPr>
                <w:rFonts w:ascii="Times New Roman" w:eastAsia="Times New Roman" w:hAnsi="Times New Roman" w:cs="Times New Roman"/>
                <w:color w:val="000000"/>
              </w:rPr>
            </w:pPr>
          </w:p>
        </w:tc>
        <w:tc>
          <w:tcPr>
            <w:tcW w:w="1145" w:type="dxa"/>
            <w:tcBorders>
              <w:top w:val="nil"/>
              <w:left w:val="nil"/>
              <w:bottom w:val="nil"/>
              <w:right w:val="nil"/>
            </w:tcBorders>
            <w:shd w:val="clear" w:color="auto" w:fill="auto"/>
            <w:noWrap/>
            <w:vAlign w:val="bottom"/>
            <w:hideMark/>
          </w:tcPr>
          <w:p w14:paraId="687DC951"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3CA106FC"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0895D43B" w14:textId="77777777" w:rsidR="00D13168" w:rsidRPr="00D13168" w:rsidRDefault="00D13168" w:rsidP="00D13168">
            <w:pPr>
              <w:spacing w:after="0" w:line="240" w:lineRule="auto"/>
              <w:rPr>
                <w:rFonts w:ascii="Times New Roman" w:eastAsia="Times New Roman" w:hAnsi="Times New Roman" w:cs="Times New Roman"/>
                <w:sz w:val="20"/>
                <w:szCs w:val="20"/>
              </w:rPr>
            </w:pPr>
          </w:p>
        </w:tc>
      </w:tr>
      <w:tr w:rsidR="00D13168" w:rsidRPr="00D13168" w14:paraId="7F193481" w14:textId="77777777" w:rsidTr="006C70D9">
        <w:trPr>
          <w:trHeight w:val="290"/>
          <w:jc w:val="center"/>
        </w:trPr>
        <w:tc>
          <w:tcPr>
            <w:tcW w:w="3796" w:type="dxa"/>
            <w:gridSpan w:val="2"/>
            <w:tcBorders>
              <w:top w:val="nil"/>
              <w:left w:val="nil"/>
              <w:bottom w:val="nil"/>
              <w:right w:val="nil"/>
            </w:tcBorders>
            <w:shd w:val="clear" w:color="auto" w:fill="auto"/>
            <w:noWrap/>
            <w:vAlign w:val="bottom"/>
            <w:hideMark/>
          </w:tcPr>
          <w:p w14:paraId="2CEB23B4" w14:textId="77777777" w:rsidR="00D13168" w:rsidRPr="00D13168" w:rsidRDefault="00D13168" w:rsidP="00D13168">
            <w:pPr>
              <w:spacing w:after="0" w:line="240" w:lineRule="auto"/>
              <w:rPr>
                <w:rFonts w:ascii="Calibri" w:eastAsia="Times New Roman" w:hAnsi="Calibri" w:cs="Calibri"/>
                <w:i/>
                <w:iCs/>
                <w:color w:val="000000"/>
                <w:u w:val="single"/>
              </w:rPr>
            </w:pPr>
            <w:r w:rsidRPr="00D13168">
              <w:rPr>
                <w:rFonts w:ascii="Calibri" w:eastAsia="Times New Roman" w:hAnsi="Calibri" w:cs="Calibri"/>
                <w:i/>
                <w:iCs/>
                <w:color w:val="000000"/>
                <w:u w:val="single"/>
              </w:rPr>
              <w:t>Regression Discontinuity Design</w:t>
            </w:r>
          </w:p>
        </w:tc>
        <w:tc>
          <w:tcPr>
            <w:tcW w:w="820" w:type="dxa"/>
            <w:tcBorders>
              <w:top w:val="nil"/>
              <w:left w:val="nil"/>
              <w:bottom w:val="nil"/>
              <w:right w:val="nil"/>
            </w:tcBorders>
            <w:shd w:val="clear" w:color="auto" w:fill="auto"/>
            <w:noWrap/>
            <w:vAlign w:val="bottom"/>
            <w:hideMark/>
          </w:tcPr>
          <w:p w14:paraId="53C58489" w14:textId="77777777" w:rsidR="00D13168" w:rsidRPr="00D13168" w:rsidRDefault="00D13168" w:rsidP="00D13168">
            <w:pPr>
              <w:spacing w:after="0" w:line="240" w:lineRule="auto"/>
              <w:rPr>
                <w:rFonts w:ascii="Calibri" w:eastAsia="Times New Roman" w:hAnsi="Calibri" w:cs="Calibri"/>
                <w:i/>
                <w:iCs/>
                <w:color w:val="000000"/>
                <w:u w:val="single"/>
              </w:rPr>
            </w:pPr>
          </w:p>
        </w:tc>
        <w:tc>
          <w:tcPr>
            <w:tcW w:w="820" w:type="dxa"/>
            <w:tcBorders>
              <w:top w:val="nil"/>
              <w:left w:val="nil"/>
              <w:bottom w:val="nil"/>
              <w:right w:val="nil"/>
            </w:tcBorders>
            <w:shd w:val="clear" w:color="auto" w:fill="auto"/>
            <w:noWrap/>
            <w:vAlign w:val="bottom"/>
            <w:hideMark/>
          </w:tcPr>
          <w:p w14:paraId="5B7A54EF" w14:textId="77777777" w:rsidR="00D13168" w:rsidRPr="00D13168" w:rsidRDefault="00D13168" w:rsidP="00D13168">
            <w:pPr>
              <w:spacing w:after="0" w:line="240" w:lineRule="auto"/>
              <w:rPr>
                <w:rFonts w:ascii="Times New Roman" w:eastAsia="Times New Roman" w:hAnsi="Times New Roman" w:cs="Times New Roman"/>
                <w:sz w:val="20"/>
                <w:szCs w:val="20"/>
              </w:rPr>
            </w:pPr>
          </w:p>
        </w:tc>
      </w:tr>
      <w:tr w:rsidR="00D13168" w:rsidRPr="00D13168" w14:paraId="76AB22E7" w14:textId="77777777" w:rsidTr="006C70D9">
        <w:trPr>
          <w:trHeight w:val="290"/>
          <w:jc w:val="center"/>
        </w:trPr>
        <w:tc>
          <w:tcPr>
            <w:tcW w:w="2651" w:type="dxa"/>
            <w:tcBorders>
              <w:top w:val="nil"/>
              <w:left w:val="nil"/>
              <w:bottom w:val="nil"/>
              <w:right w:val="nil"/>
            </w:tcBorders>
            <w:shd w:val="clear" w:color="auto" w:fill="auto"/>
            <w:noWrap/>
            <w:vAlign w:val="bottom"/>
            <w:hideMark/>
          </w:tcPr>
          <w:p w14:paraId="05003759" w14:textId="77777777" w:rsidR="00D13168" w:rsidRPr="00D13168" w:rsidRDefault="00D13168" w:rsidP="00D13168">
            <w:pPr>
              <w:spacing w:after="0" w:line="240" w:lineRule="auto"/>
              <w:rPr>
                <w:rFonts w:ascii="Times New Roman" w:eastAsia="Times New Roman" w:hAnsi="Times New Roman" w:cs="Times New Roman"/>
                <w:color w:val="000000"/>
              </w:rPr>
            </w:pPr>
            <w:r w:rsidRPr="00D13168">
              <w:rPr>
                <w:rFonts w:ascii="Times New Roman" w:eastAsia="Times New Roman" w:hAnsi="Times New Roman" w:cs="Times New Roman"/>
                <w:color w:val="000000"/>
              </w:rPr>
              <w:t>Bid-ask spread [1]</w:t>
            </w:r>
          </w:p>
        </w:tc>
        <w:tc>
          <w:tcPr>
            <w:tcW w:w="1145" w:type="dxa"/>
            <w:tcBorders>
              <w:top w:val="nil"/>
              <w:left w:val="nil"/>
              <w:bottom w:val="nil"/>
              <w:right w:val="nil"/>
            </w:tcBorders>
            <w:shd w:val="clear" w:color="000000" w:fill="E2EFDA"/>
            <w:noWrap/>
            <w:vAlign w:val="bottom"/>
            <w:hideMark/>
          </w:tcPr>
          <w:p w14:paraId="7457F5D2" w14:textId="77777777" w:rsidR="00D13168" w:rsidRPr="00D13168" w:rsidRDefault="00D13168" w:rsidP="00D13168">
            <w:pPr>
              <w:spacing w:after="0" w:line="240" w:lineRule="auto"/>
              <w:jc w:val="center"/>
              <w:rPr>
                <w:rFonts w:ascii="Times New Roman" w:eastAsia="Times New Roman" w:hAnsi="Times New Roman" w:cs="Times New Roman"/>
                <w:color w:val="000000"/>
              </w:rPr>
            </w:pPr>
            <w:r w:rsidRPr="00D13168">
              <w:rPr>
                <w:rFonts w:ascii="Times New Roman" w:eastAsia="Times New Roman" w:hAnsi="Times New Roman" w:cs="Times New Roman"/>
                <w:color w:val="000000"/>
              </w:rPr>
              <w:t>-9.18</w:t>
            </w:r>
          </w:p>
        </w:tc>
        <w:tc>
          <w:tcPr>
            <w:tcW w:w="820" w:type="dxa"/>
            <w:tcBorders>
              <w:top w:val="nil"/>
              <w:left w:val="nil"/>
              <w:bottom w:val="nil"/>
              <w:right w:val="nil"/>
            </w:tcBorders>
            <w:shd w:val="clear" w:color="000000" w:fill="E2EFDA"/>
            <w:noWrap/>
            <w:vAlign w:val="bottom"/>
            <w:hideMark/>
          </w:tcPr>
          <w:p w14:paraId="6D7E64BC" w14:textId="77777777" w:rsidR="00D13168" w:rsidRPr="00D13168" w:rsidRDefault="00D13168" w:rsidP="00D13168">
            <w:pPr>
              <w:spacing w:after="0" w:line="240" w:lineRule="auto"/>
              <w:jc w:val="center"/>
              <w:rPr>
                <w:rFonts w:ascii="Times New Roman" w:eastAsia="Times New Roman" w:hAnsi="Times New Roman" w:cs="Times New Roman"/>
                <w:color w:val="000000"/>
              </w:rPr>
            </w:pPr>
            <w:r w:rsidRPr="00D13168">
              <w:rPr>
                <w:rFonts w:ascii="Times New Roman" w:eastAsia="Times New Roman" w:hAnsi="Times New Roman" w:cs="Times New Roman"/>
                <w:color w:val="000000"/>
              </w:rPr>
              <w:t>-7.62</w:t>
            </w:r>
          </w:p>
        </w:tc>
        <w:tc>
          <w:tcPr>
            <w:tcW w:w="820" w:type="dxa"/>
            <w:tcBorders>
              <w:top w:val="nil"/>
              <w:left w:val="nil"/>
              <w:bottom w:val="nil"/>
              <w:right w:val="nil"/>
            </w:tcBorders>
            <w:shd w:val="clear" w:color="000000" w:fill="E2EFDA"/>
            <w:noWrap/>
            <w:vAlign w:val="bottom"/>
            <w:hideMark/>
          </w:tcPr>
          <w:p w14:paraId="24EB6C6C" w14:textId="77777777" w:rsidR="00D13168" w:rsidRPr="00D13168" w:rsidRDefault="00D13168" w:rsidP="00D13168">
            <w:pPr>
              <w:spacing w:after="0" w:line="240" w:lineRule="auto"/>
              <w:jc w:val="center"/>
              <w:rPr>
                <w:rFonts w:ascii="Times New Roman" w:eastAsia="Times New Roman" w:hAnsi="Times New Roman" w:cs="Times New Roman"/>
                <w:color w:val="000000"/>
              </w:rPr>
            </w:pPr>
            <w:r w:rsidRPr="00D13168">
              <w:rPr>
                <w:rFonts w:ascii="Times New Roman" w:eastAsia="Times New Roman" w:hAnsi="Times New Roman" w:cs="Times New Roman"/>
                <w:color w:val="000000"/>
              </w:rPr>
              <w:t>-14.86</w:t>
            </w:r>
          </w:p>
        </w:tc>
      </w:tr>
      <w:tr w:rsidR="00D13168" w:rsidRPr="00D13168" w14:paraId="57060E67" w14:textId="77777777" w:rsidTr="006C70D9">
        <w:trPr>
          <w:trHeight w:val="290"/>
          <w:jc w:val="center"/>
        </w:trPr>
        <w:tc>
          <w:tcPr>
            <w:tcW w:w="2651" w:type="dxa"/>
            <w:tcBorders>
              <w:top w:val="nil"/>
              <w:left w:val="nil"/>
              <w:bottom w:val="nil"/>
              <w:right w:val="nil"/>
            </w:tcBorders>
            <w:shd w:val="clear" w:color="auto" w:fill="auto"/>
            <w:noWrap/>
            <w:vAlign w:val="bottom"/>
            <w:hideMark/>
          </w:tcPr>
          <w:p w14:paraId="1E66F68D" w14:textId="77777777" w:rsidR="00D13168" w:rsidRPr="00D13168" w:rsidRDefault="00D13168" w:rsidP="00D13168">
            <w:pPr>
              <w:spacing w:after="0" w:line="240" w:lineRule="auto"/>
              <w:rPr>
                <w:rFonts w:ascii="Times New Roman" w:eastAsia="Times New Roman" w:hAnsi="Times New Roman" w:cs="Times New Roman"/>
                <w:color w:val="000000"/>
              </w:rPr>
            </w:pPr>
            <w:r w:rsidRPr="00D13168">
              <w:rPr>
                <w:rFonts w:ascii="Times New Roman" w:eastAsia="Times New Roman" w:hAnsi="Times New Roman" w:cs="Times New Roman"/>
                <w:color w:val="000000"/>
              </w:rPr>
              <w:t>Turnover [2]</w:t>
            </w:r>
          </w:p>
        </w:tc>
        <w:tc>
          <w:tcPr>
            <w:tcW w:w="1145" w:type="dxa"/>
            <w:tcBorders>
              <w:top w:val="nil"/>
              <w:left w:val="nil"/>
              <w:bottom w:val="nil"/>
              <w:right w:val="nil"/>
            </w:tcBorders>
            <w:shd w:val="clear" w:color="000000" w:fill="E2EFDA"/>
            <w:noWrap/>
            <w:vAlign w:val="bottom"/>
            <w:hideMark/>
          </w:tcPr>
          <w:p w14:paraId="6F0D31CC" w14:textId="77777777" w:rsidR="00D13168" w:rsidRPr="00D13168" w:rsidRDefault="00D13168" w:rsidP="00D13168">
            <w:pPr>
              <w:spacing w:after="0" w:line="240" w:lineRule="auto"/>
              <w:jc w:val="center"/>
              <w:rPr>
                <w:rFonts w:ascii="Times New Roman" w:eastAsia="Times New Roman" w:hAnsi="Times New Roman" w:cs="Times New Roman"/>
                <w:color w:val="000000"/>
              </w:rPr>
            </w:pPr>
            <w:r w:rsidRPr="00D13168">
              <w:rPr>
                <w:rFonts w:ascii="Times New Roman" w:eastAsia="Times New Roman" w:hAnsi="Times New Roman" w:cs="Times New Roman"/>
                <w:color w:val="000000"/>
              </w:rPr>
              <w:t>10.05</w:t>
            </w:r>
          </w:p>
        </w:tc>
        <w:tc>
          <w:tcPr>
            <w:tcW w:w="820" w:type="dxa"/>
            <w:tcBorders>
              <w:top w:val="nil"/>
              <w:left w:val="nil"/>
              <w:bottom w:val="nil"/>
              <w:right w:val="nil"/>
            </w:tcBorders>
            <w:shd w:val="clear" w:color="000000" w:fill="E2EFDA"/>
            <w:noWrap/>
            <w:vAlign w:val="bottom"/>
            <w:hideMark/>
          </w:tcPr>
          <w:p w14:paraId="683C5040" w14:textId="77777777" w:rsidR="00D13168" w:rsidRPr="00D13168" w:rsidRDefault="00D13168" w:rsidP="00D13168">
            <w:pPr>
              <w:spacing w:after="0" w:line="240" w:lineRule="auto"/>
              <w:jc w:val="center"/>
              <w:rPr>
                <w:rFonts w:ascii="Times New Roman" w:eastAsia="Times New Roman" w:hAnsi="Times New Roman" w:cs="Times New Roman"/>
                <w:color w:val="000000"/>
              </w:rPr>
            </w:pPr>
            <w:r w:rsidRPr="00D13168">
              <w:rPr>
                <w:rFonts w:ascii="Times New Roman" w:eastAsia="Times New Roman" w:hAnsi="Times New Roman" w:cs="Times New Roman"/>
                <w:color w:val="000000"/>
              </w:rPr>
              <w:t>7.34</w:t>
            </w:r>
          </w:p>
        </w:tc>
        <w:tc>
          <w:tcPr>
            <w:tcW w:w="820" w:type="dxa"/>
            <w:tcBorders>
              <w:top w:val="nil"/>
              <w:left w:val="nil"/>
              <w:bottom w:val="nil"/>
              <w:right w:val="nil"/>
            </w:tcBorders>
            <w:shd w:val="clear" w:color="auto" w:fill="auto"/>
            <w:noWrap/>
            <w:vAlign w:val="bottom"/>
            <w:hideMark/>
          </w:tcPr>
          <w:p w14:paraId="6CDF8BE0" w14:textId="77777777" w:rsidR="00D13168" w:rsidRPr="00D13168" w:rsidRDefault="00D13168" w:rsidP="00D13168">
            <w:pPr>
              <w:spacing w:after="0" w:line="240" w:lineRule="auto"/>
              <w:jc w:val="center"/>
              <w:rPr>
                <w:rFonts w:ascii="Times New Roman" w:eastAsia="Times New Roman" w:hAnsi="Times New Roman" w:cs="Times New Roman"/>
                <w:color w:val="000000"/>
              </w:rPr>
            </w:pPr>
            <w:r w:rsidRPr="00D13168">
              <w:rPr>
                <w:rFonts w:ascii="Times New Roman" w:eastAsia="Times New Roman" w:hAnsi="Times New Roman" w:cs="Times New Roman"/>
                <w:color w:val="000000"/>
              </w:rPr>
              <w:t>--</w:t>
            </w:r>
          </w:p>
        </w:tc>
      </w:tr>
      <w:tr w:rsidR="00D13168" w:rsidRPr="00D13168" w14:paraId="146A1879" w14:textId="77777777" w:rsidTr="006C70D9">
        <w:trPr>
          <w:trHeight w:val="290"/>
          <w:jc w:val="center"/>
        </w:trPr>
        <w:tc>
          <w:tcPr>
            <w:tcW w:w="2651" w:type="dxa"/>
            <w:tcBorders>
              <w:top w:val="nil"/>
              <w:left w:val="nil"/>
              <w:bottom w:val="nil"/>
              <w:right w:val="nil"/>
            </w:tcBorders>
            <w:shd w:val="clear" w:color="auto" w:fill="auto"/>
            <w:noWrap/>
            <w:vAlign w:val="bottom"/>
            <w:hideMark/>
          </w:tcPr>
          <w:p w14:paraId="1E637357" w14:textId="77777777" w:rsidR="00D13168" w:rsidRPr="00D13168" w:rsidRDefault="00D13168" w:rsidP="00D13168">
            <w:pPr>
              <w:spacing w:after="0" w:line="240" w:lineRule="auto"/>
              <w:rPr>
                <w:rFonts w:ascii="Times New Roman" w:eastAsia="Times New Roman" w:hAnsi="Times New Roman" w:cs="Times New Roman"/>
                <w:color w:val="000000"/>
              </w:rPr>
            </w:pPr>
            <w:r w:rsidRPr="00D13168">
              <w:rPr>
                <w:rFonts w:ascii="Times New Roman" w:eastAsia="Times New Roman" w:hAnsi="Times New Roman" w:cs="Times New Roman"/>
                <w:color w:val="000000"/>
              </w:rPr>
              <w:t>Dollar volume [2]</w:t>
            </w:r>
          </w:p>
        </w:tc>
        <w:tc>
          <w:tcPr>
            <w:tcW w:w="1145" w:type="dxa"/>
            <w:tcBorders>
              <w:top w:val="nil"/>
              <w:left w:val="nil"/>
              <w:bottom w:val="nil"/>
              <w:right w:val="nil"/>
            </w:tcBorders>
            <w:shd w:val="clear" w:color="000000" w:fill="E2EFDA"/>
            <w:noWrap/>
            <w:vAlign w:val="bottom"/>
            <w:hideMark/>
          </w:tcPr>
          <w:p w14:paraId="684C95FD" w14:textId="77777777" w:rsidR="00D13168" w:rsidRPr="00D13168" w:rsidRDefault="00D13168" w:rsidP="00D13168">
            <w:pPr>
              <w:spacing w:after="0" w:line="240" w:lineRule="auto"/>
              <w:jc w:val="center"/>
              <w:rPr>
                <w:rFonts w:ascii="Times New Roman" w:eastAsia="Times New Roman" w:hAnsi="Times New Roman" w:cs="Times New Roman"/>
                <w:color w:val="000000"/>
              </w:rPr>
            </w:pPr>
            <w:r w:rsidRPr="00D13168">
              <w:rPr>
                <w:rFonts w:ascii="Times New Roman" w:eastAsia="Times New Roman" w:hAnsi="Times New Roman" w:cs="Times New Roman"/>
                <w:color w:val="000000"/>
              </w:rPr>
              <w:t>24.5</w:t>
            </w:r>
          </w:p>
        </w:tc>
        <w:tc>
          <w:tcPr>
            <w:tcW w:w="820" w:type="dxa"/>
            <w:tcBorders>
              <w:top w:val="nil"/>
              <w:left w:val="nil"/>
              <w:bottom w:val="nil"/>
              <w:right w:val="nil"/>
            </w:tcBorders>
            <w:shd w:val="clear" w:color="000000" w:fill="E2EFDA"/>
            <w:noWrap/>
            <w:vAlign w:val="bottom"/>
            <w:hideMark/>
          </w:tcPr>
          <w:p w14:paraId="5D22EC64" w14:textId="77777777" w:rsidR="00D13168" w:rsidRPr="00D13168" w:rsidRDefault="00D13168" w:rsidP="00D13168">
            <w:pPr>
              <w:spacing w:after="0" w:line="240" w:lineRule="auto"/>
              <w:jc w:val="center"/>
              <w:rPr>
                <w:rFonts w:ascii="Times New Roman" w:eastAsia="Times New Roman" w:hAnsi="Times New Roman" w:cs="Times New Roman"/>
                <w:color w:val="000000"/>
              </w:rPr>
            </w:pPr>
            <w:r w:rsidRPr="00D13168">
              <w:rPr>
                <w:rFonts w:ascii="Times New Roman" w:eastAsia="Times New Roman" w:hAnsi="Times New Roman" w:cs="Times New Roman"/>
                <w:color w:val="000000"/>
              </w:rPr>
              <w:t>19.5</w:t>
            </w:r>
          </w:p>
        </w:tc>
        <w:tc>
          <w:tcPr>
            <w:tcW w:w="820" w:type="dxa"/>
            <w:tcBorders>
              <w:top w:val="nil"/>
              <w:left w:val="nil"/>
              <w:bottom w:val="nil"/>
              <w:right w:val="nil"/>
            </w:tcBorders>
            <w:shd w:val="clear" w:color="auto" w:fill="auto"/>
            <w:noWrap/>
            <w:vAlign w:val="bottom"/>
            <w:hideMark/>
          </w:tcPr>
          <w:p w14:paraId="1FD39E3C" w14:textId="77777777" w:rsidR="00D13168" w:rsidRPr="00D13168" w:rsidRDefault="00D13168" w:rsidP="00D13168">
            <w:pPr>
              <w:spacing w:after="0" w:line="240" w:lineRule="auto"/>
              <w:jc w:val="center"/>
              <w:rPr>
                <w:rFonts w:ascii="Times New Roman" w:eastAsia="Times New Roman" w:hAnsi="Times New Roman" w:cs="Times New Roman"/>
                <w:color w:val="000000"/>
              </w:rPr>
            </w:pPr>
            <w:r w:rsidRPr="00D13168">
              <w:rPr>
                <w:rFonts w:ascii="Times New Roman" w:eastAsia="Times New Roman" w:hAnsi="Times New Roman" w:cs="Times New Roman"/>
                <w:color w:val="000000"/>
              </w:rPr>
              <w:t>--</w:t>
            </w:r>
          </w:p>
        </w:tc>
      </w:tr>
      <w:tr w:rsidR="00D13168" w:rsidRPr="00D13168" w14:paraId="4AA31750" w14:textId="77777777" w:rsidTr="006C70D9">
        <w:trPr>
          <w:trHeight w:val="290"/>
          <w:jc w:val="center"/>
        </w:trPr>
        <w:tc>
          <w:tcPr>
            <w:tcW w:w="2651" w:type="dxa"/>
            <w:tcBorders>
              <w:top w:val="nil"/>
              <w:left w:val="nil"/>
              <w:bottom w:val="nil"/>
              <w:right w:val="nil"/>
            </w:tcBorders>
            <w:shd w:val="clear" w:color="auto" w:fill="auto"/>
            <w:noWrap/>
            <w:vAlign w:val="bottom"/>
            <w:hideMark/>
          </w:tcPr>
          <w:p w14:paraId="4539A808" w14:textId="77777777" w:rsidR="00D13168" w:rsidRPr="00D13168" w:rsidRDefault="00D13168" w:rsidP="00D13168">
            <w:pPr>
              <w:spacing w:after="0" w:line="240" w:lineRule="auto"/>
              <w:jc w:val="center"/>
              <w:rPr>
                <w:rFonts w:ascii="Times New Roman" w:eastAsia="Times New Roman" w:hAnsi="Times New Roman" w:cs="Times New Roman"/>
                <w:color w:val="000000"/>
              </w:rPr>
            </w:pPr>
          </w:p>
        </w:tc>
        <w:tc>
          <w:tcPr>
            <w:tcW w:w="1145" w:type="dxa"/>
            <w:tcBorders>
              <w:top w:val="nil"/>
              <w:left w:val="nil"/>
              <w:bottom w:val="nil"/>
              <w:right w:val="nil"/>
            </w:tcBorders>
            <w:shd w:val="clear" w:color="auto" w:fill="auto"/>
            <w:noWrap/>
            <w:vAlign w:val="bottom"/>
            <w:hideMark/>
          </w:tcPr>
          <w:p w14:paraId="4FF01F16"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49E56336"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001BEEC1" w14:textId="77777777" w:rsidR="00D13168" w:rsidRPr="00D13168" w:rsidRDefault="00D13168" w:rsidP="00D13168">
            <w:pPr>
              <w:spacing w:after="0" w:line="240" w:lineRule="auto"/>
              <w:rPr>
                <w:rFonts w:ascii="Times New Roman" w:eastAsia="Times New Roman" w:hAnsi="Times New Roman" w:cs="Times New Roman"/>
                <w:sz w:val="20"/>
                <w:szCs w:val="20"/>
              </w:rPr>
            </w:pPr>
          </w:p>
        </w:tc>
      </w:tr>
      <w:tr w:rsidR="00D13168" w:rsidRPr="00D13168" w14:paraId="433A8365" w14:textId="77777777" w:rsidTr="006C70D9">
        <w:trPr>
          <w:trHeight w:val="290"/>
          <w:jc w:val="center"/>
        </w:trPr>
        <w:tc>
          <w:tcPr>
            <w:tcW w:w="2651" w:type="dxa"/>
            <w:tcBorders>
              <w:top w:val="nil"/>
              <w:left w:val="nil"/>
              <w:bottom w:val="nil"/>
              <w:right w:val="nil"/>
            </w:tcBorders>
            <w:shd w:val="clear" w:color="auto" w:fill="auto"/>
            <w:noWrap/>
            <w:vAlign w:val="bottom"/>
            <w:hideMark/>
          </w:tcPr>
          <w:p w14:paraId="6DC2308D" w14:textId="53A958CB" w:rsidR="00D13168" w:rsidRPr="00D13168" w:rsidRDefault="00D13168" w:rsidP="00D13168">
            <w:pPr>
              <w:spacing w:after="0" w:line="240" w:lineRule="auto"/>
              <w:rPr>
                <w:rFonts w:ascii="Calibri" w:eastAsia="Times New Roman" w:hAnsi="Calibri" w:cs="Calibri"/>
                <w:color w:val="000000"/>
              </w:rPr>
            </w:pPr>
            <w:r w:rsidRPr="00D13168">
              <w:rPr>
                <w:rFonts w:ascii="Calibri" w:eastAsia="Times New Roman" w:hAnsi="Calibri" w:cs="Calibri"/>
                <w:noProof/>
                <w:color w:val="000000"/>
              </w:rPr>
              <mc:AlternateContent>
                <mc:Choice Requires="wps">
                  <w:drawing>
                    <wp:anchor distT="0" distB="0" distL="114300" distR="114300" simplePos="0" relativeHeight="251667456" behindDoc="0" locked="0" layoutInCell="1" allowOverlap="1" wp14:anchorId="4461CA4D" wp14:editId="484C303E">
                      <wp:simplePos x="0" y="0"/>
                      <wp:positionH relativeFrom="column">
                        <wp:posOffset>21590</wp:posOffset>
                      </wp:positionH>
                      <wp:positionV relativeFrom="paragraph">
                        <wp:posOffset>31750</wp:posOffset>
                      </wp:positionV>
                      <wp:extent cx="3437255" cy="1475105"/>
                      <wp:effectExtent l="0" t="0" r="10795" b="10795"/>
                      <wp:wrapNone/>
                      <wp:docPr id="9" name="Text Box 9">
                        <a:extLst xmlns:a="http://schemas.openxmlformats.org/drawingml/2006/main">
                          <a:ext uri="{FF2B5EF4-FFF2-40B4-BE49-F238E27FC236}">
                            <a16:creationId xmlns:a16="http://schemas.microsoft.com/office/drawing/2014/main" id="{4300C9AE-6D2F-4572-98B7-FABDE4ABD18F}"/>
                          </a:ext>
                        </a:extLst>
                      </wp:docPr>
                      <wp:cNvGraphicFramePr/>
                      <a:graphic xmlns:a="http://schemas.openxmlformats.org/drawingml/2006/main">
                        <a:graphicData uri="http://schemas.microsoft.com/office/word/2010/wordprocessingShape">
                          <wps:wsp>
                            <wps:cNvSpPr txBox="1"/>
                            <wps:spPr>
                              <a:xfrm>
                                <a:off x="0" y="0"/>
                                <a:ext cx="3437255" cy="147510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7AE6162C" w14:textId="77777777" w:rsidR="00D13168" w:rsidRDefault="00D13168" w:rsidP="00D13168">
                                  <w:pPr>
                                    <w:rPr>
                                      <w:color w:val="000000" w:themeColor="dark1"/>
                                      <w:sz w:val="16"/>
                                      <w:szCs w:val="16"/>
                                    </w:rPr>
                                  </w:pPr>
                                  <w:r>
                                    <w:rPr>
                                      <w:color w:val="000000" w:themeColor="dark1"/>
                                      <w:sz w:val="16"/>
                                      <w:szCs w:val="16"/>
                                    </w:rPr>
                                    <w:t>Note: Green-highlighted entries are statistics that agree with the authors’ results. Yellow-highlighted entries are non-statistically significant in contrast to the author’s findings and predictions. Red-highlighted entries are statistically significant but in the opposite direction of the author’s findings and predictions.</w:t>
                                  </w:r>
                                </w:p>
                                <w:p w14:paraId="67ED8001" w14:textId="77777777" w:rsidR="00D13168" w:rsidRDefault="00D13168" w:rsidP="00D13168">
                                  <w:pPr>
                                    <w:rPr>
                                      <w:color w:val="000000" w:themeColor="dark1"/>
                                      <w:sz w:val="16"/>
                                      <w:szCs w:val="16"/>
                                    </w:rPr>
                                  </w:pPr>
                                  <w:r>
                                    <w:rPr>
                                      <w:color w:val="000000" w:themeColor="dark1"/>
                                      <w:sz w:val="16"/>
                                      <w:szCs w:val="16"/>
                                    </w:rPr>
                                    <w:t>[1</w:t>
                                  </w:r>
                                  <w:proofErr w:type="gramStart"/>
                                  <w:r>
                                    <w:rPr>
                                      <w:color w:val="000000" w:themeColor="dark1"/>
                                      <w:sz w:val="16"/>
                                      <w:szCs w:val="16"/>
                                    </w:rPr>
                                    <w:t>]  Bid</w:t>
                                  </w:r>
                                  <w:proofErr w:type="gramEnd"/>
                                  <w:r>
                                    <w:rPr>
                                      <w:color w:val="000000" w:themeColor="dark1"/>
                                      <w:sz w:val="16"/>
                                      <w:szCs w:val="16"/>
                                    </w:rPr>
                                    <w:t>-ask spread is calculated as the concurrent bid-ask spread. Alternatively, the 11-month average is calculated. Additionally, the bid-ask spread in cents without price normalization is calculated.</w:t>
                                  </w:r>
                                </w:p>
                                <w:p w14:paraId="1D54A778" w14:textId="77777777" w:rsidR="00D13168" w:rsidRDefault="00D13168" w:rsidP="00D13168">
                                  <w:pPr>
                                    <w:rPr>
                                      <w:color w:val="000000" w:themeColor="dark1"/>
                                      <w:sz w:val="16"/>
                                      <w:szCs w:val="16"/>
                                    </w:rPr>
                                  </w:pPr>
                                  <w:r>
                                    <w:rPr>
                                      <w:color w:val="000000" w:themeColor="dark1"/>
                                      <w:sz w:val="16"/>
                                      <w:szCs w:val="16"/>
                                    </w:rPr>
                                    <w:t>[2</w:t>
                                  </w:r>
                                  <w:proofErr w:type="gramStart"/>
                                  <w:r>
                                    <w:rPr>
                                      <w:color w:val="000000" w:themeColor="dark1"/>
                                      <w:sz w:val="16"/>
                                      <w:szCs w:val="16"/>
                                    </w:rPr>
                                    <w:t>]  Turnover</w:t>
                                  </w:r>
                                  <w:proofErr w:type="gramEnd"/>
                                  <w:r>
                                    <w:rPr>
                                      <w:color w:val="000000" w:themeColor="dark1"/>
                                      <w:sz w:val="16"/>
                                      <w:szCs w:val="16"/>
                                    </w:rPr>
                                    <w:t xml:space="preserve"> and dollar volume are calculated originally as the 11-month average of turnover and dollar volume. Alternatively, they are made concurrent.</w:t>
                                  </w:r>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4461CA4D" id="Text Box 9" o:spid="_x0000_s1027" type="#_x0000_t202" style="position:absolute;margin-left:1.7pt;margin-top:2.5pt;width:270.65pt;height:11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" filled="f" stroked="f">
                      <v:textbox inset="0,0,0,0">
                        <w:txbxContent>
                          <w:p w14:paraId="7AE6162C" w14:textId="77777777" w:rsidR="00D13168" w:rsidRDefault="00D13168" w:rsidP="00D13168">
                            <w:pPr>
                              <w:rPr>
                                <w:color w:val="000000" w:themeColor="dark1"/>
                                <w:sz w:val="16"/>
                                <w:szCs w:val="16"/>
                              </w:rPr>
                            </w:pPr>
                            <w:r>
                              <w:rPr>
                                <w:color w:val="000000" w:themeColor="dark1"/>
                                <w:sz w:val="16"/>
                                <w:szCs w:val="16"/>
                              </w:rPr>
                              <w:t>Note: Green-highlighted entries are statistics that agree with the authors’ results. Yellow-highlighted entries are non-statistically significant in contrast to the author’s findings and predictions. Red-highlighted entries are statistically significant but in the opposite direction of the author’s findings and predictions.</w:t>
                            </w:r>
                          </w:p>
                          <w:p w14:paraId="67ED8001" w14:textId="77777777" w:rsidR="00D13168" w:rsidRDefault="00D13168" w:rsidP="00D13168">
                            <w:pPr>
                              <w:rPr>
                                <w:color w:val="000000" w:themeColor="dark1"/>
                                <w:sz w:val="16"/>
                                <w:szCs w:val="16"/>
                              </w:rPr>
                            </w:pPr>
                            <w:r>
                              <w:rPr>
                                <w:color w:val="000000" w:themeColor="dark1"/>
                                <w:sz w:val="16"/>
                                <w:szCs w:val="16"/>
                              </w:rPr>
                              <w:t>[1</w:t>
                            </w:r>
                            <w:proofErr w:type="gramStart"/>
                            <w:r>
                              <w:rPr>
                                <w:color w:val="000000" w:themeColor="dark1"/>
                                <w:sz w:val="16"/>
                                <w:szCs w:val="16"/>
                              </w:rPr>
                              <w:t>]  Bid</w:t>
                            </w:r>
                            <w:proofErr w:type="gramEnd"/>
                            <w:r>
                              <w:rPr>
                                <w:color w:val="000000" w:themeColor="dark1"/>
                                <w:sz w:val="16"/>
                                <w:szCs w:val="16"/>
                              </w:rPr>
                              <w:t>-ask spread is calculated as the concurrent bid-ask spread. Alternatively, the 11-month average is calculated. Additionally, the bid-ask spread in cents without price normalization is calculated.</w:t>
                            </w:r>
                          </w:p>
                          <w:p w14:paraId="1D54A778" w14:textId="77777777" w:rsidR="00D13168" w:rsidRDefault="00D13168" w:rsidP="00D13168">
                            <w:pPr>
                              <w:rPr>
                                <w:color w:val="000000" w:themeColor="dark1"/>
                                <w:sz w:val="16"/>
                                <w:szCs w:val="16"/>
                              </w:rPr>
                            </w:pPr>
                            <w:r>
                              <w:rPr>
                                <w:color w:val="000000" w:themeColor="dark1"/>
                                <w:sz w:val="16"/>
                                <w:szCs w:val="16"/>
                              </w:rPr>
                              <w:t>[2</w:t>
                            </w:r>
                            <w:proofErr w:type="gramStart"/>
                            <w:r>
                              <w:rPr>
                                <w:color w:val="000000" w:themeColor="dark1"/>
                                <w:sz w:val="16"/>
                                <w:szCs w:val="16"/>
                              </w:rPr>
                              <w:t>]  Turnover</w:t>
                            </w:r>
                            <w:proofErr w:type="gramEnd"/>
                            <w:r>
                              <w:rPr>
                                <w:color w:val="000000" w:themeColor="dark1"/>
                                <w:sz w:val="16"/>
                                <w:szCs w:val="16"/>
                              </w:rPr>
                              <w:t xml:space="preserve"> and dollar volume are calculated originally as the 11-month average of turnover and dollar volume. Alternatively, they are made concurrent.</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840"/>
            </w:tblGrid>
            <w:tr w:rsidR="00D13168" w:rsidRPr="00D13168" w14:paraId="61B2BB61" w14:textId="77777777">
              <w:trPr>
                <w:trHeight w:val="290"/>
                <w:tblCellSpacing w:w="0" w:type="dxa"/>
              </w:trPr>
              <w:tc>
                <w:tcPr>
                  <w:tcW w:w="1840" w:type="dxa"/>
                  <w:tcBorders>
                    <w:top w:val="nil"/>
                    <w:left w:val="nil"/>
                    <w:bottom w:val="nil"/>
                    <w:right w:val="nil"/>
                  </w:tcBorders>
                  <w:shd w:val="clear" w:color="auto" w:fill="auto"/>
                  <w:noWrap/>
                  <w:vAlign w:val="bottom"/>
                  <w:hideMark/>
                </w:tcPr>
                <w:p w14:paraId="4DCD8D4E" w14:textId="77777777" w:rsidR="00D13168" w:rsidRPr="00D13168" w:rsidRDefault="00D13168" w:rsidP="00D13168">
                  <w:pPr>
                    <w:spacing w:after="0" w:line="240" w:lineRule="auto"/>
                    <w:rPr>
                      <w:rFonts w:ascii="Calibri" w:eastAsia="Times New Roman" w:hAnsi="Calibri" w:cs="Calibri"/>
                      <w:color w:val="000000"/>
                    </w:rPr>
                  </w:pPr>
                </w:p>
              </w:tc>
            </w:tr>
          </w:tbl>
          <w:p w14:paraId="20CB7479" w14:textId="77777777" w:rsidR="00D13168" w:rsidRPr="00D13168" w:rsidRDefault="00D13168" w:rsidP="00D13168">
            <w:pPr>
              <w:spacing w:after="0" w:line="240" w:lineRule="auto"/>
              <w:rPr>
                <w:rFonts w:ascii="Calibri" w:eastAsia="Times New Roman" w:hAnsi="Calibri" w:cs="Calibri"/>
                <w:color w:val="000000"/>
              </w:rPr>
            </w:pPr>
          </w:p>
        </w:tc>
        <w:tc>
          <w:tcPr>
            <w:tcW w:w="1145" w:type="dxa"/>
            <w:tcBorders>
              <w:top w:val="nil"/>
              <w:left w:val="nil"/>
              <w:bottom w:val="nil"/>
              <w:right w:val="nil"/>
            </w:tcBorders>
            <w:shd w:val="clear" w:color="auto" w:fill="auto"/>
            <w:noWrap/>
            <w:vAlign w:val="bottom"/>
            <w:hideMark/>
          </w:tcPr>
          <w:p w14:paraId="383FFF94"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0A3C9E65"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5295430F" w14:textId="77777777" w:rsidR="00D13168" w:rsidRPr="00D13168" w:rsidRDefault="00D13168" w:rsidP="00D13168">
            <w:pPr>
              <w:spacing w:after="0" w:line="240" w:lineRule="auto"/>
              <w:rPr>
                <w:rFonts w:ascii="Times New Roman" w:eastAsia="Times New Roman" w:hAnsi="Times New Roman" w:cs="Times New Roman"/>
                <w:sz w:val="20"/>
                <w:szCs w:val="20"/>
              </w:rPr>
            </w:pPr>
          </w:p>
        </w:tc>
      </w:tr>
      <w:tr w:rsidR="00D13168" w:rsidRPr="00D13168" w14:paraId="3F14E6A8" w14:textId="77777777" w:rsidTr="006C70D9">
        <w:trPr>
          <w:trHeight w:val="290"/>
          <w:jc w:val="center"/>
        </w:trPr>
        <w:tc>
          <w:tcPr>
            <w:tcW w:w="2651" w:type="dxa"/>
            <w:tcBorders>
              <w:top w:val="nil"/>
              <w:left w:val="nil"/>
              <w:bottom w:val="nil"/>
              <w:right w:val="nil"/>
            </w:tcBorders>
            <w:shd w:val="clear" w:color="auto" w:fill="auto"/>
            <w:noWrap/>
            <w:vAlign w:val="bottom"/>
            <w:hideMark/>
          </w:tcPr>
          <w:p w14:paraId="36CF9794"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1145" w:type="dxa"/>
            <w:tcBorders>
              <w:top w:val="nil"/>
              <w:left w:val="nil"/>
              <w:bottom w:val="nil"/>
              <w:right w:val="nil"/>
            </w:tcBorders>
            <w:shd w:val="clear" w:color="auto" w:fill="auto"/>
            <w:noWrap/>
            <w:vAlign w:val="bottom"/>
            <w:hideMark/>
          </w:tcPr>
          <w:p w14:paraId="54F6D318"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1C0D20C1"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3EAE4835" w14:textId="77777777" w:rsidR="00D13168" w:rsidRPr="00D13168" w:rsidRDefault="00D13168" w:rsidP="00D13168">
            <w:pPr>
              <w:spacing w:after="0" w:line="240" w:lineRule="auto"/>
              <w:rPr>
                <w:rFonts w:ascii="Times New Roman" w:eastAsia="Times New Roman" w:hAnsi="Times New Roman" w:cs="Times New Roman"/>
                <w:sz w:val="20"/>
                <w:szCs w:val="20"/>
              </w:rPr>
            </w:pPr>
          </w:p>
        </w:tc>
      </w:tr>
      <w:tr w:rsidR="00D13168" w:rsidRPr="00D13168" w14:paraId="06473FC2" w14:textId="77777777" w:rsidTr="006C70D9">
        <w:trPr>
          <w:trHeight w:val="290"/>
          <w:jc w:val="center"/>
        </w:trPr>
        <w:tc>
          <w:tcPr>
            <w:tcW w:w="2651" w:type="dxa"/>
            <w:tcBorders>
              <w:top w:val="nil"/>
              <w:left w:val="nil"/>
              <w:bottom w:val="nil"/>
              <w:right w:val="nil"/>
            </w:tcBorders>
            <w:shd w:val="clear" w:color="auto" w:fill="auto"/>
            <w:noWrap/>
            <w:vAlign w:val="bottom"/>
            <w:hideMark/>
          </w:tcPr>
          <w:p w14:paraId="1FE186DC"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1145" w:type="dxa"/>
            <w:tcBorders>
              <w:top w:val="nil"/>
              <w:left w:val="nil"/>
              <w:bottom w:val="nil"/>
              <w:right w:val="nil"/>
            </w:tcBorders>
            <w:shd w:val="clear" w:color="auto" w:fill="auto"/>
            <w:noWrap/>
            <w:vAlign w:val="bottom"/>
            <w:hideMark/>
          </w:tcPr>
          <w:p w14:paraId="29FF78DF"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48CCB969"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70F1C609" w14:textId="77777777" w:rsidR="00D13168" w:rsidRPr="00D13168" w:rsidRDefault="00D13168" w:rsidP="00D13168">
            <w:pPr>
              <w:spacing w:after="0" w:line="240" w:lineRule="auto"/>
              <w:rPr>
                <w:rFonts w:ascii="Times New Roman" w:eastAsia="Times New Roman" w:hAnsi="Times New Roman" w:cs="Times New Roman"/>
                <w:sz w:val="20"/>
                <w:szCs w:val="20"/>
              </w:rPr>
            </w:pPr>
          </w:p>
        </w:tc>
      </w:tr>
      <w:tr w:rsidR="00D13168" w:rsidRPr="00D13168" w14:paraId="0E7BE472" w14:textId="77777777" w:rsidTr="006C70D9">
        <w:trPr>
          <w:trHeight w:val="290"/>
          <w:jc w:val="center"/>
        </w:trPr>
        <w:tc>
          <w:tcPr>
            <w:tcW w:w="2651" w:type="dxa"/>
            <w:tcBorders>
              <w:top w:val="nil"/>
              <w:left w:val="nil"/>
              <w:bottom w:val="nil"/>
              <w:right w:val="nil"/>
            </w:tcBorders>
            <w:shd w:val="clear" w:color="auto" w:fill="auto"/>
            <w:noWrap/>
            <w:vAlign w:val="bottom"/>
            <w:hideMark/>
          </w:tcPr>
          <w:p w14:paraId="7665ABF2"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1145" w:type="dxa"/>
            <w:tcBorders>
              <w:top w:val="nil"/>
              <w:left w:val="nil"/>
              <w:bottom w:val="nil"/>
              <w:right w:val="nil"/>
            </w:tcBorders>
            <w:shd w:val="clear" w:color="auto" w:fill="auto"/>
            <w:noWrap/>
            <w:vAlign w:val="bottom"/>
            <w:hideMark/>
          </w:tcPr>
          <w:p w14:paraId="35826524"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666EE43A"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47367038" w14:textId="77777777" w:rsidR="00D13168" w:rsidRPr="00D13168" w:rsidRDefault="00D13168" w:rsidP="00D13168">
            <w:pPr>
              <w:spacing w:after="0" w:line="240" w:lineRule="auto"/>
              <w:rPr>
                <w:rFonts w:ascii="Times New Roman" w:eastAsia="Times New Roman" w:hAnsi="Times New Roman" w:cs="Times New Roman"/>
                <w:sz w:val="20"/>
                <w:szCs w:val="20"/>
              </w:rPr>
            </w:pPr>
          </w:p>
        </w:tc>
      </w:tr>
      <w:tr w:rsidR="00D13168" w:rsidRPr="00D13168" w14:paraId="580600AE" w14:textId="77777777" w:rsidTr="006C70D9">
        <w:trPr>
          <w:trHeight w:val="290"/>
          <w:jc w:val="center"/>
        </w:trPr>
        <w:tc>
          <w:tcPr>
            <w:tcW w:w="2651" w:type="dxa"/>
            <w:tcBorders>
              <w:top w:val="nil"/>
              <w:left w:val="nil"/>
              <w:bottom w:val="nil"/>
              <w:right w:val="nil"/>
            </w:tcBorders>
            <w:shd w:val="clear" w:color="auto" w:fill="auto"/>
            <w:noWrap/>
            <w:vAlign w:val="bottom"/>
            <w:hideMark/>
          </w:tcPr>
          <w:p w14:paraId="41F7A38F"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1145" w:type="dxa"/>
            <w:tcBorders>
              <w:top w:val="nil"/>
              <w:left w:val="nil"/>
              <w:bottom w:val="nil"/>
              <w:right w:val="nil"/>
            </w:tcBorders>
            <w:shd w:val="clear" w:color="auto" w:fill="auto"/>
            <w:noWrap/>
            <w:vAlign w:val="bottom"/>
            <w:hideMark/>
          </w:tcPr>
          <w:p w14:paraId="544A7CFD"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48A9E029"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38094E1A" w14:textId="77777777" w:rsidR="00D13168" w:rsidRPr="00D13168" w:rsidRDefault="00D13168" w:rsidP="00D13168">
            <w:pPr>
              <w:spacing w:after="0" w:line="240" w:lineRule="auto"/>
              <w:rPr>
                <w:rFonts w:ascii="Times New Roman" w:eastAsia="Times New Roman" w:hAnsi="Times New Roman" w:cs="Times New Roman"/>
                <w:sz w:val="20"/>
                <w:szCs w:val="20"/>
              </w:rPr>
            </w:pPr>
          </w:p>
        </w:tc>
      </w:tr>
      <w:tr w:rsidR="00D13168" w:rsidRPr="00D13168" w14:paraId="69F03A18" w14:textId="77777777" w:rsidTr="006C70D9">
        <w:trPr>
          <w:trHeight w:val="290"/>
          <w:jc w:val="center"/>
        </w:trPr>
        <w:tc>
          <w:tcPr>
            <w:tcW w:w="2651" w:type="dxa"/>
            <w:tcBorders>
              <w:top w:val="nil"/>
              <w:left w:val="nil"/>
              <w:bottom w:val="nil"/>
              <w:right w:val="nil"/>
            </w:tcBorders>
            <w:shd w:val="clear" w:color="auto" w:fill="auto"/>
            <w:noWrap/>
            <w:vAlign w:val="bottom"/>
            <w:hideMark/>
          </w:tcPr>
          <w:p w14:paraId="7954E6C1"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1145" w:type="dxa"/>
            <w:tcBorders>
              <w:top w:val="nil"/>
              <w:left w:val="nil"/>
              <w:bottom w:val="nil"/>
              <w:right w:val="nil"/>
            </w:tcBorders>
            <w:shd w:val="clear" w:color="auto" w:fill="auto"/>
            <w:noWrap/>
            <w:vAlign w:val="bottom"/>
            <w:hideMark/>
          </w:tcPr>
          <w:p w14:paraId="49256842"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3B1D866A"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76BA738F" w14:textId="77777777" w:rsidR="00D13168" w:rsidRPr="00D13168" w:rsidRDefault="00D13168" w:rsidP="00D13168">
            <w:pPr>
              <w:spacing w:after="0" w:line="240" w:lineRule="auto"/>
              <w:rPr>
                <w:rFonts w:ascii="Times New Roman" w:eastAsia="Times New Roman" w:hAnsi="Times New Roman" w:cs="Times New Roman"/>
                <w:sz w:val="20"/>
                <w:szCs w:val="20"/>
              </w:rPr>
            </w:pPr>
          </w:p>
        </w:tc>
      </w:tr>
      <w:tr w:rsidR="00D13168" w:rsidRPr="00D13168" w14:paraId="1045E575" w14:textId="77777777" w:rsidTr="006C70D9">
        <w:trPr>
          <w:trHeight w:val="290"/>
          <w:jc w:val="center"/>
        </w:trPr>
        <w:tc>
          <w:tcPr>
            <w:tcW w:w="2651" w:type="dxa"/>
            <w:tcBorders>
              <w:top w:val="nil"/>
              <w:left w:val="nil"/>
              <w:bottom w:val="nil"/>
              <w:right w:val="nil"/>
            </w:tcBorders>
            <w:shd w:val="clear" w:color="auto" w:fill="auto"/>
            <w:noWrap/>
            <w:vAlign w:val="bottom"/>
            <w:hideMark/>
          </w:tcPr>
          <w:p w14:paraId="3FF1A261"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1145" w:type="dxa"/>
            <w:tcBorders>
              <w:top w:val="nil"/>
              <w:left w:val="nil"/>
              <w:bottom w:val="nil"/>
              <w:right w:val="nil"/>
            </w:tcBorders>
            <w:shd w:val="clear" w:color="auto" w:fill="auto"/>
            <w:noWrap/>
            <w:vAlign w:val="bottom"/>
            <w:hideMark/>
          </w:tcPr>
          <w:p w14:paraId="33EF4027"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7C7CD4A2"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5BF63B18" w14:textId="77777777" w:rsidR="00D13168" w:rsidRPr="00D13168" w:rsidRDefault="00D13168" w:rsidP="00D13168">
            <w:pPr>
              <w:spacing w:after="0" w:line="240" w:lineRule="auto"/>
              <w:rPr>
                <w:rFonts w:ascii="Times New Roman" w:eastAsia="Times New Roman" w:hAnsi="Times New Roman" w:cs="Times New Roman"/>
                <w:sz w:val="20"/>
                <w:szCs w:val="20"/>
              </w:rPr>
            </w:pPr>
          </w:p>
        </w:tc>
      </w:tr>
      <w:tr w:rsidR="00D13168" w:rsidRPr="00D13168" w14:paraId="12AA6188" w14:textId="77777777" w:rsidTr="006C70D9">
        <w:trPr>
          <w:trHeight w:val="290"/>
          <w:jc w:val="center"/>
        </w:trPr>
        <w:tc>
          <w:tcPr>
            <w:tcW w:w="2651" w:type="dxa"/>
            <w:tcBorders>
              <w:top w:val="nil"/>
              <w:left w:val="nil"/>
              <w:bottom w:val="nil"/>
              <w:right w:val="nil"/>
            </w:tcBorders>
            <w:shd w:val="clear" w:color="auto" w:fill="auto"/>
            <w:noWrap/>
            <w:vAlign w:val="bottom"/>
            <w:hideMark/>
          </w:tcPr>
          <w:p w14:paraId="648075E5"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1145" w:type="dxa"/>
            <w:tcBorders>
              <w:top w:val="nil"/>
              <w:left w:val="nil"/>
              <w:bottom w:val="nil"/>
              <w:right w:val="nil"/>
            </w:tcBorders>
            <w:shd w:val="clear" w:color="auto" w:fill="auto"/>
            <w:noWrap/>
            <w:vAlign w:val="bottom"/>
            <w:hideMark/>
          </w:tcPr>
          <w:p w14:paraId="2F37BB78"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081FA5F1" w14:textId="77777777" w:rsidR="00D13168" w:rsidRPr="00D13168" w:rsidRDefault="00D13168" w:rsidP="00D13168">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412DBCA2" w14:textId="77777777" w:rsidR="00D13168" w:rsidRPr="00D13168" w:rsidRDefault="00D13168" w:rsidP="00D13168">
            <w:pPr>
              <w:spacing w:after="0" w:line="240" w:lineRule="auto"/>
              <w:rPr>
                <w:rFonts w:ascii="Times New Roman" w:eastAsia="Times New Roman" w:hAnsi="Times New Roman" w:cs="Times New Roman"/>
                <w:sz w:val="20"/>
                <w:szCs w:val="20"/>
              </w:rPr>
            </w:pPr>
          </w:p>
        </w:tc>
      </w:tr>
    </w:tbl>
    <w:p w14:paraId="58C71690" w14:textId="21F76B63" w:rsidR="00D13168" w:rsidRDefault="00D13168">
      <w:pPr>
        <w:rPr>
          <w:rFonts w:ascii="Times New Roman" w:hAnsi="Times New Roman" w:cs="Times New Roman"/>
        </w:rPr>
      </w:pPr>
    </w:p>
    <w:p w14:paraId="2BDF691E" w14:textId="77777777" w:rsidR="00D13168" w:rsidRDefault="00D13168">
      <w:pPr>
        <w:rPr>
          <w:rFonts w:ascii="Times New Roman" w:hAnsi="Times New Roman" w:cs="Times New Roman"/>
        </w:rPr>
      </w:pPr>
      <w:r>
        <w:rPr>
          <w:rFonts w:ascii="Times New Roman" w:hAnsi="Times New Roman" w:cs="Times New Roman"/>
        </w:rPr>
        <w:br w:type="page"/>
      </w:r>
    </w:p>
    <w:tbl>
      <w:tblPr>
        <w:tblW w:w="6111" w:type="dxa"/>
        <w:jc w:val="center"/>
        <w:tblLook w:val="04A0" w:firstRow="1" w:lastRow="0" w:firstColumn="1" w:lastColumn="0" w:noHBand="0" w:noVBand="1"/>
      </w:tblPr>
      <w:tblGrid>
        <w:gridCol w:w="2056"/>
        <w:gridCol w:w="1905"/>
        <w:gridCol w:w="271"/>
        <w:gridCol w:w="1879"/>
      </w:tblGrid>
      <w:tr w:rsidR="00C57988" w:rsidRPr="00C57988" w14:paraId="734CFEAB" w14:textId="77777777" w:rsidTr="006C70D9">
        <w:trPr>
          <w:trHeight w:val="410"/>
          <w:jc w:val="center"/>
        </w:trPr>
        <w:tc>
          <w:tcPr>
            <w:tcW w:w="6111" w:type="dxa"/>
            <w:gridSpan w:val="4"/>
            <w:tcBorders>
              <w:top w:val="nil"/>
              <w:left w:val="nil"/>
              <w:bottom w:val="nil"/>
              <w:right w:val="nil"/>
            </w:tcBorders>
            <w:shd w:val="clear" w:color="auto" w:fill="auto"/>
            <w:noWrap/>
            <w:vAlign w:val="bottom"/>
            <w:hideMark/>
          </w:tcPr>
          <w:p w14:paraId="44EDD68F" w14:textId="77777777" w:rsidR="00C57988" w:rsidRPr="00C57988" w:rsidRDefault="00C57988" w:rsidP="00C57988">
            <w:pPr>
              <w:spacing w:after="0" w:line="240" w:lineRule="auto"/>
              <w:jc w:val="center"/>
              <w:rPr>
                <w:rFonts w:ascii="Times New Roman" w:eastAsia="Times New Roman" w:hAnsi="Times New Roman" w:cs="Times New Roman"/>
                <w:b/>
                <w:bCs/>
                <w:color w:val="000000"/>
                <w:sz w:val="32"/>
                <w:szCs w:val="32"/>
              </w:rPr>
            </w:pPr>
            <w:r w:rsidRPr="00C57988">
              <w:rPr>
                <w:rFonts w:ascii="Times New Roman" w:eastAsia="Times New Roman" w:hAnsi="Times New Roman" w:cs="Times New Roman"/>
                <w:b/>
                <w:bCs/>
                <w:color w:val="000000"/>
                <w:sz w:val="32"/>
                <w:szCs w:val="32"/>
              </w:rPr>
              <w:lastRenderedPageBreak/>
              <w:t>Table 3</w:t>
            </w:r>
          </w:p>
        </w:tc>
      </w:tr>
      <w:tr w:rsidR="00C57988" w:rsidRPr="00C57988" w14:paraId="13E0BB14" w14:textId="77777777" w:rsidTr="006C70D9">
        <w:trPr>
          <w:trHeight w:val="1210"/>
          <w:jc w:val="center"/>
        </w:trPr>
        <w:tc>
          <w:tcPr>
            <w:tcW w:w="6111" w:type="dxa"/>
            <w:gridSpan w:val="4"/>
            <w:tcBorders>
              <w:top w:val="nil"/>
              <w:left w:val="nil"/>
              <w:bottom w:val="nil"/>
              <w:right w:val="nil"/>
            </w:tcBorders>
            <w:shd w:val="clear" w:color="auto" w:fill="auto"/>
            <w:vAlign w:val="bottom"/>
            <w:hideMark/>
          </w:tcPr>
          <w:p w14:paraId="6BD2DFCD" w14:textId="77777777" w:rsidR="00C57988" w:rsidRPr="00C57988" w:rsidRDefault="00C57988" w:rsidP="00C57988">
            <w:pPr>
              <w:spacing w:after="0" w:line="240" w:lineRule="auto"/>
              <w:jc w:val="center"/>
              <w:rPr>
                <w:rFonts w:ascii="Times New Roman" w:eastAsia="Times New Roman" w:hAnsi="Times New Roman" w:cs="Times New Roman"/>
                <w:b/>
                <w:bCs/>
                <w:color w:val="000000"/>
                <w:sz w:val="32"/>
                <w:szCs w:val="32"/>
              </w:rPr>
            </w:pPr>
            <w:r w:rsidRPr="00C57988">
              <w:rPr>
                <w:rFonts w:ascii="Times New Roman" w:eastAsia="Times New Roman" w:hAnsi="Times New Roman" w:cs="Times New Roman"/>
                <w:b/>
                <w:bCs/>
                <w:color w:val="000000"/>
                <w:sz w:val="32"/>
                <w:szCs w:val="32"/>
              </w:rPr>
              <w:t>t-statistics from Perturbations in the Definition of the Running Variables Measuring Size</w:t>
            </w:r>
          </w:p>
        </w:tc>
      </w:tr>
      <w:tr w:rsidR="00C57988" w:rsidRPr="00C57988" w14:paraId="0E418049"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2F75AEA1" w14:textId="77777777" w:rsidR="00C57988" w:rsidRPr="00C57988" w:rsidRDefault="00C57988" w:rsidP="00C57988">
            <w:pPr>
              <w:spacing w:after="0" w:line="240" w:lineRule="auto"/>
              <w:jc w:val="center"/>
              <w:rPr>
                <w:rFonts w:ascii="Times New Roman" w:eastAsia="Times New Roman" w:hAnsi="Times New Roman" w:cs="Times New Roman"/>
                <w:b/>
                <w:bCs/>
                <w:color w:val="000000"/>
                <w:sz w:val="32"/>
                <w:szCs w:val="32"/>
              </w:rPr>
            </w:pPr>
          </w:p>
        </w:tc>
        <w:tc>
          <w:tcPr>
            <w:tcW w:w="1905" w:type="dxa"/>
            <w:tcBorders>
              <w:top w:val="nil"/>
              <w:left w:val="nil"/>
              <w:bottom w:val="nil"/>
              <w:right w:val="nil"/>
            </w:tcBorders>
            <w:shd w:val="clear" w:color="auto" w:fill="auto"/>
            <w:noWrap/>
            <w:vAlign w:val="bottom"/>
            <w:hideMark/>
          </w:tcPr>
          <w:p w14:paraId="50B93173"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6BAAF63F"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879" w:type="dxa"/>
            <w:tcBorders>
              <w:top w:val="nil"/>
              <w:left w:val="nil"/>
              <w:bottom w:val="nil"/>
              <w:right w:val="nil"/>
            </w:tcBorders>
            <w:shd w:val="clear" w:color="auto" w:fill="auto"/>
            <w:noWrap/>
            <w:vAlign w:val="bottom"/>
            <w:hideMark/>
          </w:tcPr>
          <w:p w14:paraId="18B5B731" w14:textId="77777777" w:rsidR="00C57988" w:rsidRPr="00C57988" w:rsidRDefault="00C57988" w:rsidP="00C57988">
            <w:pPr>
              <w:spacing w:after="0" w:line="240" w:lineRule="auto"/>
              <w:rPr>
                <w:rFonts w:ascii="Times New Roman" w:eastAsia="Times New Roman" w:hAnsi="Times New Roman" w:cs="Times New Roman"/>
                <w:sz w:val="20"/>
                <w:szCs w:val="20"/>
              </w:rPr>
            </w:pPr>
          </w:p>
        </w:tc>
      </w:tr>
      <w:tr w:rsidR="00C57988" w:rsidRPr="00C57988" w14:paraId="5D609C81"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01E32DD1"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905" w:type="dxa"/>
            <w:tcBorders>
              <w:top w:val="nil"/>
              <w:left w:val="nil"/>
              <w:bottom w:val="single" w:sz="4" w:space="0" w:color="auto"/>
              <w:right w:val="nil"/>
            </w:tcBorders>
            <w:shd w:val="clear" w:color="auto" w:fill="auto"/>
            <w:noWrap/>
            <w:vAlign w:val="bottom"/>
            <w:hideMark/>
          </w:tcPr>
          <w:p w14:paraId="03614E5F" w14:textId="77777777" w:rsidR="00C57988" w:rsidRPr="00C57988" w:rsidRDefault="00C57988" w:rsidP="00C57988">
            <w:pPr>
              <w:spacing w:after="0" w:line="240" w:lineRule="auto"/>
              <w:jc w:val="center"/>
              <w:rPr>
                <w:rFonts w:ascii="Times New Roman" w:eastAsia="Times New Roman" w:hAnsi="Times New Roman" w:cs="Times New Roman"/>
                <w:b/>
                <w:bCs/>
                <w:color w:val="000000"/>
              </w:rPr>
            </w:pPr>
            <w:r w:rsidRPr="00C57988">
              <w:rPr>
                <w:rFonts w:ascii="Times New Roman" w:eastAsia="Times New Roman" w:hAnsi="Times New Roman" w:cs="Times New Roman"/>
                <w:b/>
                <w:bCs/>
                <w:color w:val="000000"/>
              </w:rPr>
              <w:t>Original</w:t>
            </w:r>
          </w:p>
        </w:tc>
        <w:tc>
          <w:tcPr>
            <w:tcW w:w="271" w:type="dxa"/>
            <w:tcBorders>
              <w:top w:val="nil"/>
              <w:left w:val="nil"/>
              <w:bottom w:val="nil"/>
              <w:right w:val="nil"/>
            </w:tcBorders>
            <w:shd w:val="clear" w:color="auto" w:fill="auto"/>
            <w:noWrap/>
            <w:vAlign w:val="bottom"/>
            <w:hideMark/>
          </w:tcPr>
          <w:p w14:paraId="470842C5" w14:textId="77777777" w:rsidR="00C57988" w:rsidRPr="00C57988" w:rsidRDefault="00C57988" w:rsidP="00C57988">
            <w:pPr>
              <w:spacing w:after="0" w:line="240" w:lineRule="auto"/>
              <w:jc w:val="center"/>
              <w:rPr>
                <w:rFonts w:ascii="Times New Roman" w:eastAsia="Times New Roman" w:hAnsi="Times New Roman" w:cs="Times New Roman"/>
                <w:b/>
                <w:bCs/>
                <w:color w:val="000000"/>
              </w:rPr>
            </w:pPr>
          </w:p>
        </w:tc>
        <w:tc>
          <w:tcPr>
            <w:tcW w:w="1879" w:type="dxa"/>
            <w:tcBorders>
              <w:top w:val="nil"/>
              <w:left w:val="nil"/>
              <w:bottom w:val="single" w:sz="4" w:space="0" w:color="auto"/>
              <w:right w:val="nil"/>
            </w:tcBorders>
            <w:shd w:val="clear" w:color="auto" w:fill="auto"/>
            <w:noWrap/>
            <w:vAlign w:val="bottom"/>
            <w:hideMark/>
          </w:tcPr>
          <w:p w14:paraId="22F64924" w14:textId="77777777" w:rsidR="00C57988" w:rsidRPr="00C57988" w:rsidRDefault="00C57988" w:rsidP="00C57988">
            <w:pPr>
              <w:spacing w:after="0" w:line="240" w:lineRule="auto"/>
              <w:jc w:val="center"/>
              <w:rPr>
                <w:rFonts w:ascii="Times New Roman" w:eastAsia="Times New Roman" w:hAnsi="Times New Roman" w:cs="Times New Roman"/>
                <w:b/>
                <w:bCs/>
                <w:color w:val="000000"/>
              </w:rPr>
            </w:pPr>
            <w:r w:rsidRPr="00C57988">
              <w:rPr>
                <w:rFonts w:ascii="Times New Roman" w:eastAsia="Times New Roman" w:hAnsi="Times New Roman" w:cs="Times New Roman"/>
                <w:b/>
                <w:bCs/>
                <w:color w:val="000000"/>
              </w:rPr>
              <w:t>New</w:t>
            </w:r>
          </w:p>
        </w:tc>
      </w:tr>
      <w:tr w:rsidR="00C57988" w:rsidRPr="00C57988" w14:paraId="726E70D9" w14:textId="77777777" w:rsidTr="006C70D9">
        <w:trPr>
          <w:trHeight w:val="290"/>
          <w:jc w:val="center"/>
        </w:trPr>
        <w:tc>
          <w:tcPr>
            <w:tcW w:w="2056" w:type="dxa"/>
            <w:tcBorders>
              <w:top w:val="nil"/>
              <w:left w:val="nil"/>
              <w:bottom w:val="single" w:sz="4" w:space="0" w:color="auto"/>
              <w:right w:val="nil"/>
            </w:tcBorders>
            <w:shd w:val="clear" w:color="auto" w:fill="auto"/>
            <w:noWrap/>
            <w:vAlign w:val="bottom"/>
            <w:hideMark/>
          </w:tcPr>
          <w:p w14:paraId="5E60E411" w14:textId="77777777" w:rsidR="00C57988" w:rsidRPr="00C57988" w:rsidRDefault="00C57988" w:rsidP="00C57988">
            <w:pPr>
              <w:spacing w:after="0" w:line="240" w:lineRule="auto"/>
              <w:rPr>
                <w:rFonts w:ascii="Times New Roman" w:eastAsia="Times New Roman" w:hAnsi="Times New Roman" w:cs="Times New Roman"/>
                <w:b/>
                <w:bCs/>
                <w:color w:val="000000"/>
              </w:rPr>
            </w:pPr>
            <w:r w:rsidRPr="00C57988">
              <w:rPr>
                <w:rFonts w:ascii="Times New Roman" w:eastAsia="Times New Roman" w:hAnsi="Times New Roman" w:cs="Times New Roman"/>
                <w:b/>
                <w:bCs/>
                <w:color w:val="000000"/>
              </w:rPr>
              <w:t>Construct</w:t>
            </w:r>
          </w:p>
        </w:tc>
        <w:tc>
          <w:tcPr>
            <w:tcW w:w="1905" w:type="dxa"/>
            <w:tcBorders>
              <w:top w:val="nil"/>
              <w:left w:val="nil"/>
              <w:bottom w:val="single" w:sz="4" w:space="0" w:color="auto"/>
              <w:right w:val="nil"/>
            </w:tcBorders>
            <w:shd w:val="clear" w:color="auto" w:fill="auto"/>
            <w:noWrap/>
            <w:vAlign w:val="bottom"/>
            <w:hideMark/>
          </w:tcPr>
          <w:p w14:paraId="461A4CE6" w14:textId="77777777" w:rsidR="00C57988" w:rsidRPr="00C57988" w:rsidRDefault="00C57988" w:rsidP="00C57988">
            <w:pPr>
              <w:spacing w:after="0" w:line="240" w:lineRule="auto"/>
              <w:jc w:val="center"/>
              <w:rPr>
                <w:rFonts w:ascii="Times New Roman" w:eastAsia="Times New Roman" w:hAnsi="Times New Roman" w:cs="Times New Roman"/>
                <w:b/>
                <w:bCs/>
                <w:color w:val="000000"/>
              </w:rPr>
            </w:pPr>
            <w:r w:rsidRPr="00C57988">
              <w:rPr>
                <w:rFonts w:ascii="Times New Roman" w:eastAsia="Times New Roman" w:hAnsi="Times New Roman" w:cs="Times New Roman"/>
                <w:b/>
                <w:bCs/>
                <w:color w:val="000000"/>
              </w:rPr>
              <w:t>June Definition [1]</w:t>
            </w:r>
          </w:p>
        </w:tc>
        <w:tc>
          <w:tcPr>
            <w:tcW w:w="271" w:type="dxa"/>
            <w:tcBorders>
              <w:top w:val="nil"/>
              <w:left w:val="nil"/>
              <w:bottom w:val="single" w:sz="4" w:space="0" w:color="auto"/>
              <w:right w:val="nil"/>
            </w:tcBorders>
            <w:shd w:val="clear" w:color="auto" w:fill="auto"/>
            <w:noWrap/>
            <w:vAlign w:val="bottom"/>
            <w:hideMark/>
          </w:tcPr>
          <w:p w14:paraId="7A04DC88" w14:textId="77777777" w:rsidR="00C57988" w:rsidRPr="00C57988" w:rsidRDefault="00C57988" w:rsidP="00C57988">
            <w:pPr>
              <w:spacing w:after="0" w:line="240" w:lineRule="auto"/>
              <w:jc w:val="center"/>
              <w:rPr>
                <w:rFonts w:ascii="Times New Roman" w:eastAsia="Times New Roman" w:hAnsi="Times New Roman" w:cs="Times New Roman"/>
                <w:b/>
                <w:bCs/>
                <w:color w:val="000000"/>
              </w:rPr>
            </w:pPr>
            <w:r w:rsidRPr="00C57988">
              <w:rPr>
                <w:rFonts w:ascii="Times New Roman" w:eastAsia="Times New Roman" w:hAnsi="Times New Roman" w:cs="Times New Roman"/>
                <w:b/>
                <w:bCs/>
                <w:color w:val="000000"/>
              </w:rPr>
              <w:t> </w:t>
            </w:r>
          </w:p>
        </w:tc>
        <w:tc>
          <w:tcPr>
            <w:tcW w:w="1879" w:type="dxa"/>
            <w:tcBorders>
              <w:top w:val="nil"/>
              <w:left w:val="nil"/>
              <w:bottom w:val="single" w:sz="4" w:space="0" w:color="auto"/>
              <w:right w:val="nil"/>
            </w:tcBorders>
            <w:shd w:val="clear" w:color="auto" w:fill="auto"/>
            <w:noWrap/>
            <w:vAlign w:val="bottom"/>
            <w:hideMark/>
          </w:tcPr>
          <w:p w14:paraId="278D4A77" w14:textId="77777777" w:rsidR="00C57988" w:rsidRPr="00C57988" w:rsidRDefault="00C57988" w:rsidP="00C57988">
            <w:pPr>
              <w:spacing w:after="0" w:line="240" w:lineRule="auto"/>
              <w:jc w:val="center"/>
              <w:rPr>
                <w:rFonts w:ascii="Times New Roman" w:eastAsia="Times New Roman" w:hAnsi="Times New Roman" w:cs="Times New Roman"/>
                <w:b/>
                <w:bCs/>
                <w:color w:val="000000"/>
              </w:rPr>
            </w:pPr>
            <w:r w:rsidRPr="00C57988">
              <w:rPr>
                <w:rFonts w:ascii="Times New Roman" w:eastAsia="Times New Roman" w:hAnsi="Times New Roman" w:cs="Times New Roman"/>
                <w:b/>
                <w:bCs/>
                <w:color w:val="000000"/>
              </w:rPr>
              <w:t>May Definition [2]</w:t>
            </w:r>
          </w:p>
        </w:tc>
      </w:tr>
      <w:tr w:rsidR="00C57988" w:rsidRPr="00C57988" w14:paraId="420D3BBA" w14:textId="77777777" w:rsidTr="006C70D9">
        <w:trPr>
          <w:trHeight w:val="290"/>
          <w:jc w:val="center"/>
        </w:trPr>
        <w:tc>
          <w:tcPr>
            <w:tcW w:w="3961" w:type="dxa"/>
            <w:gridSpan w:val="2"/>
            <w:tcBorders>
              <w:top w:val="nil"/>
              <w:left w:val="nil"/>
              <w:bottom w:val="nil"/>
              <w:right w:val="nil"/>
            </w:tcBorders>
            <w:shd w:val="clear" w:color="auto" w:fill="auto"/>
            <w:noWrap/>
            <w:vAlign w:val="bottom"/>
            <w:hideMark/>
          </w:tcPr>
          <w:p w14:paraId="11EC28D3" w14:textId="77777777" w:rsidR="00C57988" w:rsidRPr="00C57988" w:rsidRDefault="00C57988" w:rsidP="00C57988">
            <w:pPr>
              <w:spacing w:after="0" w:line="240" w:lineRule="auto"/>
              <w:rPr>
                <w:rFonts w:ascii="Calibri" w:eastAsia="Times New Roman" w:hAnsi="Calibri" w:cs="Calibri"/>
                <w:i/>
                <w:iCs/>
                <w:color w:val="000000"/>
                <w:u w:val="single"/>
              </w:rPr>
            </w:pPr>
            <w:r w:rsidRPr="00C57988">
              <w:rPr>
                <w:rFonts w:ascii="Calibri" w:eastAsia="Times New Roman" w:hAnsi="Calibri" w:cs="Calibri"/>
                <w:i/>
                <w:iCs/>
                <w:color w:val="000000"/>
                <w:u w:val="single"/>
              </w:rPr>
              <w:t>Difference in Means [-50,50]</w:t>
            </w:r>
          </w:p>
        </w:tc>
        <w:tc>
          <w:tcPr>
            <w:tcW w:w="271" w:type="dxa"/>
            <w:tcBorders>
              <w:top w:val="nil"/>
              <w:left w:val="nil"/>
              <w:bottom w:val="nil"/>
              <w:right w:val="nil"/>
            </w:tcBorders>
            <w:shd w:val="clear" w:color="auto" w:fill="auto"/>
            <w:noWrap/>
            <w:vAlign w:val="bottom"/>
            <w:hideMark/>
          </w:tcPr>
          <w:p w14:paraId="2BE6E106" w14:textId="77777777" w:rsidR="00C57988" w:rsidRPr="00C57988" w:rsidRDefault="00C57988" w:rsidP="00C57988">
            <w:pPr>
              <w:spacing w:after="0" w:line="240" w:lineRule="auto"/>
              <w:rPr>
                <w:rFonts w:ascii="Calibri" w:eastAsia="Times New Roman" w:hAnsi="Calibri" w:cs="Calibri"/>
                <w:i/>
                <w:iCs/>
                <w:color w:val="000000"/>
                <w:u w:val="single"/>
              </w:rPr>
            </w:pPr>
          </w:p>
        </w:tc>
        <w:tc>
          <w:tcPr>
            <w:tcW w:w="1879" w:type="dxa"/>
            <w:tcBorders>
              <w:top w:val="nil"/>
              <w:left w:val="nil"/>
              <w:bottom w:val="nil"/>
              <w:right w:val="nil"/>
            </w:tcBorders>
            <w:shd w:val="clear" w:color="auto" w:fill="auto"/>
            <w:noWrap/>
            <w:vAlign w:val="bottom"/>
            <w:hideMark/>
          </w:tcPr>
          <w:p w14:paraId="535369C3" w14:textId="77777777" w:rsidR="00C57988" w:rsidRPr="00C57988" w:rsidRDefault="00C57988" w:rsidP="00C57988">
            <w:pPr>
              <w:spacing w:after="0" w:line="240" w:lineRule="auto"/>
              <w:rPr>
                <w:rFonts w:ascii="Times New Roman" w:eastAsia="Times New Roman" w:hAnsi="Times New Roman" w:cs="Times New Roman"/>
                <w:sz w:val="20"/>
                <w:szCs w:val="20"/>
              </w:rPr>
            </w:pPr>
          </w:p>
        </w:tc>
      </w:tr>
      <w:tr w:rsidR="00C57988" w:rsidRPr="00C57988" w14:paraId="0452660B"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10B918E7" w14:textId="77777777" w:rsidR="00C57988" w:rsidRPr="00C57988" w:rsidRDefault="00C57988" w:rsidP="00C57988">
            <w:pPr>
              <w:spacing w:after="0" w:line="240" w:lineRule="auto"/>
              <w:rPr>
                <w:rFonts w:ascii="Times New Roman" w:eastAsia="Times New Roman" w:hAnsi="Times New Roman" w:cs="Times New Roman"/>
                <w:color w:val="000000"/>
              </w:rPr>
            </w:pPr>
            <w:r w:rsidRPr="00C57988">
              <w:rPr>
                <w:rFonts w:ascii="Times New Roman" w:eastAsia="Times New Roman" w:hAnsi="Times New Roman" w:cs="Times New Roman"/>
                <w:color w:val="000000"/>
              </w:rPr>
              <w:t>Bid-ask spread</w:t>
            </w:r>
          </w:p>
        </w:tc>
        <w:tc>
          <w:tcPr>
            <w:tcW w:w="1905" w:type="dxa"/>
            <w:tcBorders>
              <w:top w:val="nil"/>
              <w:left w:val="nil"/>
              <w:bottom w:val="nil"/>
              <w:right w:val="nil"/>
            </w:tcBorders>
            <w:shd w:val="clear" w:color="000000" w:fill="E2EFDA"/>
            <w:noWrap/>
            <w:vAlign w:val="bottom"/>
            <w:hideMark/>
          </w:tcPr>
          <w:p w14:paraId="27FD1097" w14:textId="77777777" w:rsidR="00C57988" w:rsidRPr="00C57988" w:rsidRDefault="00C57988" w:rsidP="00C57988">
            <w:pPr>
              <w:spacing w:after="0" w:line="240" w:lineRule="auto"/>
              <w:jc w:val="center"/>
              <w:rPr>
                <w:rFonts w:ascii="Times New Roman" w:eastAsia="Times New Roman" w:hAnsi="Times New Roman" w:cs="Times New Roman"/>
                <w:color w:val="000000"/>
              </w:rPr>
            </w:pPr>
            <w:r w:rsidRPr="00C57988">
              <w:rPr>
                <w:rFonts w:ascii="Times New Roman" w:eastAsia="Times New Roman" w:hAnsi="Times New Roman" w:cs="Times New Roman"/>
                <w:color w:val="000000"/>
              </w:rPr>
              <w:t>-8.76</w:t>
            </w:r>
          </w:p>
        </w:tc>
        <w:tc>
          <w:tcPr>
            <w:tcW w:w="271" w:type="dxa"/>
            <w:tcBorders>
              <w:top w:val="nil"/>
              <w:left w:val="nil"/>
              <w:bottom w:val="nil"/>
              <w:right w:val="nil"/>
            </w:tcBorders>
            <w:shd w:val="clear" w:color="000000" w:fill="E2EFDA"/>
            <w:noWrap/>
            <w:vAlign w:val="bottom"/>
            <w:hideMark/>
          </w:tcPr>
          <w:p w14:paraId="32722CF3" w14:textId="77777777" w:rsidR="00C57988" w:rsidRPr="00C57988" w:rsidRDefault="00C57988" w:rsidP="00C57988">
            <w:pPr>
              <w:spacing w:after="0" w:line="240" w:lineRule="auto"/>
              <w:jc w:val="center"/>
              <w:rPr>
                <w:rFonts w:ascii="Times New Roman" w:eastAsia="Times New Roman" w:hAnsi="Times New Roman" w:cs="Times New Roman"/>
                <w:color w:val="000000"/>
              </w:rPr>
            </w:pPr>
            <w:r w:rsidRPr="00C57988">
              <w:rPr>
                <w:rFonts w:ascii="Times New Roman" w:eastAsia="Times New Roman" w:hAnsi="Times New Roman" w:cs="Times New Roman"/>
                <w:color w:val="000000"/>
              </w:rPr>
              <w:t> </w:t>
            </w:r>
          </w:p>
        </w:tc>
        <w:tc>
          <w:tcPr>
            <w:tcW w:w="1879" w:type="dxa"/>
            <w:tcBorders>
              <w:top w:val="nil"/>
              <w:left w:val="nil"/>
              <w:bottom w:val="nil"/>
              <w:right w:val="nil"/>
            </w:tcBorders>
            <w:shd w:val="clear" w:color="000000" w:fill="FFFF00"/>
            <w:noWrap/>
            <w:vAlign w:val="bottom"/>
            <w:hideMark/>
          </w:tcPr>
          <w:p w14:paraId="613333AD" w14:textId="77777777" w:rsidR="00C57988" w:rsidRPr="00C57988" w:rsidRDefault="00C57988" w:rsidP="00C57988">
            <w:pPr>
              <w:spacing w:after="0" w:line="240" w:lineRule="auto"/>
              <w:jc w:val="center"/>
              <w:rPr>
                <w:rFonts w:ascii="Times New Roman" w:eastAsia="Times New Roman" w:hAnsi="Times New Roman" w:cs="Times New Roman"/>
                <w:color w:val="000000"/>
              </w:rPr>
            </w:pPr>
            <w:r w:rsidRPr="00C57988">
              <w:rPr>
                <w:rFonts w:ascii="Times New Roman" w:eastAsia="Times New Roman" w:hAnsi="Times New Roman" w:cs="Times New Roman"/>
                <w:color w:val="000000"/>
              </w:rPr>
              <w:t>-0.11</w:t>
            </w:r>
          </w:p>
        </w:tc>
      </w:tr>
      <w:tr w:rsidR="00C57988" w:rsidRPr="00C57988" w14:paraId="360E1189"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68216094" w14:textId="77777777" w:rsidR="00C57988" w:rsidRPr="00C57988" w:rsidRDefault="00C57988" w:rsidP="00C57988">
            <w:pPr>
              <w:spacing w:after="0" w:line="240" w:lineRule="auto"/>
              <w:rPr>
                <w:rFonts w:ascii="Times New Roman" w:eastAsia="Times New Roman" w:hAnsi="Times New Roman" w:cs="Times New Roman"/>
                <w:color w:val="000000"/>
              </w:rPr>
            </w:pPr>
            <w:r w:rsidRPr="00C57988">
              <w:rPr>
                <w:rFonts w:ascii="Times New Roman" w:eastAsia="Times New Roman" w:hAnsi="Times New Roman" w:cs="Times New Roman"/>
                <w:color w:val="000000"/>
              </w:rPr>
              <w:t>Turnover</w:t>
            </w:r>
          </w:p>
        </w:tc>
        <w:tc>
          <w:tcPr>
            <w:tcW w:w="1905" w:type="dxa"/>
            <w:tcBorders>
              <w:top w:val="nil"/>
              <w:left w:val="nil"/>
              <w:bottom w:val="nil"/>
              <w:right w:val="nil"/>
            </w:tcBorders>
            <w:shd w:val="clear" w:color="000000" w:fill="E2EFDA"/>
            <w:noWrap/>
            <w:vAlign w:val="bottom"/>
            <w:hideMark/>
          </w:tcPr>
          <w:p w14:paraId="6382EA86" w14:textId="77777777" w:rsidR="00C57988" w:rsidRPr="00C57988" w:rsidRDefault="00C57988" w:rsidP="00C57988">
            <w:pPr>
              <w:spacing w:after="0" w:line="240" w:lineRule="auto"/>
              <w:jc w:val="center"/>
              <w:rPr>
                <w:rFonts w:ascii="Times New Roman" w:eastAsia="Times New Roman" w:hAnsi="Times New Roman" w:cs="Times New Roman"/>
                <w:color w:val="000000"/>
              </w:rPr>
            </w:pPr>
            <w:r w:rsidRPr="00C57988">
              <w:rPr>
                <w:rFonts w:ascii="Times New Roman" w:eastAsia="Times New Roman" w:hAnsi="Times New Roman" w:cs="Times New Roman"/>
                <w:color w:val="000000"/>
              </w:rPr>
              <w:t>13.5</w:t>
            </w:r>
          </w:p>
        </w:tc>
        <w:tc>
          <w:tcPr>
            <w:tcW w:w="271" w:type="dxa"/>
            <w:tcBorders>
              <w:top w:val="nil"/>
              <w:left w:val="nil"/>
              <w:bottom w:val="nil"/>
              <w:right w:val="nil"/>
            </w:tcBorders>
            <w:shd w:val="clear" w:color="000000" w:fill="E2EFDA"/>
            <w:noWrap/>
            <w:vAlign w:val="bottom"/>
            <w:hideMark/>
          </w:tcPr>
          <w:p w14:paraId="306C11F0" w14:textId="77777777" w:rsidR="00C57988" w:rsidRPr="00C57988" w:rsidRDefault="00C57988" w:rsidP="00C57988">
            <w:pPr>
              <w:spacing w:after="0" w:line="240" w:lineRule="auto"/>
              <w:jc w:val="center"/>
              <w:rPr>
                <w:rFonts w:ascii="Times New Roman" w:eastAsia="Times New Roman" w:hAnsi="Times New Roman" w:cs="Times New Roman"/>
                <w:color w:val="000000"/>
              </w:rPr>
            </w:pPr>
            <w:r w:rsidRPr="00C57988">
              <w:rPr>
                <w:rFonts w:ascii="Times New Roman" w:eastAsia="Times New Roman" w:hAnsi="Times New Roman" w:cs="Times New Roman"/>
                <w:color w:val="000000"/>
              </w:rPr>
              <w:t> </w:t>
            </w:r>
          </w:p>
        </w:tc>
        <w:tc>
          <w:tcPr>
            <w:tcW w:w="1879" w:type="dxa"/>
            <w:tcBorders>
              <w:top w:val="nil"/>
              <w:left w:val="nil"/>
              <w:bottom w:val="nil"/>
              <w:right w:val="nil"/>
            </w:tcBorders>
            <w:shd w:val="clear" w:color="000000" w:fill="FFFF00"/>
            <w:noWrap/>
            <w:vAlign w:val="bottom"/>
            <w:hideMark/>
          </w:tcPr>
          <w:p w14:paraId="3CF8F64F" w14:textId="77777777" w:rsidR="00C57988" w:rsidRPr="00C57988" w:rsidRDefault="00C57988" w:rsidP="00C57988">
            <w:pPr>
              <w:spacing w:after="0" w:line="240" w:lineRule="auto"/>
              <w:jc w:val="center"/>
              <w:rPr>
                <w:rFonts w:ascii="Times New Roman" w:eastAsia="Times New Roman" w:hAnsi="Times New Roman" w:cs="Times New Roman"/>
                <w:color w:val="000000"/>
              </w:rPr>
            </w:pPr>
            <w:r w:rsidRPr="00C57988">
              <w:rPr>
                <w:rFonts w:ascii="Times New Roman" w:eastAsia="Times New Roman" w:hAnsi="Times New Roman" w:cs="Times New Roman"/>
                <w:color w:val="000000"/>
              </w:rPr>
              <w:t>0.47</w:t>
            </w:r>
          </w:p>
        </w:tc>
      </w:tr>
      <w:tr w:rsidR="00C57988" w:rsidRPr="00C57988" w14:paraId="76D33704"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54C390A1" w14:textId="77777777" w:rsidR="00C57988" w:rsidRPr="00C57988" w:rsidRDefault="00C57988" w:rsidP="00C57988">
            <w:pPr>
              <w:spacing w:after="0" w:line="240" w:lineRule="auto"/>
              <w:rPr>
                <w:rFonts w:ascii="Times New Roman" w:eastAsia="Times New Roman" w:hAnsi="Times New Roman" w:cs="Times New Roman"/>
                <w:color w:val="000000"/>
              </w:rPr>
            </w:pPr>
            <w:r w:rsidRPr="00C57988">
              <w:rPr>
                <w:rFonts w:ascii="Times New Roman" w:eastAsia="Times New Roman" w:hAnsi="Times New Roman" w:cs="Times New Roman"/>
                <w:color w:val="000000"/>
              </w:rPr>
              <w:t>Dollar volume</w:t>
            </w:r>
          </w:p>
        </w:tc>
        <w:tc>
          <w:tcPr>
            <w:tcW w:w="1905" w:type="dxa"/>
            <w:tcBorders>
              <w:top w:val="nil"/>
              <w:left w:val="nil"/>
              <w:bottom w:val="nil"/>
              <w:right w:val="nil"/>
            </w:tcBorders>
            <w:shd w:val="clear" w:color="000000" w:fill="E2EFDA"/>
            <w:noWrap/>
            <w:vAlign w:val="bottom"/>
            <w:hideMark/>
          </w:tcPr>
          <w:p w14:paraId="6D9064D9" w14:textId="77777777" w:rsidR="00C57988" w:rsidRPr="00C57988" w:rsidRDefault="00C57988" w:rsidP="00C57988">
            <w:pPr>
              <w:spacing w:after="0" w:line="240" w:lineRule="auto"/>
              <w:jc w:val="center"/>
              <w:rPr>
                <w:rFonts w:ascii="Times New Roman" w:eastAsia="Times New Roman" w:hAnsi="Times New Roman" w:cs="Times New Roman"/>
                <w:color w:val="000000"/>
              </w:rPr>
            </w:pPr>
            <w:r w:rsidRPr="00C57988">
              <w:rPr>
                <w:rFonts w:ascii="Times New Roman" w:eastAsia="Times New Roman" w:hAnsi="Times New Roman" w:cs="Times New Roman"/>
                <w:color w:val="000000"/>
              </w:rPr>
              <w:t>22.99</w:t>
            </w:r>
          </w:p>
        </w:tc>
        <w:tc>
          <w:tcPr>
            <w:tcW w:w="271" w:type="dxa"/>
            <w:tcBorders>
              <w:top w:val="nil"/>
              <w:left w:val="nil"/>
              <w:bottom w:val="nil"/>
              <w:right w:val="nil"/>
            </w:tcBorders>
            <w:shd w:val="clear" w:color="000000" w:fill="E2EFDA"/>
            <w:noWrap/>
            <w:vAlign w:val="bottom"/>
            <w:hideMark/>
          </w:tcPr>
          <w:p w14:paraId="5779DC68" w14:textId="77777777" w:rsidR="00C57988" w:rsidRPr="00C57988" w:rsidRDefault="00C57988" w:rsidP="00C57988">
            <w:pPr>
              <w:spacing w:after="0" w:line="240" w:lineRule="auto"/>
              <w:jc w:val="center"/>
              <w:rPr>
                <w:rFonts w:ascii="Times New Roman" w:eastAsia="Times New Roman" w:hAnsi="Times New Roman" w:cs="Times New Roman"/>
                <w:color w:val="000000"/>
              </w:rPr>
            </w:pPr>
            <w:r w:rsidRPr="00C57988">
              <w:rPr>
                <w:rFonts w:ascii="Times New Roman" w:eastAsia="Times New Roman" w:hAnsi="Times New Roman" w:cs="Times New Roman"/>
                <w:color w:val="000000"/>
              </w:rPr>
              <w:t> </w:t>
            </w:r>
          </w:p>
        </w:tc>
        <w:tc>
          <w:tcPr>
            <w:tcW w:w="1879" w:type="dxa"/>
            <w:tcBorders>
              <w:top w:val="nil"/>
              <w:left w:val="nil"/>
              <w:bottom w:val="nil"/>
              <w:right w:val="nil"/>
            </w:tcBorders>
            <w:shd w:val="clear" w:color="000000" w:fill="E2EFDA"/>
            <w:noWrap/>
            <w:vAlign w:val="bottom"/>
            <w:hideMark/>
          </w:tcPr>
          <w:p w14:paraId="79095A1E" w14:textId="77777777" w:rsidR="00C57988" w:rsidRPr="00C57988" w:rsidRDefault="00C57988" w:rsidP="00C57988">
            <w:pPr>
              <w:spacing w:after="0" w:line="240" w:lineRule="auto"/>
              <w:jc w:val="center"/>
              <w:rPr>
                <w:rFonts w:ascii="Times New Roman" w:eastAsia="Times New Roman" w:hAnsi="Times New Roman" w:cs="Times New Roman"/>
                <w:color w:val="000000"/>
              </w:rPr>
            </w:pPr>
            <w:r w:rsidRPr="00C57988">
              <w:rPr>
                <w:rFonts w:ascii="Times New Roman" w:eastAsia="Times New Roman" w:hAnsi="Times New Roman" w:cs="Times New Roman"/>
                <w:color w:val="000000"/>
              </w:rPr>
              <w:t>2.22</w:t>
            </w:r>
          </w:p>
        </w:tc>
      </w:tr>
      <w:tr w:rsidR="00C57988" w:rsidRPr="00C57988" w14:paraId="58B826A0"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1FF29A0D" w14:textId="77777777" w:rsidR="00C57988" w:rsidRPr="00C57988" w:rsidRDefault="00C57988" w:rsidP="00C57988">
            <w:pPr>
              <w:spacing w:after="0" w:line="240" w:lineRule="auto"/>
              <w:jc w:val="center"/>
              <w:rPr>
                <w:rFonts w:ascii="Times New Roman" w:eastAsia="Times New Roman" w:hAnsi="Times New Roman" w:cs="Times New Roman"/>
                <w:color w:val="000000"/>
              </w:rPr>
            </w:pPr>
          </w:p>
        </w:tc>
        <w:tc>
          <w:tcPr>
            <w:tcW w:w="1905" w:type="dxa"/>
            <w:tcBorders>
              <w:top w:val="nil"/>
              <w:left w:val="nil"/>
              <w:bottom w:val="nil"/>
              <w:right w:val="nil"/>
            </w:tcBorders>
            <w:shd w:val="clear" w:color="auto" w:fill="auto"/>
            <w:noWrap/>
            <w:vAlign w:val="bottom"/>
            <w:hideMark/>
          </w:tcPr>
          <w:p w14:paraId="390CB978"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3833F4C8"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879" w:type="dxa"/>
            <w:tcBorders>
              <w:top w:val="nil"/>
              <w:left w:val="nil"/>
              <w:bottom w:val="nil"/>
              <w:right w:val="nil"/>
            </w:tcBorders>
            <w:shd w:val="clear" w:color="auto" w:fill="auto"/>
            <w:noWrap/>
            <w:vAlign w:val="bottom"/>
            <w:hideMark/>
          </w:tcPr>
          <w:p w14:paraId="3C425B5F" w14:textId="77777777" w:rsidR="00C57988" w:rsidRPr="00C57988" w:rsidRDefault="00C57988" w:rsidP="00C57988">
            <w:pPr>
              <w:spacing w:after="0" w:line="240" w:lineRule="auto"/>
              <w:rPr>
                <w:rFonts w:ascii="Times New Roman" w:eastAsia="Times New Roman" w:hAnsi="Times New Roman" w:cs="Times New Roman"/>
                <w:sz w:val="20"/>
                <w:szCs w:val="20"/>
              </w:rPr>
            </w:pPr>
          </w:p>
        </w:tc>
      </w:tr>
      <w:tr w:rsidR="00C57988" w:rsidRPr="00C57988" w14:paraId="5EA05072" w14:textId="77777777" w:rsidTr="006C70D9">
        <w:trPr>
          <w:trHeight w:val="290"/>
          <w:jc w:val="center"/>
        </w:trPr>
        <w:tc>
          <w:tcPr>
            <w:tcW w:w="3961" w:type="dxa"/>
            <w:gridSpan w:val="2"/>
            <w:tcBorders>
              <w:top w:val="nil"/>
              <w:left w:val="nil"/>
              <w:bottom w:val="nil"/>
              <w:right w:val="nil"/>
            </w:tcBorders>
            <w:shd w:val="clear" w:color="auto" w:fill="auto"/>
            <w:noWrap/>
            <w:vAlign w:val="bottom"/>
            <w:hideMark/>
          </w:tcPr>
          <w:p w14:paraId="2BAE9D2C" w14:textId="77777777" w:rsidR="00C57988" w:rsidRPr="00C57988" w:rsidRDefault="00C57988" w:rsidP="00C57988">
            <w:pPr>
              <w:spacing w:after="0" w:line="240" w:lineRule="auto"/>
              <w:rPr>
                <w:rFonts w:ascii="Calibri" w:eastAsia="Times New Roman" w:hAnsi="Calibri" w:cs="Calibri"/>
                <w:i/>
                <w:iCs/>
                <w:color w:val="000000"/>
                <w:u w:val="single"/>
              </w:rPr>
            </w:pPr>
            <w:r w:rsidRPr="00C57988">
              <w:rPr>
                <w:rFonts w:ascii="Calibri" w:eastAsia="Times New Roman" w:hAnsi="Calibri" w:cs="Calibri"/>
                <w:i/>
                <w:iCs/>
                <w:color w:val="000000"/>
                <w:u w:val="single"/>
              </w:rPr>
              <w:t>Regression Discontinuity Design</w:t>
            </w:r>
          </w:p>
        </w:tc>
        <w:tc>
          <w:tcPr>
            <w:tcW w:w="271" w:type="dxa"/>
            <w:tcBorders>
              <w:top w:val="nil"/>
              <w:left w:val="nil"/>
              <w:bottom w:val="nil"/>
              <w:right w:val="nil"/>
            </w:tcBorders>
            <w:shd w:val="clear" w:color="auto" w:fill="auto"/>
            <w:noWrap/>
            <w:vAlign w:val="bottom"/>
            <w:hideMark/>
          </w:tcPr>
          <w:p w14:paraId="64D05AAD" w14:textId="77777777" w:rsidR="00C57988" w:rsidRPr="00C57988" w:rsidRDefault="00C57988" w:rsidP="00C57988">
            <w:pPr>
              <w:spacing w:after="0" w:line="240" w:lineRule="auto"/>
              <w:rPr>
                <w:rFonts w:ascii="Calibri" w:eastAsia="Times New Roman" w:hAnsi="Calibri" w:cs="Calibri"/>
                <w:i/>
                <w:iCs/>
                <w:color w:val="000000"/>
                <w:u w:val="single"/>
              </w:rPr>
            </w:pPr>
          </w:p>
        </w:tc>
        <w:tc>
          <w:tcPr>
            <w:tcW w:w="1879" w:type="dxa"/>
            <w:tcBorders>
              <w:top w:val="nil"/>
              <w:left w:val="nil"/>
              <w:bottom w:val="nil"/>
              <w:right w:val="nil"/>
            </w:tcBorders>
            <w:shd w:val="clear" w:color="auto" w:fill="auto"/>
            <w:noWrap/>
            <w:vAlign w:val="bottom"/>
            <w:hideMark/>
          </w:tcPr>
          <w:p w14:paraId="283399CF" w14:textId="77777777" w:rsidR="00C57988" w:rsidRPr="00C57988" w:rsidRDefault="00C57988" w:rsidP="00C57988">
            <w:pPr>
              <w:spacing w:after="0" w:line="240" w:lineRule="auto"/>
              <w:rPr>
                <w:rFonts w:ascii="Times New Roman" w:eastAsia="Times New Roman" w:hAnsi="Times New Roman" w:cs="Times New Roman"/>
                <w:sz w:val="20"/>
                <w:szCs w:val="20"/>
              </w:rPr>
            </w:pPr>
          </w:p>
        </w:tc>
      </w:tr>
      <w:tr w:rsidR="00C57988" w:rsidRPr="00C57988" w14:paraId="602C95B4"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473B12BC" w14:textId="77777777" w:rsidR="00C57988" w:rsidRPr="00C57988" w:rsidRDefault="00C57988" w:rsidP="00C57988">
            <w:pPr>
              <w:spacing w:after="0" w:line="240" w:lineRule="auto"/>
              <w:rPr>
                <w:rFonts w:ascii="Times New Roman" w:eastAsia="Times New Roman" w:hAnsi="Times New Roman" w:cs="Times New Roman"/>
                <w:color w:val="000000"/>
              </w:rPr>
            </w:pPr>
            <w:r w:rsidRPr="00C57988">
              <w:rPr>
                <w:rFonts w:ascii="Times New Roman" w:eastAsia="Times New Roman" w:hAnsi="Times New Roman" w:cs="Times New Roman"/>
                <w:color w:val="000000"/>
              </w:rPr>
              <w:t>Bid-ask spread</w:t>
            </w:r>
          </w:p>
        </w:tc>
        <w:tc>
          <w:tcPr>
            <w:tcW w:w="1905" w:type="dxa"/>
            <w:tcBorders>
              <w:top w:val="nil"/>
              <w:left w:val="nil"/>
              <w:bottom w:val="nil"/>
              <w:right w:val="nil"/>
            </w:tcBorders>
            <w:shd w:val="clear" w:color="000000" w:fill="E2EFDA"/>
            <w:noWrap/>
            <w:vAlign w:val="bottom"/>
            <w:hideMark/>
          </w:tcPr>
          <w:p w14:paraId="404A90A9" w14:textId="77777777" w:rsidR="00C57988" w:rsidRPr="00C57988" w:rsidRDefault="00C57988" w:rsidP="00C57988">
            <w:pPr>
              <w:spacing w:after="0" w:line="240" w:lineRule="auto"/>
              <w:jc w:val="center"/>
              <w:rPr>
                <w:rFonts w:ascii="Times New Roman" w:eastAsia="Times New Roman" w:hAnsi="Times New Roman" w:cs="Times New Roman"/>
                <w:color w:val="000000"/>
              </w:rPr>
            </w:pPr>
            <w:r w:rsidRPr="00C57988">
              <w:rPr>
                <w:rFonts w:ascii="Times New Roman" w:eastAsia="Times New Roman" w:hAnsi="Times New Roman" w:cs="Times New Roman"/>
                <w:color w:val="000000"/>
              </w:rPr>
              <w:t>-9.18</w:t>
            </w:r>
          </w:p>
        </w:tc>
        <w:tc>
          <w:tcPr>
            <w:tcW w:w="271" w:type="dxa"/>
            <w:tcBorders>
              <w:top w:val="nil"/>
              <w:left w:val="nil"/>
              <w:bottom w:val="nil"/>
              <w:right w:val="nil"/>
            </w:tcBorders>
            <w:shd w:val="clear" w:color="000000" w:fill="E2EFDA"/>
            <w:noWrap/>
            <w:vAlign w:val="bottom"/>
            <w:hideMark/>
          </w:tcPr>
          <w:p w14:paraId="079C7F7C" w14:textId="77777777" w:rsidR="00C57988" w:rsidRPr="00C57988" w:rsidRDefault="00C57988" w:rsidP="00C57988">
            <w:pPr>
              <w:spacing w:after="0" w:line="240" w:lineRule="auto"/>
              <w:jc w:val="center"/>
              <w:rPr>
                <w:rFonts w:ascii="Times New Roman" w:eastAsia="Times New Roman" w:hAnsi="Times New Roman" w:cs="Times New Roman"/>
                <w:color w:val="000000"/>
              </w:rPr>
            </w:pPr>
            <w:r w:rsidRPr="00C57988">
              <w:rPr>
                <w:rFonts w:ascii="Times New Roman" w:eastAsia="Times New Roman" w:hAnsi="Times New Roman" w:cs="Times New Roman"/>
                <w:color w:val="000000"/>
              </w:rPr>
              <w:t> </w:t>
            </w:r>
          </w:p>
        </w:tc>
        <w:tc>
          <w:tcPr>
            <w:tcW w:w="1879" w:type="dxa"/>
            <w:tcBorders>
              <w:top w:val="nil"/>
              <w:left w:val="nil"/>
              <w:bottom w:val="nil"/>
              <w:right w:val="nil"/>
            </w:tcBorders>
            <w:shd w:val="clear" w:color="000000" w:fill="FFFF00"/>
            <w:noWrap/>
            <w:vAlign w:val="bottom"/>
            <w:hideMark/>
          </w:tcPr>
          <w:p w14:paraId="19D37497" w14:textId="77777777" w:rsidR="00C57988" w:rsidRPr="00C57988" w:rsidRDefault="00C57988" w:rsidP="00C57988">
            <w:pPr>
              <w:spacing w:after="0" w:line="240" w:lineRule="auto"/>
              <w:jc w:val="center"/>
              <w:rPr>
                <w:rFonts w:ascii="Times New Roman" w:eastAsia="Times New Roman" w:hAnsi="Times New Roman" w:cs="Times New Roman"/>
                <w:color w:val="000000"/>
              </w:rPr>
            </w:pPr>
            <w:r w:rsidRPr="00C57988">
              <w:rPr>
                <w:rFonts w:ascii="Times New Roman" w:eastAsia="Times New Roman" w:hAnsi="Times New Roman" w:cs="Times New Roman"/>
                <w:color w:val="000000"/>
              </w:rPr>
              <w:t>0.7</w:t>
            </w:r>
          </w:p>
        </w:tc>
      </w:tr>
      <w:tr w:rsidR="00C57988" w:rsidRPr="00C57988" w14:paraId="4A423B05"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2977F3DB" w14:textId="77777777" w:rsidR="00C57988" w:rsidRPr="00C57988" w:rsidRDefault="00C57988" w:rsidP="00C57988">
            <w:pPr>
              <w:spacing w:after="0" w:line="240" w:lineRule="auto"/>
              <w:rPr>
                <w:rFonts w:ascii="Times New Roman" w:eastAsia="Times New Roman" w:hAnsi="Times New Roman" w:cs="Times New Roman"/>
                <w:color w:val="000000"/>
              </w:rPr>
            </w:pPr>
            <w:r w:rsidRPr="00C57988">
              <w:rPr>
                <w:rFonts w:ascii="Times New Roman" w:eastAsia="Times New Roman" w:hAnsi="Times New Roman" w:cs="Times New Roman"/>
                <w:color w:val="000000"/>
              </w:rPr>
              <w:t>Turnover</w:t>
            </w:r>
          </w:p>
        </w:tc>
        <w:tc>
          <w:tcPr>
            <w:tcW w:w="1905" w:type="dxa"/>
            <w:tcBorders>
              <w:top w:val="nil"/>
              <w:left w:val="nil"/>
              <w:bottom w:val="nil"/>
              <w:right w:val="nil"/>
            </w:tcBorders>
            <w:shd w:val="clear" w:color="000000" w:fill="E2EFDA"/>
            <w:noWrap/>
            <w:vAlign w:val="bottom"/>
            <w:hideMark/>
          </w:tcPr>
          <w:p w14:paraId="79D2EDC0" w14:textId="77777777" w:rsidR="00C57988" w:rsidRPr="00C57988" w:rsidRDefault="00C57988" w:rsidP="00C57988">
            <w:pPr>
              <w:spacing w:after="0" w:line="240" w:lineRule="auto"/>
              <w:jc w:val="center"/>
              <w:rPr>
                <w:rFonts w:ascii="Times New Roman" w:eastAsia="Times New Roman" w:hAnsi="Times New Roman" w:cs="Times New Roman"/>
                <w:color w:val="000000"/>
              </w:rPr>
            </w:pPr>
            <w:r w:rsidRPr="00C57988">
              <w:rPr>
                <w:rFonts w:ascii="Times New Roman" w:eastAsia="Times New Roman" w:hAnsi="Times New Roman" w:cs="Times New Roman"/>
                <w:color w:val="000000"/>
              </w:rPr>
              <w:t>10.05</w:t>
            </w:r>
          </w:p>
        </w:tc>
        <w:tc>
          <w:tcPr>
            <w:tcW w:w="271" w:type="dxa"/>
            <w:tcBorders>
              <w:top w:val="nil"/>
              <w:left w:val="nil"/>
              <w:bottom w:val="nil"/>
              <w:right w:val="nil"/>
            </w:tcBorders>
            <w:shd w:val="clear" w:color="000000" w:fill="E2EFDA"/>
            <w:noWrap/>
            <w:vAlign w:val="bottom"/>
            <w:hideMark/>
          </w:tcPr>
          <w:p w14:paraId="2BF7CCBF" w14:textId="77777777" w:rsidR="00C57988" w:rsidRPr="00C57988" w:rsidRDefault="00C57988" w:rsidP="00C57988">
            <w:pPr>
              <w:spacing w:after="0" w:line="240" w:lineRule="auto"/>
              <w:jc w:val="center"/>
              <w:rPr>
                <w:rFonts w:ascii="Times New Roman" w:eastAsia="Times New Roman" w:hAnsi="Times New Roman" w:cs="Times New Roman"/>
                <w:color w:val="000000"/>
              </w:rPr>
            </w:pPr>
            <w:r w:rsidRPr="00C57988">
              <w:rPr>
                <w:rFonts w:ascii="Times New Roman" w:eastAsia="Times New Roman" w:hAnsi="Times New Roman" w:cs="Times New Roman"/>
                <w:color w:val="000000"/>
              </w:rPr>
              <w:t> </w:t>
            </w:r>
          </w:p>
        </w:tc>
        <w:tc>
          <w:tcPr>
            <w:tcW w:w="1879" w:type="dxa"/>
            <w:tcBorders>
              <w:top w:val="nil"/>
              <w:left w:val="nil"/>
              <w:bottom w:val="nil"/>
              <w:right w:val="nil"/>
            </w:tcBorders>
            <w:shd w:val="clear" w:color="000000" w:fill="FFFF00"/>
            <w:noWrap/>
            <w:vAlign w:val="bottom"/>
            <w:hideMark/>
          </w:tcPr>
          <w:p w14:paraId="5C7687BD" w14:textId="77777777" w:rsidR="00C57988" w:rsidRPr="00C57988" w:rsidRDefault="00C57988" w:rsidP="00C57988">
            <w:pPr>
              <w:spacing w:after="0" w:line="240" w:lineRule="auto"/>
              <w:jc w:val="center"/>
              <w:rPr>
                <w:rFonts w:ascii="Times New Roman" w:eastAsia="Times New Roman" w:hAnsi="Times New Roman" w:cs="Times New Roman"/>
                <w:color w:val="000000"/>
              </w:rPr>
            </w:pPr>
            <w:r w:rsidRPr="00C57988">
              <w:rPr>
                <w:rFonts w:ascii="Times New Roman" w:eastAsia="Times New Roman" w:hAnsi="Times New Roman" w:cs="Times New Roman"/>
                <w:color w:val="000000"/>
              </w:rPr>
              <w:t>1.55</w:t>
            </w:r>
          </w:p>
        </w:tc>
      </w:tr>
      <w:tr w:rsidR="00C57988" w:rsidRPr="00C57988" w14:paraId="41319F1C"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69DF1517" w14:textId="77777777" w:rsidR="00C57988" w:rsidRPr="00C57988" w:rsidRDefault="00C57988" w:rsidP="00C57988">
            <w:pPr>
              <w:spacing w:after="0" w:line="240" w:lineRule="auto"/>
              <w:rPr>
                <w:rFonts w:ascii="Times New Roman" w:eastAsia="Times New Roman" w:hAnsi="Times New Roman" w:cs="Times New Roman"/>
                <w:color w:val="000000"/>
              </w:rPr>
            </w:pPr>
            <w:r w:rsidRPr="00C57988">
              <w:rPr>
                <w:rFonts w:ascii="Times New Roman" w:eastAsia="Times New Roman" w:hAnsi="Times New Roman" w:cs="Times New Roman"/>
                <w:color w:val="000000"/>
              </w:rPr>
              <w:t>Dollar volume</w:t>
            </w:r>
          </w:p>
        </w:tc>
        <w:tc>
          <w:tcPr>
            <w:tcW w:w="1905" w:type="dxa"/>
            <w:tcBorders>
              <w:top w:val="nil"/>
              <w:left w:val="nil"/>
              <w:bottom w:val="nil"/>
              <w:right w:val="nil"/>
            </w:tcBorders>
            <w:shd w:val="clear" w:color="000000" w:fill="E2EFDA"/>
            <w:noWrap/>
            <w:vAlign w:val="bottom"/>
            <w:hideMark/>
          </w:tcPr>
          <w:p w14:paraId="2E39113D" w14:textId="77777777" w:rsidR="00C57988" w:rsidRPr="00C57988" w:rsidRDefault="00C57988" w:rsidP="00C57988">
            <w:pPr>
              <w:spacing w:after="0" w:line="240" w:lineRule="auto"/>
              <w:jc w:val="center"/>
              <w:rPr>
                <w:rFonts w:ascii="Times New Roman" w:eastAsia="Times New Roman" w:hAnsi="Times New Roman" w:cs="Times New Roman"/>
                <w:color w:val="000000"/>
              </w:rPr>
            </w:pPr>
            <w:r w:rsidRPr="00C57988">
              <w:rPr>
                <w:rFonts w:ascii="Times New Roman" w:eastAsia="Times New Roman" w:hAnsi="Times New Roman" w:cs="Times New Roman"/>
                <w:color w:val="000000"/>
              </w:rPr>
              <w:t>24.5</w:t>
            </w:r>
          </w:p>
        </w:tc>
        <w:tc>
          <w:tcPr>
            <w:tcW w:w="271" w:type="dxa"/>
            <w:tcBorders>
              <w:top w:val="nil"/>
              <w:left w:val="nil"/>
              <w:bottom w:val="nil"/>
              <w:right w:val="nil"/>
            </w:tcBorders>
            <w:shd w:val="clear" w:color="000000" w:fill="E2EFDA"/>
            <w:noWrap/>
            <w:vAlign w:val="bottom"/>
            <w:hideMark/>
          </w:tcPr>
          <w:p w14:paraId="5E570AA1" w14:textId="77777777" w:rsidR="00C57988" w:rsidRPr="00C57988" w:rsidRDefault="00C57988" w:rsidP="00C57988">
            <w:pPr>
              <w:spacing w:after="0" w:line="240" w:lineRule="auto"/>
              <w:jc w:val="center"/>
              <w:rPr>
                <w:rFonts w:ascii="Times New Roman" w:eastAsia="Times New Roman" w:hAnsi="Times New Roman" w:cs="Times New Roman"/>
                <w:color w:val="000000"/>
              </w:rPr>
            </w:pPr>
            <w:r w:rsidRPr="00C57988">
              <w:rPr>
                <w:rFonts w:ascii="Times New Roman" w:eastAsia="Times New Roman" w:hAnsi="Times New Roman" w:cs="Times New Roman"/>
                <w:color w:val="000000"/>
              </w:rPr>
              <w:t> </w:t>
            </w:r>
          </w:p>
        </w:tc>
        <w:tc>
          <w:tcPr>
            <w:tcW w:w="1879" w:type="dxa"/>
            <w:tcBorders>
              <w:top w:val="nil"/>
              <w:left w:val="nil"/>
              <w:bottom w:val="nil"/>
              <w:right w:val="nil"/>
            </w:tcBorders>
            <w:shd w:val="clear" w:color="000000" w:fill="E2EFDA"/>
            <w:noWrap/>
            <w:vAlign w:val="bottom"/>
            <w:hideMark/>
          </w:tcPr>
          <w:p w14:paraId="4C3FA88A" w14:textId="77777777" w:rsidR="00C57988" w:rsidRPr="00C57988" w:rsidRDefault="00C57988" w:rsidP="00C57988">
            <w:pPr>
              <w:spacing w:after="0" w:line="240" w:lineRule="auto"/>
              <w:jc w:val="center"/>
              <w:rPr>
                <w:rFonts w:ascii="Times New Roman" w:eastAsia="Times New Roman" w:hAnsi="Times New Roman" w:cs="Times New Roman"/>
                <w:color w:val="000000"/>
              </w:rPr>
            </w:pPr>
            <w:r w:rsidRPr="00C57988">
              <w:rPr>
                <w:rFonts w:ascii="Times New Roman" w:eastAsia="Times New Roman" w:hAnsi="Times New Roman" w:cs="Times New Roman"/>
                <w:color w:val="000000"/>
              </w:rPr>
              <w:t>17.89</w:t>
            </w:r>
          </w:p>
        </w:tc>
      </w:tr>
      <w:tr w:rsidR="00C57988" w:rsidRPr="00C57988" w14:paraId="52E7E5A0"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27B1BB02" w14:textId="77777777" w:rsidR="00C57988" w:rsidRPr="00C57988" w:rsidRDefault="00C57988" w:rsidP="00C57988">
            <w:pPr>
              <w:spacing w:after="0" w:line="240" w:lineRule="auto"/>
              <w:jc w:val="center"/>
              <w:rPr>
                <w:rFonts w:ascii="Times New Roman" w:eastAsia="Times New Roman" w:hAnsi="Times New Roman" w:cs="Times New Roman"/>
                <w:color w:val="000000"/>
              </w:rPr>
            </w:pPr>
          </w:p>
        </w:tc>
        <w:tc>
          <w:tcPr>
            <w:tcW w:w="1905" w:type="dxa"/>
            <w:tcBorders>
              <w:top w:val="nil"/>
              <w:left w:val="nil"/>
              <w:bottom w:val="nil"/>
              <w:right w:val="nil"/>
            </w:tcBorders>
            <w:shd w:val="clear" w:color="auto" w:fill="auto"/>
            <w:noWrap/>
            <w:vAlign w:val="bottom"/>
            <w:hideMark/>
          </w:tcPr>
          <w:p w14:paraId="685FFA4A"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4511DC6C"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879" w:type="dxa"/>
            <w:tcBorders>
              <w:top w:val="nil"/>
              <w:left w:val="nil"/>
              <w:bottom w:val="nil"/>
              <w:right w:val="nil"/>
            </w:tcBorders>
            <w:shd w:val="clear" w:color="auto" w:fill="auto"/>
            <w:noWrap/>
            <w:vAlign w:val="bottom"/>
            <w:hideMark/>
          </w:tcPr>
          <w:p w14:paraId="5941F885" w14:textId="77777777" w:rsidR="00C57988" w:rsidRPr="00C57988" w:rsidRDefault="00C57988" w:rsidP="00C57988">
            <w:pPr>
              <w:spacing w:after="0" w:line="240" w:lineRule="auto"/>
              <w:rPr>
                <w:rFonts w:ascii="Times New Roman" w:eastAsia="Times New Roman" w:hAnsi="Times New Roman" w:cs="Times New Roman"/>
                <w:sz w:val="20"/>
                <w:szCs w:val="20"/>
              </w:rPr>
            </w:pPr>
          </w:p>
        </w:tc>
      </w:tr>
      <w:tr w:rsidR="00C57988" w:rsidRPr="00C57988" w14:paraId="6F6604D2"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256106C4" w14:textId="499CFAB9" w:rsidR="00C57988" w:rsidRPr="00C57988" w:rsidRDefault="00C57988" w:rsidP="00C57988">
            <w:pPr>
              <w:spacing w:after="0" w:line="240" w:lineRule="auto"/>
              <w:rPr>
                <w:rFonts w:ascii="Calibri" w:eastAsia="Times New Roman" w:hAnsi="Calibri" w:cs="Calibri"/>
                <w:color w:val="000000"/>
              </w:rPr>
            </w:pPr>
            <w:r w:rsidRPr="00C57988">
              <w:rPr>
                <w:rFonts w:ascii="Calibri" w:eastAsia="Times New Roman" w:hAnsi="Calibri" w:cs="Calibri"/>
                <w:noProof/>
                <w:color w:val="000000"/>
              </w:rPr>
              <mc:AlternateContent>
                <mc:Choice Requires="wps">
                  <w:drawing>
                    <wp:anchor distT="0" distB="0" distL="114300" distR="114300" simplePos="0" relativeHeight="251661312" behindDoc="0" locked="0" layoutInCell="1" allowOverlap="1" wp14:anchorId="007FE12B" wp14:editId="79314137">
                      <wp:simplePos x="0" y="0"/>
                      <wp:positionH relativeFrom="column">
                        <wp:posOffset>12700</wp:posOffset>
                      </wp:positionH>
                      <wp:positionV relativeFrom="paragraph">
                        <wp:posOffset>-13335</wp:posOffset>
                      </wp:positionV>
                      <wp:extent cx="3683000" cy="1801495"/>
                      <wp:effectExtent l="0" t="0" r="12700" b="8255"/>
                      <wp:wrapNone/>
                      <wp:docPr id="4" name="Text Box 4">
                        <a:extLst xmlns:a="http://schemas.openxmlformats.org/drawingml/2006/main">
                          <a:ext uri="{FF2B5EF4-FFF2-40B4-BE49-F238E27FC236}">
                            <a16:creationId xmlns:a16="http://schemas.microsoft.com/office/drawing/2014/main" id="{DE09BEF1-CC00-479E-B7D8-00F02C0172F5}"/>
                          </a:ext>
                        </a:extLst>
                      </wp:docPr>
                      <wp:cNvGraphicFramePr/>
                      <a:graphic xmlns:a="http://schemas.openxmlformats.org/drawingml/2006/main">
                        <a:graphicData uri="http://schemas.microsoft.com/office/word/2010/wordprocessingShape">
                          <wps:wsp>
                            <wps:cNvSpPr txBox="1"/>
                            <wps:spPr>
                              <a:xfrm>
                                <a:off x="0" y="0"/>
                                <a:ext cx="3683000" cy="180149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BFB96B2" w14:textId="77777777" w:rsidR="00C57988" w:rsidRDefault="00C57988" w:rsidP="00C57988">
                                  <w:pPr>
                                    <w:rPr>
                                      <w:color w:val="000000" w:themeColor="dark1"/>
                                      <w:sz w:val="16"/>
                                      <w:szCs w:val="16"/>
                                    </w:rPr>
                                  </w:pPr>
                                  <w:r>
                                    <w:rPr>
                                      <w:color w:val="000000" w:themeColor="dark1"/>
                                      <w:sz w:val="16"/>
                                      <w:szCs w:val="16"/>
                                    </w:rPr>
                                    <w:t>Note: Green-highlighted entries are statistics that agree with the authors’ results. Yellow-highlighted entries are non-statistically significant in contrast to the author’s findings and predictions. Red-highlighted entries are statistically significant but in the opposite direction of the author’s findings and predictions.</w:t>
                                  </w:r>
                                </w:p>
                                <w:p w14:paraId="3DD104CE" w14:textId="77777777" w:rsidR="00C57988" w:rsidRDefault="00C57988" w:rsidP="00C57988">
                                  <w:pPr>
                                    <w:rPr>
                                      <w:color w:val="000000" w:themeColor="dark1"/>
                                      <w:sz w:val="16"/>
                                      <w:szCs w:val="16"/>
                                    </w:rPr>
                                  </w:pPr>
                                  <w:r>
                                    <w:rPr>
                                      <w:color w:val="000000" w:themeColor="dark1"/>
                                      <w:sz w:val="16"/>
                                      <w:szCs w:val="16"/>
                                    </w:rPr>
                                    <w:t>[1</w:t>
                                  </w:r>
                                  <w:proofErr w:type="gramStart"/>
                                  <w:r>
                                    <w:rPr>
                                      <w:color w:val="000000" w:themeColor="dark1"/>
                                      <w:sz w:val="16"/>
                                      <w:szCs w:val="16"/>
                                    </w:rPr>
                                    <w:t>]  The</w:t>
                                  </w:r>
                                  <w:proofErr w:type="gramEnd"/>
                                  <w:r>
                                    <w:rPr>
                                      <w:color w:val="000000" w:themeColor="dark1"/>
                                      <w:sz w:val="16"/>
                                      <w:szCs w:val="16"/>
                                    </w:rPr>
                                    <w:t xml:space="preserve"> June Definition uses the end-of-June market capitalizations to rank securities with respect to the Russell 1000/2000 index inclusion breakpoint. This corresponds to the final index weights in the Russell indices.</w:t>
                                  </w:r>
                                </w:p>
                                <w:p w14:paraId="16B21A05" w14:textId="77777777" w:rsidR="00C57988" w:rsidRDefault="00C57988" w:rsidP="00C57988">
                                  <w:pPr>
                                    <w:rPr>
                                      <w:color w:val="000000" w:themeColor="dark1"/>
                                      <w:sz w:val="16"/>
                                      <w:szCs w:val="16"/>
                                    </w:rPr>
                                  </w:pPr>
                                  <w:r>
                                    <w:rPr>
                                      <w:color w:val="000000" w:themeColor="dark1"/>
                                      <w:sz w:val="16"/>
                                      <w:szCs w:val="16"/>
                                    </w:rPr>
                                    <w:t>[2</w:t>
                                  </w:r>
                                  <w:proofErr w:type="gramStart"/>
                                  <w:r>
                                    <w:rPr>
                                      <w:color w:val="000000" w:themeColor="dark1"/>
                                      <w:sz w:val="16"/>
                                      <w:szCs w:val="16"/>
                                    </w:rPr>
                                    <w:t>]  The</w:t>
                                  </w:r>
                                  <w:proofErr w:type="gramEnd"/>
                                  <w:r>
                                    <w:rPr>
                                      <w:color w:val="000000" w:themeColor="dark1"/>
                                      <w:sz w:val="16"/>
                                      <w:szCs w:val="16"/>
                                    </w:rPr>
                                    <w:t xml:space="preserve"> May Definition uses the end-of-May market capitalizations to rank securities with respect to the Russell 1000/2000 index inclusion breakpoint. This corresponds to the inclusion decision into </w:t>
                                  </w:r>
                                  <w:proofErr w:type="gramStart"/>
                                  <w:r>
                                    <w:rPr>
                                      <w:color w:val="000000" w:themeColor="dark1"/>
                                      <w:sz w:val="16"/>
                                      <w:szCs w:val="16"/>
                                    </w:rPr>
                                    <w:t>either the</w:t>
                                  </w:r>
                                  <w:proofErr w:type="gramEnd"/>
                                  <w:r>
                                    <w:rPr>
                                      <w:color w:val="000000" w:themeColor="dark1"/>
                                      <w:sz w:val="16"/>
                                      <w:szCs w:val="16"/>
                                    </w:rPr>
                                    <w:t xml:space="preserve"> Russell 1000/2000 indices.</w:t>
                                  </w:r>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007FE12B" id="Text Box 4" o:spid="_x0000_s1028" type="#_x0000_t202" style="position:absolute;margin-left:1pt;margin-top:-1.05pt;width:290pt;height:14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" filled="f" stroked="f">
                      <v:textbox inset="0,0,0,0">
                        <w:txbxContent>
                          <w:p w14:paraId="3BFB96B2" w14:textId="77777777" w:rsidR="00C57988" w:rsidRDefault="00C57988" w:rsidP="00C57988">
                            <w:pPr>
                              <w:rPr>
                                <w:color w:val="000000" w:themeColor="dark1"/>
                                <w:sz w:val="16"/>
                                <w:szCs w:val="16"/>
                              </w:rPr>
                            </w:pPr>
                            <w:r>
                              <w:rPr>
                                <w:color w:val="000000" w:themeColor="dark1"/>
                                <w:sz w:val="16"/>
                                <w:szCs w:val="16"/>
                              </w:rPr>
                              <w:t>Note: Green-highlighted entries are statistics that agree with the authors’ results. Yellow-highlighted entries are non-statistically significant in contrast to the author’s findings and predictions. Red-highlighted entries are statistically significant but in the opposite direction of the author’s findings and predictions.</w:t>
                            </w:r>
                          </w:p>
                          <w:p w14:paraId="3DD104CE" w14:textId="77777777" w:rsidR="00C57988" w:rsidRDefault="00C57988" w:rsidP="00C57988">
                            <w:pPr>
                              <w:rPr>
                                <w:color w:val="000000" w:themeColor="dark1"/>
                                <w:sz w:val="16"/>
                                <w:szCs w:val="16"/>
                              </w:rPr>
                            </w:pPr>
                            <w:r>
                              <w:rPr>
                                <w:color w:val="000000" w:themeColor="dark1"/>
                                <w:sz w:val="16"/>
                                <w:szCs w:val="16"/>
                              </w:rPr>
                              <w:t>[1</w:t>
                            </w:r>
                            <w:proofErr w:type="gramStart"/>
                            <w:r>
                              <w:rPr>
                                <w:color w:val="000000" w:themeColor="dark1"/>
                                <w:sz w:val="16"/>
                                <w:szCs w:val="16"/>
                              </w:rPr>
                              <w:t>]  The</w:t>
                            </w:r>
                            <w:proofErr w:type="gramEnd"/>
                            <w:r>
                              <w:rPr>
                                <w:color w:val="000000" w:themeColor="dark1"/>
                                <w:sz w:val="16"/>
                                <w:szCs w:val="16"/>
                              </w:rPr>
                              <w:t xml:space="preserve"> June Definition uses the end-of-June market capitalizations to rank securities with respect to the Russell 1000/2000 index inclusion breakpoint. This corresponds to the final index weights in the Russell indices.</w:t>
                            </w:r>
                          </w:p>
                          <w:p w14:paraId="16B21A05" w14:textId="77777777" w:rsidR="00C57988" w:rsidRDefault="00C57988" w:rsidP="00C57988">
                            <w:pPr>
                              <w:rPr>
                                <w:color w:val="000000" w:themeColor="dark1"/>
                                <w:sz w:val="16"/>
                                <w:szCs w:val="16"/>
                              </w:rPr>
                            </w:pPr>
                            <w:r>
                              <w:rPr>
                                <w:color w:val="000000" w:themeColor="dark1"/>
                                <w:sz w:val="16"/>
                                <w:szCs w:val="16"/>
                              </w:rPr>
                              <w:t>[2</w:t>
                            </w:r>
                            <w:proofErr w:type="gramStart"/>
                            <w:r>
                              <w:rPr>
                                <w:color w:val="000000" w:themeColor="dark1"/>
                                <w:sz w:val="16"/>
                                <w:szCs w:val="16"/>
                              </w:rPr>
                              <w:t>]  The</w:t>
                            </w:r>
                            <w:proofErr w:type="gramEnd"/>
                            <w:r>
                              <w:rPr>
                                <w:color w:val="000000" w:themeColor="dark1"/>
                                <w:sz w:val="16"/>
                                <w:szCs w:val="16"/>
                              </w:rPr>
                              <w:t xml:space="preserve"> May Definition uses the end-of-May market capitalizations to rank securities with respect to the Russell 1000/2000 index inclusion breakpoint. This corresponds to the inclusion decision into </w:t>
                            </w:r>
                            <w:proofErr w:type="gramStart"/>
                            <w:r>
                              <w:rPr>
                                <w:color w:val="000000" w:themeColor="dark1"/>
                                <w:sz w:val="16"/>
                                <w:szCs w:val="16"/>
                              </w:rPr>
                              <w:t>either the</w:t>
                            </w:r>
                            <w:proofErr w:type="gramEnd"/>
                            <w:r>
                              <w:rPr>
                                <w:color w:val="000000" w:themeColor="dark1"/>
                                <w:sz w:val="16"/>
                                <w:szCs w:val="16"/>
                              </w:rPr>
                              <w:t xml:space="preserve"> Russell 1000/2000 indices.</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840"/>
            </w:tblGrid>
            <w:tr w:rsidR="00C57988" w:rsidRPr="00C57988" w14:paraId="2D8EBB2F" w14:textId="77777777">
              <w:trPr>
                <w:trHeight w:val="290"/>
                <w:tblCellSpacing w:w="0" w:type="dxa"/>
              </w:trPr>
              <w:tc>
                <w:tcPr>
                  <w:tcW w:w="1840" w:type="dxa"/>
                  <w:tcBorders>
                    <w:top w:val="nil"/>
                    <w:left w:val="nil"/>
                    <w:bottom w:val="nil"/>
                    <w:right w:val="nil"/>
                  </w:tcBorders>
                  <w:shd w:val="clear" w:color="auto" w:fill="auto"/>
                  <w:noWrap/>
                  <w:vAlign w:val="bottom"/>
                  <w:hideMark/>
                </w:tcPr>
                <w:p w14:paraId="164D464D" w14:textId="77777777" w:rsidR="00C57988" w:rsidRPr="00C57988" w:rsidRDefault="00C57988" w:rsidP="00C57988">
                  <w:pPr>
                    <w:spacing w:after="0" w:line="240" w:lineRule="auto"/>
                    <w:rPr>
                      <w:rFonts w:ascii="Calibri" w:eastAsia="Times New Roman" w:hAnsi="Calibri" w:cs="Calibri"/>
                      <w:color w:val="000000"/>
                    </w:rPr>
                  </w:pPr>
                </w:p>
              </w:tc>
            </w:tr>
          </w:tbl>
          <w:p w14:paraId="57AFD14A" w14:textId="77777777" w:rsidR="00C57988" w:rsidRPr="00C57988" w:rsidRDefault="00C57988" w:rsidP="00C57988">
            <w:pPr>
              <w:spacing w:after="0" w:line="240" w:lineRule="auto"/>
              <w:rPr>
                <w:rFonts w:ascii="Calibri" w:eastAsia="Times New Roman" w:hAnsi="Calibri" w:cs="Calibri"/>
                <w:color w:val="000000"/>
              </w:rPr>
            </w:pPr>
          </w:p>
        </w:tc>
        <w:tc>
          <w:tcPr>
            <w:tcW w:w="1905" w:type="dxa"/>
            <w:tcBorders>
              <w:top w:val="nil"/>
              <w:left w:val="nil"/>
              <w:bottom w:val="nil"/>
              <w:right w:val="nil"/>
            </w:tcBorders>
            <w:shd w:val="clear" w:color="auto" w:fill="auto"/>
            <w:noWrap/>
            <w:vAlign w:val="bottom"/>
            <w:hideMark/>
          </w:tcPr>
          <w:p w14:paraId="0EFCEE36"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184B376E"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879" w:type="dxa"/>
            <w:tcBorders>
              <w:top w:val="nil"/>
              <w:left w:val="nil"/>
              <w:bottom w:val="nil"/>
              <w:right w:val="nil"/>
            </w:tcBorders>
            <w:shd w:val="clear" w:color="auto" w:fill="auto"/>
            <w:noWrap/>
            <w:vAlign w:val="bottom"/>
            <w:hideMark/>
          </w:tcPr>
          <w:p w14:paraId="189A3814" w14:textId="77777777" w:rsidR="00C57988" w:rsidRPr="00C57988" w:rsidRDefault="00C57988" w:rsidP="00C57988">
            <w:pPr>
              <w:spacing w:after="0" w:line="240" w:lineRule="auto"/>
              <w:rPr>
                <w:rFonts w:ascii="Times New Roman" w:eastAsia="Times New Roman" w:hAnsi="Times New Roman" w:cs="Times New Roman"/>
                <w:sz w:val="20"/>
                <w:szCs w:val="20"/>
              </w:rPr>
            </w:pPr>
          </w:p>
        </w:tc>
      </w:tr>
      <w:tr w:rsidR="00C57988" w:rsidRPr="00C57988" w14:paraId="25991993"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37D3D6EA"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shd w:val="clear" w:color="auto" w:fill="auto"/>
            <w:noWrap/>
            <w:vAlign w:val="bottom"/>
            <w:hideMark/>
          </w:tcPr>
          <w:p w14:paraId="54E894C4"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79A00129"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879" w:type="dxa"/>
            <w:tcBorders>
              <w:top w:val="nil"/>
              <w:left w:val="nil"/>
              <w:bottom w:val="nil"/>
              <w:right w:val="nil"/>
            </w:tcBorders>
            <w:shd w:val="clear" w:color="auto" w:fill="auto"/>
            <w:noWrap/>
            <w:vAlign w:val="bottom"/>
            <w:hideMark/>
          </w:tcPr>
          <w:p w14:paraId="0A59798F" w14:textId="77777777" w:rsidR="00C57988" w:rsidRPr="00C57988" w:rsidRDefault="00C57988" w:rsidP="00C57988">
            <w:pPr>
              <w:spacing w:after="0" w:line="240" w:lineRule="auto"/>
              <w:rPr>
                <w:rFonts w:ascii="Times New Roman" w:eastAsia="Times New Roman" w:hAnsi="Times New Roman" w:cs="Times New Roman"/>
                <w:sz w:val="20"/>
                <w:szCs w:val="20"/>
              </w:rPr>
            </w:pPr>
          </w:p>
        </w:tc>
      </w:tr>
      <w:tr w:rsidR="00C57988" w:rsidRPr="00C57988" w14:paraId="52B127E0"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7D76DFD6"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shd w:val="clear" w:color="auto" w:fill="auto"/>
            <w:noWrap/>
            <w:vAlign w:val="bottom"/>
            <w:hideMark/>
          </w:tcPr>
          <w:p w14:paraId="547600DD"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4E0BFC52"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879" w:type="dxa"/>
            <w:tcBorders>
              <w:top w:val="nil"/>
              <w:left w:val="nil"/>
              <w:bottom w:val="nil"/>
              <w:right w:val="nil"/>
            </w:tcBorders>
            <w:shd w:val="clear" w:color="auto" w:fill="auto"/>
            <w:noWrap/>
            <w:vAlign w:val="bottom"/>
            <w:hideMark/>
          </w:tcPr>
          <w:p w14:paraId="3CDBAE0E" w14:textId="77777777" w:rsidR="00C57988" w:rsidRPr="00C57988" w:rsidRDefault="00C57988" w:rsidP="00C57988">
            <w:pPr>
              <w:spacing w:after="0" w:line="240" w:lineRule="auto"/>
              <w:rPr>
                <w:rFonts w:ascii="Times New Roman" w:eastAsia="Times New Roman" w:hAnsi="Times New Roman" w:cs="Times New Roman"/>
                <w:sz w:val="20"/>
                <w:szCs w:val="20"/>
              </w:rPr>
            </w:pPr>
          </w:p>
        </w:tc>
      </w:tr>
      <w:tr w:rsidR="00C57988" w:rsidRPr="00C57988" w14:paraId="7C31A59D"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71539F94"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shd w:val="clear" w:color="auto" w:fill="auto"/>
            <w:noWrap/>
            <w:vAlign w:val="bottom"/>
            <w:hideMark/>
          </w:tcPr>
          <w:p w14:paraId="301DDD7D"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04C6CD78"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879" w:type="dxa"/>
            <w:tcBorders>
              <w:top w:val="nil"/>
              <w:left w:val="nil"/>
              <w:bottom w:val="nil"/>
              <w:right w:val="nil"/>
            </w:tcBorders>
            <w:shd w:val="clear" w:color="auto" w:fill="auto"/>
            <w:noWrap/>
            <w:vAlign w:val="bottom"/>
            <w:hideMark/>
          </w:tcPr>
          <w:p w14:paraId="59C52BE4" w14:textId="77777777" w:rsidR="00C57988" w:rsidRPr="00C57988" w:rsidRDefault="00C57988" w:rsidP="00C57988">
            <w:pPr>
              <w:spacing w:after="0" w:line="240" w:lineRule="auto"/>
              <w:rPr>
                <w:rFonts w:ascii="Times New Roman" w:eastAsia="Times New Roman" w:hAnsi="Times New Roman" w:cs="Times New Roman"/>
                <w:sz w:val="20"/>
                <w:szCs w:val="20"/>
              </w:rPr>
            </w:pPr>
          </w:p>
        </w:tc>
      </w:tr>
      <w:tr w:rsidR="00C57988" w:rsidRPr="00C57988" w14:paraId="4F1ED9E1"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17AB656F"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shd w:val="clear" w:color="auto" w:fill="auto"/>
            <w:noWrap/>
            <w:vAlign w:val="bottom"/>
            <w:hideMark/>
          </w:tcPr>
          <w:p w14:paraId="255F0E4B"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4AB42B36"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879" w:type="dxa"/>
            <w:tcBorders>
              <w:top w:val="nil"/>
              <w:left w:val="nil"/>
              <w:bottom w:val="nil"/>
              <w:right w:val="nil"/>
            </w:tcBorders>
            <w:shd w:val="clear" w:color="auto" w:fill="auto"/>
            <w:noWrap/>
            <w:vAlign w:val="bottom"/>
            <w:hideMark/>
          </w:tcPr>
          <w:p w14:paraId="7CEA99E5" w14:textId="77777777" w:rsidR="00C57988" w:rsidRPr="00C57988" w:rsidRDefault="00C57988" w:rsidP="00C57988">
            <w:pPr>
              <w:spacing w:after="0" w:line="240" w:lineRule="auto"/>
              <w:rPr>
                <w:rFonts w:ascii="Times New Roman" w:eastAsia="Times New Roman" w:hAnsi="Times New Roman" w:cs="Times New Roman"/>
                <w:sz w:val="20"/>
                <w:szCs w:val="20"/>
              </w:rPr>
            </w:pPr>
          </w:p>
        </w:tc>
      </w:tr>
      <w:tr w:rsidR="00C57988" w:rsidRPr="00C57988" w14:paraId="2DA69AEB"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6D9977F5"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shd w:val="clear" w:color="auto" w:fill="auto"/>
            <w:noWrap/>
            <w:vAlign w:val="bottom"/>
            <w:hideMark/>
          </w:tcPr>
          <w:p w14:paraId="339BEF6F"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003D51DD"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879" w:type="dxa"/>
            <w:tcBorders>
              <w:top w:val="nil"/>
              <w:left w:val="nil"/>
              <w:bottom w:val="nil"/>
              <w:right w:val="nil"/>
            </w:tcBorders>
            <w:shd w:val="clear" w:color="auto" w:fill="auto"/>
            <w:noWrap/>
            <w:vAlign w:val="bottom"/>
            <w:hideMark/>
          </w:tcPr>
          <w:p w14:paraId="4B7A4B46" w14:textId="77777777" w:rsidR="00C57988" w:rsidRPr="00C57988" w:rsidRDefault="00C57988" w:rsidP="00C57988">
            <w:pPr>
              <w:spacing w:after="0" w:line="240" w:lineRule="auto"/>
              <w:rPr>
                <w:rFonts w:ascii="Times New Roman" w:eastAsia="Times New Roman" w:hAnsi="Times New Roman" w:cs="Times New Roman"/>
                <w:sz w:val="20"/>
                <w:szCs w:val="20"/>
              </w:rPr>
            </w:pPr>
          </w:p>
        </w:tc>
      </w:tr>
      <w:tr w:rsidR="00C57988" w:rsidRPr="00C57988" w14:paraId="0E81E3F9"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6B91ED1B"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shd w:val="clear" w:color="auto" w:fill="auto"/>
            <w:noWrap/>
            <w:vAlign w:val="bottom"/>
            <w:hideMark/>
          </w:tcPr>
          <w:p w14:paraId="58420670"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77FDEA99"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879" w:type="dxa"/>
            <w:tcBorders>
              <w:top w:val="nil"/>
              <w:left w:val="nil"/>
              <w:bottom w:val="nil"/>
              <w:right w:val="nil"/>
            </w:tcBorders>
            <w:shd w:val="clear" w:color="auto" w:fill="auto"/>
            <w:noWrap/>
            <w:vAlign w:val="bottom"/>
            <w:hideMark/>
          </w:tcPr>
          <w:p w14:paraId="631DEFB5" w14:textId="77777777" w:rsidR="00C57988" w:rsidRPr="00C57988" w:rsidRDefault="00C57988" w:rsidP="00C57988">
            <w:pPr>
              <w:spacing w:after="0" w:line="240" w:lineRule="auto"/>
              <w:rPr>
                <w:rFonts w:ascii="Times New Roman" w:eastAsia="Times New Roman" w:hAnsi="Times New Roman" w:cs="Times New Roman"/>
                <w:sz w:val="20"/>
                <w:szCs w:val="20"/>
              </w:rPr>
            </w:pPr>
          </w:p>
        </w:tc>
      </w:tr>
      <w:tr w:rsidR="00C57988" w:rsidRPr="00C57988" w14:paraId="01B78889"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28138C8B"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shd w:val="clear" w:color="auto" w:fill="auto"/>
            <w:noWrap/>
            <w:vAlign w:val="bottom"/>
            <w:hideMark/>
          </w:tcPr>
          <w:p w14:paraId="1103761C"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4CD6B9D5"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879" w:type="dxa"/>
            <w:tcBorders>
              <w:top w:val="nil"/>
              <w:left w:val="nil"/>
              <w:bottom w:val="nil"/>
              <w:right w:val="nil"/>
            </w:tcBorders>
            <w:shd w:val="clear" w:color="auto" w:fill="auto"/>
            <w:noWrap/>
            <w:vAlign w:val="bottom"/>
            <w:hideMark/>
          </w:tcPr>
          <w:p w14:paraId="64A3F9EB" w14:textId="77777777" w:rsidR="00C57988" w:rsidRPr="00C57988" w:rsidRDefault="00C57988" w:rsidP="00C57988">
            <w:pPr>
              <w:spacing w:after="0" w:line="240" w:lineRule="auto"/>
              <w:rPr>
                <w:rFonts w:ascii="Times New Roman" w:eastAsia="Times New Roman" w:hAnsi="Times New Roman" w:cs="Times New Roman"/>
                <w:sz w:val="20"/>
                <w:szCs w:val="20"/>
              </w:rPr>
            </w:pPr>
          </w:p>
        </w:tc>
      </w:tr>
      <w:tr w:rsidR="00C57988" w:rsidRPr="00C57988" w14:paraId="1AA05D6C" w14:textId="77777777" w:rsidTr="006C70D9">
        <w:trPr>
          <w:trHeight w:val="290"/>
          <w:jc w:val="center"/>
        </w:trPr>
        <w:tc>
          <w:tcPr>
            <w:tcW w:w="2056" w:type="dxa"/>
            <w:tcBorders>
              <w:top w:val="nil"/>
              <w:left w:val="nil"/>
              <w:bottom w:val="nil"/>
              <w:right w:val="nil"/>
            </w:tcBorders>
            <w:shd w:val="clear" w:color="auto" w:fill="auto"/>
            <w:noWrap/>
            <w:vAlign w:val="bottom"/>
            <w:hideMark/>
          </w:tcPr>
          <w:p w14:paraId="78FDB347"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shd w:val="clear" w:color="auto" w:fill="auto"/>
            <w:noWrap/>
            <w:vAlign w:val="bottom"/>
            <w:hideMark/>
          </w:tcPr>
          <w:p w14:paraId="37D39DE3" w14:textId="2225BB87" w:rsidR="00E071B7" w:rsidRPr="00C57988" w:rsidRDefault="00E071B7" w:rsidP="00C57988">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4C5CD805" w14:textId="77777777" w:rsidR="00C57988" w:rsidRPr="00C57988" w:rsidRDefault="00C57988" w:rsidP="00C57988">
            <w:pPr>
              <w:spacing w:after="0" w:line="240" w:lineRule="auto"/>
              <w:rPr>
                <w:rFonts w:ascii="Times New Roman" w:eastAsia="Times New Roman" w:hAnsi="Times New Roman" w:cs="Times New Roman"/>
                <w:sz w:val="20"/>
                <w:szCs w:val="20"/>
              </w:rPr>
            </w:pPr>
          </w:p>
        </w:tc>
        <w:tc>
          <w:tcPr>
            <w:tcW w:w="1879" w:type="dxa"/>
            <w:tcBorders>
              <w:top w:val="nil"/>
              <w:left w:val="nil"/>
              <w:bottom w:val="nil"/>
              <w:right w:val="nil"/>
            </w:tcBorders>
            <w:shd w:val="clear" w:color="auto" w:fill="auto"/>
            <w:noWrap/>
            <w:vAlign w:val="bottom"/>
            <w:hideMark/>
          </w:tcPr>
          <w:p w14:paraId="20D80764" w14:textId="77777777" w:rsidR="00C57988" w:rsidRPr="00C57988" w:rsidRDefault="00C57988" w:rsidP="00C57988">
            <w:pPr>
              <w:spacing w:after="0" w:line="240" w:lineRule="auto"/>
              <w:rPr>
                <w:rFonts w:ascii="Times New Roman" w:eastAsia="Times New Roman" w:hAnsi="Times New Roman" w:cs="Times New Roman"/>
                <w:sz w:val="20"/>
                <w:szCs w:val="20"/>
              </w:rPr>
            </w:pPr>
          </w:p>
        </w:tc>
      </w:tr>
    </w:tbl>
    <w:p w14:paraId="1D8D7B74" w14:textId="3F18D12C" w:rsidR="00E071B7" w:rsidRDefault="00E071B7">
      <w:pPr>
        <w:rPr>
          <w:rFonts w:ascii="Times New Roman" w:hAnsi="Times New Roman" w:cs="Times New Roman"/>
        </w:rPr>
      </w:pPr>
    </w:p>
    <w:p w14:paraId="361D49D8" w14:textId="77777777" w:rsidR="00E071B7" w:rsidRDefault="00E071B7">
      <w:pPr>
        <w:rPr>
          <w:rFonts w:ascii="Times New Roman" w:hAnsi="Times New Roman" w:cs="Times New Roman"/>
        </w:rPr>
      </w:pPr>
      <w:r>
        <w:rPr>
          <w:rFonts w:ascii="Times New Roman" w:hAnsi="Times New Roman" w:cs="Times New Roman"/>
        </w:rPr>
        <w:br w:type="page"/>
      </w:r>
    </w:p>
    <w:tbl>
      <w:tblPr>
        <w:tblW w:w="8436" w:type="dxa"/>
        <w:jc w:val="center"/>
        <w:tblLook w:val="04A0" w:firstRow="1" w:lastRow="0" w:firstColumn="1" w:lastColumn="0" w:noHBand="0" w:noVBand="1"/>
      </w:tblPr>
      <w:tblGrid>
        <w:gridCol w:w="3597"/>
        <w:gridCol w:w="967"/>
        <w:gridCol w:w="1112"/>
        <w:gridCol w:w="271"/>
        <w:gridCol w:w="1219"/>
        <w:gridCol w:w="1434"/>
      </w:tblGrid>
      <w:tr w:rsidR="00445072" w:rsidRPr="00445072" w14:paraId="50CFD23B" w14:textId="77777777" w:rsidTr="00445072">
        <w:trPr>
          <w:trHeight w:val="410"/>
          <w:jc w:val="center"/>
        </w:trPr>
        <w:tc>
          <w:tcPr>
            <w:tcW w:w="8436" w:type="dxa"/>
            <w:gridSpan w:val="6"/>
            <w:tcBorders>
              <w:top w:val="nil"/>
              <w:left w:val="nil"/>
              <w:bottom w:val="nil"/>
              <w:right w:val="nil"/>
            </w:tcBorders>
            <w:shd w:val="clear" w:color="auto" w:fill="auto"/>
            <w:noWrap/>
            <w:vAlign w:val="bottom"/>
            <w:hideMark/>
          </w:tcPr>
          <w:p w14:paraId="04411BB0" w14:textId="77777777" w:rsidR="00445072" w:rsidRPr="00445072" w:rsidRDefault="00445072" w:rsidP="00445072">
            <w:pPr>
              <w:spacing w:after="0" w:line="240" w:lineRule="auto"/>
              <w:jc w:val="center"/>
              <w:rPr>
                <w:rFonts w:ascii="Times New Roman" w:eastAsia="Times New Roman" w:hAnsi="Times New Roman" w:cs="Times New Roman"/>
                <w:b/>
                <w:bCs/>
                <w:color w:val="000000"/>
                <w:sz w:val="32"/>
                <w:szCs w:val="32"/>
              </w:rPr>
            </w:pPr>
            <w:r w:rsidRPr="00445072">
              <w:rPr>
                <w:rFonts w:ascii="Times New Roman" w:eastAsia="Times New Roman" w:hAnsi="Times New Roman" w:cs="Times New Roman"/>
                <w:b/>
                <w:bCs/>
                <w:color w:val="000000"/>
                <w:sz w:val="32"/>
                <w:szCs w:val="32"/>
              </w:rPr>
              <w:lastRenderedPageBreak/>
              <w:t>Table 4</w:t>
            </w:r>
          </w:p>
        </w:tc>
      </w:tr>
      <w:tr w:rsidR="00445072" w:rsidRPr="00445072" w14:paraId="390998F2" w14:textId="77777777" w:rsidTr="00445072">
        <w:trPr>
          <w:trHeight w:val="810"/>
          <w:jc w:val="center"/>
        </w:trPr>
        <w:tc>
          <w:tcPr>
            <w:tcW w:w="8436" w:type="dxa"/>
            <w:gridSpan w:val="6"/>
            <w:tcBorders>
              <w:top w:val="nil"/>
              <w:left w:val="nil"/>
              <w:bottom w:val="nil"/>
              <w:right w:val="nil"/>
            </w:tcBorders>
            <w:shd w:val="clear" w:color="auto" w:fill="auto"/>
            <w:vAlign w:val="bottom"/>
            <w:hideMark/>
          </w:tcPr>
          <w:p w14:paraId="4FC0F87C" w14:textId="77777777" w:rsidR="00445072" w:rsidRPr="00445072" w:rsidRDefault="00445072" w:rsidP="00445072">
            <w:pPr>
              <w:spacing w:after="0" w:line="240" w:lineRule="auto"/>
              <w:jc w:val="center"/>
              <w:rPr>
                <w:rFonts w:ascii="Times New Roman" w:eastAsia="Times New Roman" w:hAnsi="Times New Roman" w:cs="Times New Roman"/>
                <w:b/>
                <w:bCs/>
                <w:color w:val="000000"/>
                <w:sz w:val="32"/>
                <w:szCs w:val="32"/>
              </w:rPr>
            </w:pPr>
            <w:r w:rsidRPr="00445072">
              <w:rPr>
                <w:rFonts w:ascii="Times New Roman" w:eastAsia="Times New Roman" w:hAnsi="Times New Roman" w:cs="Times New Roman"/>
                <w:b/>
                <w:bCs/>
                <w:color w:val="000000"/>
                <w:sz w:val="32"/>
                <w:szCs w:val="32"/>
              </w:rPr>
              <w:t>t-statistics from Perturbations in the Bandwidths Around the Discontinuity [1]</w:t>
            </w:r>
          </w:p>
        </w:tc>
      </w:tr>
      <w:tr w:rsidR="00445072" w:rsidRPr="00445072" w14:paraId="6E9A157E"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403D44F8" w14:textId="77777777" w:rsidR="00445072" w:rsidRPr="00445072" w:rsidRDefault="00445072" w:rsidP="00445072">
            <w:pPr>
              <w:spacing w:after="0" w:line="240" w:lineRule="auto"/>
              <w:jc w:val="center"/>
              <w:rPr>
                <w:rFonts w:ascii="Times New Roman" w:eastAsia="Times New Roman" w:hAnsi="Times New Roman" w:cs="Times New Roman"/>
                <w:b/>
                <w:bCs/>
                <w:color w:val="000000"/>
                <w:sz w:val="32"/>
                <w:szCs w:val="32"/>
              </w:rPr>
            </w:pPr>
          </w:p>
        </w:tc>
        <w:tc>
          <w:tcPr>
            <w:tcW w:w="967" w:type="dxa"/>
            <w:tcBorders>
              <w:top w:val="nil"/>
              <w:left w:val="nil"/>
              <w:bottom w:val="nil"/>
              <w:right w:val="nil"/>
            </w:tcBorders>
            <w:shd w:val="clear" w:color="auto" w:fill="auto"/>
            <w:noWrap/>
            <w:vAlign w:val="bottom"/>
            <w:hideMark/>
          </w:tcPr>
          <w:p w14:paraId="098BBBC2"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112" w:type="dxa"/>
            <w:tcBorders>
              <w:top w:val="nil"/>
              <w:left w:val="nil"/>
              <w:bottom w:val="nil"/>
              <w:right w:val="nil"/>
            </w:tcBorders>
            <w:shd w:val="clear" w:color="auto" w:fill="auto"/>
            <w:noWrap/>
            <w:vAlign w:val="bottom"/>
            <w:hideMark/>
          </w:tcPr>
          <w:p w14:paraId="50AEB6E6"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07" w:type="dxa"/>
            <w:tcBorders>
              <w:top w:val="nil"/>
              <w:left w:val="nil"/>
              <w:bottom w:val="nil"/>
              <w:right w:val="nil"/>
            </w:tcBorders>
            <w:shd w:val="clear" w:color="auto" w:fill="auto"/>
            <w:noWrap/>
            <w:vAlign w:val="bottom"/>
            <w:hideMark/>
          </w:tcPr>
          <w:p w14:paraId="59AB82F3"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219" w:type="dxa"/>
            <w:tcBorders>
              <w:top w:val="nil"/>
              <w:left w:val="nil"/>
              <w:bottom w:val="nil"/>
              <w:right w:val="nil"/>
            </w:tcBorders>
            <w:shd w:val="clear" w:color="auto" w:fill="auto"/>
            <w:noWrap/>
            <w:vAlign w:val="bottom"/>
            <w:hideMark/>
          </w:tcPr>
          <w:p w14:paraId="23CB859C"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14:paraId="51D189A3" w14:textId="77777777" w:rsidR="00445072" w:rsidRPr="00445072" w:rsidRDefault="00445072" w:rsidP="00445072">
            <w:pPr>
              <w:spacing w:after="0" w:line="240" w:lineRule="auto"/>
              <w:rPr>
                <w:rFonts w:ascii="Times New Roman" w:eastAsia="Times New Roman" w:hAnsi="Times New Roman" w:cs="Times New Roman"/>
                <w:sz w:val="20"/>
                <w:szCs w:val="20"/>
              </w:rPr>
            </w:pPr>
          </w:p>
        </w:tc>
      </w:tr>
      <w:tr w:rsidR="00445072" w:rsidRPr="00445072" w14:paraId="44B213EB"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28377677"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2079" w:type="dxa"/>
            <w:gridSpan w:val="2"/>
            <w:tcBorders>
              <w:top w:val="nil"/>
              <w:left w:val="nil"/>
              <w:bottom w:val="single" w:sz="4" w:space="0" w:color="auto"/>
              <w:right w:val="nil"/>
            </w:tcBorders>
            <w:shd w:val="clear" w:color="auto" w:fill="auto"/>
            <w:noWrap/>
            <w:vAlign w:val="bottom"/>
            <w:hideMark/>
          </w:tcPr>
          <w:p w14:paraId="72C87816" w14:textId="77777777" w:rsidR="00445072" w:rsidRPr="00445072" w:rsidRDefault="00445072" w:rsidP="00445072">
            <w:pPr>
              <w:spacing w:after="0" w:line="240" w:lineRule="auto"/>
              <w:jc w:val="center"/>
              <w:rPr>
                <w:rFonts w:ascii="Times New Roman" w:eastAsia="Times New Roman" w:hAnsi="Times New Roman" w:cs="Times New Roman"/>
                <w:b/>
                <w:bCs/>
                <w:color w:val="000000"/>
              </w:rPr>
            </w:pPr>
            <w:r w:rsidRPr="00445072">
              <w:rPr>
                <w:rFonts w:ascii="Times New Roman" w:eastAsia="Times New Roman" w:hAnsi="Times New Roman" w:cs="Times New Roman"/>
                <w:b/>
                <w:bCs/>
                <w:color w:val="000000"/>
              </w:rPr>
              <w:t>Original [2]</w:t>
            </w:r>
          </w:p>
        </w:tc>
        <w:tc>
          <w:tcPr>
            <w:tcW w:w="107" w:type="dxa"/>
            <w:tcBorders>
              <w:top w:val="nil"/>
              <w:left w:val="nil"/>
              <w:bottom w:val="nil"/>
              <w:right w:val="nil"/>
            </w:tcBorders>
            <w:shd w:val="clear" w:color="auto" w:fill="auto"/>
            <w:noWrap/>
            <w:vAlign w:val="bottom"/>
            <w:hideMark/>
          </w:tcPr>
          <w:p w14:paraId="0FB3E16D" w14:textId="77777777" w:rsidR="00445072" w:rsidRPr="00445072" w:rsidRDefault="00445072" w:rsidP="00445072">
            <w:pPr>
              <w:spacing w:after="0" w:line="240" w:lineRule="auto"/>
              <w:jc w:val="center"/>
              <w:rPr>
                <w:rFonts w:ascii="Times New Roman" w:eastAsia="Times New Roman" w:hAnsi="Times New Roman" w:cs="Times New Roman"/>
                <w:b/>
                <w:bCs/>
                <w:color w:val="000000"/>
              </w:rPr>
            </w:pPr>
          </w:p>
        </w:tc>
        <w:tc>
          <w:tcPr>
            <w:tcW w:w="2653" w:type="dxa"/>
            <w:gridSpan w:val="2"/>
            <w:tcBorders>
              <w:top w:val="nil"/>
              <w:left w:val="nil"/>
              <w:bottom w:val="single" w:sz="4" w:space="0" w:color="auto"/>
              <w:right w:val="nil"/>
            </w:tcBorders>
            <w:shd w:val="clear" w:color="auto" w:fill="auto"/>
            <w:noWrap/>
            <w:vAlign w:val="bottom"/>
            <w:hideMark/>
          </w:tcPr>
          <w:p w14:paraId="02DBC8C6" w14:textId="77777777" w:rsidR="00445072" w:rsidRPr="00445072" w:rsidRDefault="00445072" w:rsidP="00445072">
            <w:pPr>
              <w:spacing w:after="0" w:line="240" w:lineRule="auto"/>
              <w:jc w:val="center"/>
              <w:rPr>
                <w:rFonts w:ascii="Times New Roman" w:eastAsia="Times New Roman" w:hAnsi="Times New Roman" w:cs="Times New Roman"/>
                <w:b/>
                <w:bCs/>
                <w:color w:val="000000"/>
              </w:rPr>
            </w:pPr>
            <w:r w:rsidRPr="00445072">
              <w:rPr>
                <w:rFonts w:ascii="Times New Roman" w:eastAsia="Times New Roman" w:hAnsi="Times New Roman" w:cs="Times New Roman"/>
                <w:b/>
                <w:bCs/>
                <w:color w:val="000000"/>
              </w:rPr>
              <w:t>New [3]</w:t>
            </w:r>
          </w:p>
        </w:tc>
      </w:tr>
      <w:tr w:rsidR="00445072" w:rsidRPr="00445072" w14:paraId="1950C2BF" w14:textId="77777777" w:rsidTr="00445072">
        <w:trPr>
          <w:trHeight w:val="290"/>
          <w:jc w:val="center"/>
        </w:trPr>
        <w:tc>
          <w:tcPr>
            <w:tcW w:w="3597" w:type="dxa"/>
            <w:tcBorders>
              <w:top w:val="nil"/>
              <w:left w:val="nil"/>
              <w:bottom w:val="single" w:sz="4" w:space="0" w:color="auto"/>
              <w:right w:val="nil"/>
            </w:tcBorders>
            <w:shd w:val="clear" w:color="auto" w:fill="auto"/>
            <w:noWrap/>
            <w:vAlign w:val="bottom"/>
            <w:hideMark/>
          </w:tcPr>
          <w:p w14:paraId="7EB2FCDB" w14:textId="77777777" w:rsidR="00445072" w:rsidRPr="00445072" w:rsidRDefault="00445072" w:rsidP="00445072">
            <w:pPr>
              <w:spacing w:after="0" w:line="240" w:lineRule="auto"/>
              <w:rPr>
                <w:rFonts w:ascii="Times New Roman" w:eastAsia="Times New Roman" w:hAnsi="Times New Roman" w:cs="Times New Roman"/>
                <w:b/>
                <w:bCs/>
                <w:color w:val="000000"/>
              </w:rPr>
            </w:pPr>
            <w:r w:rsidRPr="00445072">
              <w:rPr>
                <w:rFonts w:ascii="Times New Roman" w:eastAsia="Times New Roman" w:hAnsi="Times New Roman" w:cs="Times New Roman"/>
                <w:b/>
                <w:bCs/>
                <w:color w:val="000000"/>
              </w:rPr>
              <w:t>Construct</w:t>
            </w:r>
          </w:p>
        </w:tc>
        <w:tc>
          <w:tcPr>
            <w:tcW w:w="967" w:type="dxa"/>
            <w:tcBorders>
              <w:top w:val="nil"/>
              <w:left w:val="nil"/>
              <w:bottom w:val="single" w:sz="4" w:space="0" w:color="auto"/>
              <w:right w:val="nil"/>
            </w:tcBorders>
            <w:shd w:val="clear" w:color="auto" w:fill="auto"/>
            <w:noWrap/>
            <w:vAlign w:val="bottom"/>
            <w:hideMark/>
          </w:tcPr>
          <w:p w14:paraId="339B5046" w14:textId="77777777" w:rsidR="00445072" w:rsidRPr="00445072" w:rsidRDefault="00445072" w:rsidP="00445072">
            <w:pPr>
              <w:spacing w:after="0" w:line="240" w:lineRule="auto"/>
              <w:jc w:val="center"/>
              <w:rPr>
                <w:rFonts w:ascii="Times New Roman" w:eastAsia="Times New Roman" w:hAnsi="Times New Roman" w:cs="Times New Roman"/>
                <w:b/>
                <w:bCs/>
                <w:color w:val="000000"/>
              </w:rPr>
            </w:pPr>
            <w:r w:rsidRPr="00445072">
              <w:rPr>
                <w:rFonts w:ascii="Times New Roman" w:eastAsia="Times New Roman" w:hAnsi="Times New Roman" w:cs="Times New Roman"/>
                <w:b/>
                <w:bCs/>
                <w:color w:val="000000"/>
              </w:rPr>
              <w:t>0-50</w:t>
            </w:r>
          </w:p>
        </w:tc>
        <w:tc>
          <w:tcPr>
            <w:tcW w:w="1112" w:type="dxa"/>
            <w:tcBorders>
              <w:top w:val="nil"/>
              <w:left w:val="nil"/>
              <w:bottom w:val="single" w:sz="4" w:space="0" w:color="auto"/>
              <w:right w:val="nil"/>
            </w:tcBorders>
            <w:shd w:val="clear" w:color="auto" w:fill="auto"/>
            <w:noWrap/>
            <w:vAlign w:val="bottom"/>
            <w:hideMark/>
          </w:tcPr>
          <w:p w14:paraId="68636ADD" w14:textId="77777777" w:rsidR="00445072" w:rsidRPr="00445072" w:rsidRDefault="00445072" w:rsidP="00445072">
            <w:pPr>
              <w:spacing w:after="0" w:line="240" w:lineRule="auto"/>
              <w:jc w:val="center"/>
              <w:rPr>
                <w:rFonts w:ascii="Times New Roman" w:eastAsia="Times New Roman" w:hAnsi="Times New Roman" w:cs="Times New Roman"/>
                <w:b/>
                <w:bCs/>
                <w:color w:val="000000"/>
              </w:rPr>
            </w:pPr>
            <w:r w:rsidRPr="00445072">
              <w:rPr>
                <w:rFonts w:ascii="Times New Roman" w:eastAsia="Times New Roman" w:hAnsi="Times New Roman" w:cs="Times New Roman"/>
                <w:b/>
                <w:bCs/>
                <w:color w:val="000000"/>
              </w:rPr>
              <w:t>0-100</w:t>
            </w:r>
          </w:p>
        </w:tc>
        <w:tc>
          <w:tcPr>
            <w:tcW w:w="107" w:type="dxa"/>
            <w:tcBorders>
              <w:top w:val="nil"/>
              <w:left w:val="nil"/>
              <w:bottom w:val="single" w:sz="4" w:space="0" w:color="auto"/>
              <w:right w:val="nil"/>
            </w:tcBorders>
            <w:shd w:val="clear" w:color="auto" w:fill="auto"/>
            <w:noWrap/>
            <w:vAlign w:val="bottom"/>
            <w:hideMark/>
          </w:tcPr>
          <w:p w14:paraId="49078D88" w14:textId="77777777" w:rsidR="00445072" w:rsidRPr="00445072" w:rsidRDefault="00445072" w:rsidP="00445072">
            <w:pPr>
              <w:spacing w:after="0" w:line="240" w:lineRule="auto"/>
              <w:jc w:val="center"/>
              <w:rPr>
                <w:rFonts w:ascii="Times New Roman" w:eastAsia="Times New Roman" w:hAnsi="Times New Roman" w:cs="Times New Roman"/>
                <w:b/>
                <w:bCs/>
                <w:color w:val="000000"/>
              </w:rPr>
            </w:pPr>
            <w:r w:rsidRPr="00445072">
              <w:rPr>
                <w:rFonts w:ascii="Times New Roman" w:eastAsia="Times New Roman" w:hAnsi="Times New Roman" w:cs="Times New Roman"/>
                <w:b/>
                <w:bCs/>
                <w:color w:val="000000"/>
              </w:rPr>
              <w:t> </w:t>
            </w:r>
          </w:p>
        </w:tc>
        <w:tc>
          <w:tcPr>
            <w:tcW w:w="1219" w:type="dxa"/>
            <w:tcBorders>
              <w:top w:val="nil"/>
              <w:left w:val="nil"/>
              <w:bottom w:val="single" w:sz="4" w:space="0" w:color="auto"/>
              <w:right w:val="nil"/>
            </w:tcBorders>
            <w:shd w:val="clear" w:color="auto" w:fill="auto"/>
            <w:noWrap/>
            <w:vAlign w:val="bottom"/>
            <w:hideMark/>
          </w:tcPr>
          <w:p w14:paraId="41CD6DCD" w14:textId="77777777" w:rsidR="00445072" w:rsidRPr="00445072" w:rsidRDefault="00445072" w:rsidP="00445072">
            <w:pPr>
              <w:spacing w:after="0" w:line="240" w:lineRule="auto"/>
              <w:jc w:val="center"/>
              <w:rPr>
                <w:rFonts w:ascii="Times New Roman" w:eastAsia="Times New Roman" w:hAnsi="Times New Roman" w:cs="Times New Roman"/>
                <w:b/>
                <w:bCs/>
                <w:color w:val="000000"/>
              </w:rPr>
            </w:pPr>
            <w:r w:rsidRPr="00445072">
              <w:rPr>
                <w:rFonts w:ascii="Times New Roman" w:eastAsia="Times New Roman" w:hAnsi="Times New Roman" w:cs="Times New Roman"/>
                <w:b/>
                <w:bCs/>
                <w:color w:val="000000"/>
              </w:rPr>
              <w:t>50-100</w:t>
            </w:r>
          </w:p>
        </w:tc>
        <w:tc>
          <w:tcPr>
            <w:tcW w:w="1434" w:type="dxa"/>
            <w:tcBorders>
              <w:top w:val="nil"/>
              <w:left w:val="nil"/>
              <w:bottom w:val="single" w:sz="4" w:space="0" w:color="auto"/>
              <w:right w:val="nil"/>
            </w:tcBorders>
            <w:shd w:val="clear" w:color="auto" w:fill="auto"/>
            <w:noWrap/>
            <w:vAlign w:val="bottom"/>
            <w:hideMark/>
          </w:tcPr>
          <w:p w14:paraId="00FA31AF" w14:textId="77777777" w:rsidR="00445072" w:rsidRPr="00445072" w:rsidRDefault="00445072" w:rsidP="00445072">
            <w:pPr>
              <w:spacing w:after="0" w:line="240" w:lineRule="auto"/>
              <w:jc w:val="center"/>
              <w:rPr>
                <w:rFonts w:ascii="Times New Roman" w:eastAsia="Times New Roman" w:hAnsi="Times New Roman" w:cs="Times New Roman"/>
                <w:b/>
                <w:bCs/>
                <w:color w:val="000000"/>
              </w:rPr>
            </w:pPr>
            <w:r w:rsidRPr="00445072">
              <w:rPr>
                <w:rFonts w:ascii="Times New Roman" w:eastAsia="Times New Roman" w:hAnsi="Times New Roman" w:cs="Times New Roman"/>
                <w:b/>
                <w:bCs/>
                <w:color w:val="000000"/>
              </w:rPr>
              <w:t>100-200</w:t>
            </w:r>
          </w:p>
        </w:tc>
      </w:tr>
      <w:tr w:rsidR="00445072" w:rsidRPr="00445072" w14:paraId="411F20AD" w14:textId="77777777" w:rsidTr="00445072">
        <w:trPr>
          <w:trHeight w:val="290"/>
          <w:jc w:val="center"/>
        </w:trPr>
        <w:tc>
          <w:tcPr>
            <w:tcW w:w="4564" w:type="dxa"/>
            <w:gridSpan w:val="2"/>
            <w:tcBorders>
              <w:top w:val="nil"/>
              <w:left w:val="nil"/>
              <w:bottom w:val="nil"/>
              <w:right w:val="nil"/>
            </w:tcBorders>
            <w:shd w:val="clear" w:color="auto" w:fill="auto"/>
            <w:noWrap/>
            <w:vAlign w:val="bottom"/>
            <w:hideMark/>
          </w:tcPr>
          <w:p w14:paraId="4A4BC765" w14:textId="77777777" w:rsidR="00445072" w:rsidRPr="00445072" w:rsidRDefault="00445072" w:rsidP="00445072">
            <w:pPr>
              <w:spacing w:after="0" w:line="240" w:lineRule="auto"/>
              <w:rPr>
                <w:rFonts w:ascii="Calibri" w:eastAsia="Times New Roman" w:hAnsi="Calibri" w:cs="Calibri"/>
                <w:i/>
                <w:iCs/>
                <w:color w:val="000000"/>
                <w:u w:val="single"/>
              </w:rPr>
            </w:pPr>
            <w:r w:rsidRPr="00445072">
              <w:rPr>
                <w:rFonts w:ascii="Calibri" w:eastAsia="Times New Roman" w:hAnsi="Calibri" w:cs="Calibri"/>
                <w:i/>
                <w:iCs/>
                <w:color w:val="000000"/>
                <w:u w:val="single"/>
              </w:rPr>
              <w:t>Difference in Means</w:t>
            </w:r>
          </w:p>
        </w:tc>
        <w:tc>
          <w:tcPr>
            <w:tcW w:w="1112" w:type="dxa"/>
            <w:tcBorders>
              <w:top w:val="nil"/>
              <w:left w:val="nil"/>
              <w:bottom w:val="nil"/>
              <w:right w:val="nil"/>
            </w:tcBorders>
            <w:shd w:val="clear" w:color="auto" w:fill="auto"/>
            <w:noWrap/>
            <w:vAlign w:val="bottom"/>
            <w:hideMark/>
          </w:tcPr>
          <w:p w14:paraId="582D40E6" w14:textId="77777777" w:rsidR="00445072" w:rsidRPr="00445072" w:rsidRDefault="00445072" w:rsidP="00445072">
            <w:pPr>
              <w:spacing w:after="0" w:line="240" w:lineRule="auto"/>
              <w:rPr>
                <w:rFonts w:ascii="Calibri" w:eastAsia="Times New Roman" w:hAnsi="Calibri" w:cs="Calibri"/>
                <w:i/>
                <w:iCs/>
                <w:color w:val="000000"/>
                <w:u w:val="single"/>
              </w:rPr>
            </w:pPr>
          </w:p>
        </w:tc>
        <w:tc>
          <w:tcPr>
            <w:tcW w:w="107" w:type="dxa"/>
            <w:tcBorders>
              <w:top w:val="nil"/>
              <w:left w:val="nil"/>
              <w:bottom w:val="nil"/>
              <w:right w:val="nil"/>
            </w:tcBorders>
            <w:shd w:val="clear" w:color="auto" w:fill="auto"/>
            <w:noWrap/>
            <w:vAlign w:val="bottom"/>
            <w:hideMark/>
          </w:tcPr>
          <w:p w14:paraId="5B1F998F"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219" w:type="dxa"/>
            <w:tcBorders>
              <w:top w:val="nil"/>
              <w:left w:val="nil"/>
              <w:bottom w:val="nil"/>
              <w:right w:val="nil"/>
            </w:tcBorders>
            <w:shd w:val="clear" w:color="auto" w:fill="auto"/>
            <w:noWrap/>
            <w:vAlign w:val="bottom"/>
            <w:hideMark/>
          </w:tcPr>
          <w:p w14:paraId="6652F344"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14:paraId="174B5C42" w14:textId="77777777" w:rsidR="00445072" w:rsidRPr="00445072" w:rsidRDefault="00445072" w:rsidP="00445072">
            <w:pPr>
              <w:spacing w:after="0" w:line="240" w:lineRule="auto"/>
              <w:rPr>
                <w:rFonts w:ascii="Times New Roman" w:eastAsia="Times New Roman" w:hAnsi="Times New Roman" w:cs="Times New Roman"/>
                <w:sz w:val="20"/>
                <w:szCs w:val="20"/>
              </w:rPr>
            </w:pPr>
          </w:p>
        </w:tc>
      </w:tr>
      <w:tr w:rsidR="00445072" w:rsidRPr="00445072" w14:paraId="6B6DB1EE"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62355860" w14:textId="77777777" w:rsidR="00445072" w:rsidRPr="00445072" w:rsidRDefault="00445072" w:rsidP="00445072">
            <w:pPr>
              <w:spacing w:after="0" w:line="240" w:lineRule="auto"/>
              <w:rPr>
                <w:rFonts w:ascii="Times New Roman" w:eastAsia="Times New Roman" w:hAnsi="Times New Roman" w:cs="Times New Roman"/>
                <w:color w:val="000000"/>
              </w:rPr>
            </w:pPr>
            <w:r w:rsidRPr="00445072">
              <w:rPr>
                <w:rFonts w:ascii="Times New Roman" w:eastAsia="Times New Roman" w:hAnsi="Times New Roman" w:cs="Times New Roman"/>
                <w:color w:val="000000"/>
              </w:rPr>
              <w:t>Bid-ask spread</w:t>
            </w:r>
          </w:p>
        </w:tc>
        <w:tc>
          <w:tcPr>
            <w:tcW w:w="967" w:type="dxa"/>
            <w:tcBorders>
              <w:top w:val="nil"/>
              <w:left w:val="nil"/>
              <w:bottom w:val="nil"/>
              <w:right w:val="nil"/>
            </w:tcBorders>
            <w:shd w:val="clear" w:color="000000" w:fill="E2EFDA"/>
            <w:noWrap/>
            <w:vAlign w:val="bottom"/>
            <w:hideMark/>
          </w:tcPr>
          <w:p w14:paraId="338C3850"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-8.76</w:t>
            </w:r>
          </w:p>
        </w:tc>
        <w:tc>
          <w:tcPr>
            <w:tcW w:w="1112" w:type="dxa"/>
            <w:tcBorders>
              <w:top w:val="nil"/>
              <w:left w:val="nil"/>
              <w:bottom w:val="nil"/>
              <w:right w:val="nil"/>
            </w:tcBorders>
            <w:shd w:val="clear" w:color="000000" w:fill="E2EFDA"/>
            <w:noWrap/>
            <w:vAlign w:val="bottom"/>
            <w:hideMark/>
          </w:tcPr>
          <w:p w14:paraId="25591BF2"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-10.39</w:t>
            </w:r>
          </w:p>
        </w:tc>
        <w:tc>
          <w:tcPr>
            <w:tcW w:w="107" w:type="dxa"/>
            <w:tcBorders>
              <w:top w:val="nil"/>
              <w:left w:val="nil"/>
              <w:bottom w:val="nil"/>
              <w:right w:val="nil"/>
            </w:tcBorders>
            <w:shd w:val="clear" w:color="000000" w:fill="E2EFDA"/>
            <w:noWrap/>
            <w:vAlign w:val="bottom"/>
            <w:hideMark/>
          </w:tcPr>
          <w:p w14:paraId="6691E64F"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 </w:t>
            </w:r>
          </w:p>
        </w:tc>
        <w:tc>
          <w:tcPr>
            <w:tcW w:w="1219" w:type="dxa"/>
            <w:tcBorders>
              <w:top w:val="nil"/>
              <w:left w:val="nil"/>
              <w:bottom w:val="nil"/>
              <w:right w:val="nil"/>
            </w:tcBorders>
            <w:shd w:val="clear" w:color="000000" w:fill="E2EFDA"/>
            <w:noWrap/>
            <w:vAlign w:val="bottom"/>
            <w:hideMark/>
          </w:tcPr>
          <w:p w14:paraId="063D44E9"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-9.32</w:t>
            </w:r>
          </w:p>
        </w:tc>
        <w:tc>
          <w:tcPr>
            <w:tcW w:w="1434" w:type="dxa"/>
            <w:tcBorders>
              <w:top w:val="nil"/>
              <w:left w:val="nil"/>
              <w:bottom w:val="nil"/>
              <w:right w:val="nil"/>
            </w:tcBorders>
            <w:shd w:val="clear" w:color="000000" w:fill="E2EFDA"/>
            <w:noWrap/>
            <w:vAlign w:val="bottom"/>
            <w:hideMark/>
          </w:tcPr>
          <w:p w14:paraId="77895ACF"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-4.77</w:t>
            </w:r>
          </w:p>
        </w:tc>
      </w:tr>
      <w:tr w:rsidR="00445072" w:rsidRPr="00445072" w14:paraId="0F2075B0"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6A4FE5AE" w14:textId="77777777" w:rsidR="00445072" w:rsidRPr="00445072" w:rsidRDefault="00445072" w:rsidP="00445072">
            <w:pPr>
              <w:spacing w:after="0" w:line="240" w:lineRule="auto"/>
              <w:rPr>
                <w:rFonts w:ascii="Times New Roman" w:eastAsia="Times New Roman" w:hAnsi="Times New Roman" w:cs="Times New Roman"/>
                <w:color w:val="000000"/>
              </w:rPr>
            </w:pPr>
            <w:r w:rsidRPr="00445072">
              <w:rPr>
                <w:rFonts w:ascii="Times New Roman" w:eastAsia="Times New Roman" w:hAnsi="Times New Roman" w:cs="Times New Roman"/>
                <w:color w:val="000000"/>
              </w:rPr>
              <w:t>Turnover</w:t>
            </w:r>
          </w:p>
        </w:tc>
        <w:tc>
          <w:tcPr>
            <w:tcW w:w="967" w:type="dxa"/>
            <w:tcBorders>
              <w:top w:val="nil"/>
              <w:left w:val="nil"/>
              <w:bottom w:val="nil"/>
              <w:right w:val="nil"/>
            </w:tcBorders>
            <w:shd w:val="clear" w:color="000000" w:fill="E2EFDA"/>
            <w:noWrap/>
            <w:vAlign w:val="bottom"/>
            <w:hideMark/>
          </w:tcPr>
          <w:p w14:paraId="162B258C"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13.5</w:t>
            </w:r>
          </w:p>
        </w:tc>
        <w:tc>
          <w:tcPr>
            <w:tcW w:w="1112" w:type="dxa"/>
            <w:tcBorders>
              <w:top w:val="nil"/>
              <w:left w:val="nil"/>
              <w:bottom w:val="nil"/>
              <w:right w:val="nil"/>
            </w:tcBorders>
            <w:shd w:val="clear" w:color="000000" w:fill="E2EFDA"/>
            <w:noWrap/>
            <w:vAlign w:val="bottom"/>
            <w:hideMark/>
          </w:tcPr>
          <w:p w14:paraId="104C1D77"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10.43</w:t>
            </w:r>
          </w:p>
        </w:tc>
        <w:tc>
          <w:tcPr>
            <w:tcW w:w="107" w:type="dxa"/>
            <w:tcBorders>
              <w:top w:val="nil"/>
              <w:left w:val="nil"/>
              <w:bottom w:val="nil"/>
              <w:right w:val="nil"/>
            </w:tcBorders>
            <w:shd w:val="clear" w:color="000000" w:fill="E2EFDA"/>
            <w:noWrap/>
            <w:vAlign w:val="bottom"/>
            <w:hideMark/>
          </w:tcPr>
          <w:p w14:paraId="53131B25"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 </w:t>
            </w:r>
          </w:p>
        </w:tc>
        <w:tc>
          <w:tcPr>
            <w:tcW w:w="1219" w:type="dxa"/>
            <w:tcBorders>
              <w:top w:val="nil"/>
              <w:left w:val="nil"/>
              <w:bottom w:val="nil"/>
              <w:right w:val="nil"/>
            </w:tcBorders>
            <w:shd w:val="clear" w:color="000000" w:fill="FFFF00"/>
            <w:noWrap/>
            <w:vAlign w:val="bottom"/>
            <w:hideMark/>
          </w:tcPr>
          <w:p w14:paraId="1F054E22"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0.02</w:t>
            </w:r>
          </w:p>
        </w:tc>
        <w:tc>
          <w:tcPr>
            <w:tcW w:w="1434" w:type="dxa"/>
            <w:tcBorders>
              <w:top w:val="nil"/>
              <w:left w:val="nil"/>
              <w:bottom w:val="nil"/>
              <w:right w:val="nil"/>
            </w:tcBorders>
            <w:shd w:val="clear" w:color="000000" w:fill="FFFF00"/>
            <w:noWrap/>
            <w:vAlign w:val="bottom"/>
            <w:hideMark/>
          </w:tcPr>
          <w:p w14:paraId="29933336"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-0.7</w:t>
            </w:r>
          </w:p>
        </w:tc>
      </w:tr>
      <w:tr w:rsidR="00445072" w:rsidRPr="00445072" w14:paraId="3B022BD9"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6B4F96F5" w14:textId="77777777" w:rsidR="00445072" w:rsidRPr="00445072" w:rsidRDefault="00445072" w:rsidP="00445072">
            <w:pPr>
              <w:spacing w:after="0" w:line="240" w:lineRule="auto"/>
              <w:rPr>
                <w:rFonts w:ascii="Times New Roman" w:eastAsia="Times New Roman" w:hAnsi="Times New Roman" w:cs="Times New Roman"/>
                <w:color w:val="000000"/>
              </w:rPr>
            </w:pPr>
            <w:r w:rsidRPr="00445072">
              <w:rPr>
                <w:rFonts w:ascii="Times New Roman" w:eastAsia="Times New Roman" w:hAnsi="Times New Roman" w:cs="Times New Roman"/>
                <w:color w:val="000000"/>
              </w:rPr>
              <w:t>Dollar volume</w:t>
            </w:r>
          </w:p>
        </w:tc>
        <w:tc>
          <w:tcPr>
            <w:tcW w:w="967" w:type="dxa"/>
            <w:tcBorders>
              <w:top w:val="nil"/>
              <w:left w:val="nil"/>
              <w:bottom w:val="nil"/>
              <w:right w:val="nil"/>
            </w:tcBorders>
            <w:shd w:val="clear" w:color="000000" w:fill="E2EFDA"/>
            <w:noWrap/>
            <w:vAlign w:val="bottom"/>
            <w:hideMark/>
          </w:tcPr>
          <w:p w14:paraId="675F33C8"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22.99</w:t>
            </w:r>
          </w:p>
        </w:tc>
        <w:tc>
          <w:tcPr>
            <w:tcW w:w="1112" w:type="dxa"/>
            <w:tcBorders>
              <w:top w:val="nil"/>
              <w:left w:val="nil"/>
              <w:bottom w:val="nil"/>
              <w:right w:val="nil"/>
            </w:tcBorders>
            <w:shd w:val="clear" w:color="000000" w:fill="E2EFDA"/>
            <w:noWrap/>
            <w:vAlign w:val="bottom"/>
            <w:hideMark/>
          </w:tcPr>
          <w:p w14:paraId="4A526662"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12.17</w:t>
            </w:r>
          </w:p>
        </w:tc>
        <w:tc>
          <w:tcPr>
            <w:tcW w:w="107" w:type="dxa"/>
            <w:tcBorders>
              <w:top w:val="nil"/>
              <w:left w:val="nil"/>
              <w:bottom w:val="nil"/>
              <w:right w:val="nil"/>
            </w:tcBorders>
            <w:shd w:val="clear" w:color="000000" w:fill="E2EFDA"/>
            <w:noWrap/>
            <w:vAlign w:val="bottom"/>
            <w:hideMark/>
          </w:tcPr>
          <w:p w14:paraId="562E9890"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 </w:t>
            </w:r>
          </w:p>
        </w:tc>
        <w:tc>
          <w:tcPr>
            <w:tcW w:w="1219" w:type="dxa"/>
            <w:tcBorders>
              <w:top w:val="nil"/>
              <w:left w:val="nil"/>
              <w:bottom w:val="nil"/>
              <w:right w:val="nil"/>
            </w:tcBorders>
            <w:shd w:val="clear" w:color="000000" w:fill="FF7C80"/>
            <w:noWrap/>
            <w:vAlign w:val="bottom"/>
            <w:hideMark/>
          </w:tcPr>
          <w:p w14:paraId="549FB9C8"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-7.7</w:t>
            </w:r>
          </w:p>
        </w:tc>
        <w:tc>
          <w:tcPr>
            <w:tcW w:w="1434" w:type="dxa"/>
            <w:tcBorders>
              <w:top w:val="nil"/>
              <w:left w:val="nil"/>
              <w:bottom w:val="nil"/>
              <w:right w:val="nil"/>
            </w:tcBorders>
            <w:shd w:val="clear" w:color="000000" w:fill="FF7C80"/>
            <w:noWrap/>
            <w:vAlign w:val="bottom"/>
            <w:hideMark/>
          </w:tcPr>
          <w:p w14:paraId="0EA715F6"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-25.33</w:t>
            </w:r>
          </w:p>
        </w:tc>
      </w:tr>
      <w:tr w:rsidR="00445072" w:rsidRPr="00445072" w14:paraId="6D99E246"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5D59077C" w14:textId="77777777" w:rsidR="00445072" w:rsidRPr="00445072" w:rsidRDefault="00445072" w:rsidP="00445072">
            <w:pPr>
              <w:spacing w:after="0" w:line="240" w:lineRule="auto"/>
              <w:jc w:val="center"/>
              <w:rPr>
                <w:rFonts w:ascii="Times New Roman" w:eastAsia="Times New Roman" w:hAnsi="Times New Roman" w:cs="Times New Roman"/>
                <w:color w:val="000000"/>
              </w:rPr>
            </w:pPr>
          </w:p>
        </w:tc>
        <w:tc>
          <w:tcPr>
            <w:tcW w:w="967" w:type="dxa"/>
            <w:tcBorders>
              <w:top w:val="nil"/>
              <w:left w:val="nil"/>
              <w:bottom w:val="nil"/>
              <w:right w:val="nil"/>
            </w:tcBorders>
            <w:shd w:val="clear" w:color="auto" w:fill="auto"/>
            <w:noWrap/>
            <w:vAlign w:val="bottom"/>
            <w:hideMark/>
          </w:tcPr>
          <w:p w14:paraId="3B811037"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112" w:type="dxa"/>
            <w:tcBorders>
              <w:top w:val="nil"/>
              <w:left w:val="nil"/>
              <w:bottom w:val="nil"/>
              <w:right w:val="nil"/>
            </w:tcBorders>
            <w:shd w:val="clear" w:color="auto" w:fill="auto"/>
            <w:noWrap/>
            <w:vAlign w:val="bottom"/>
            <w:hideMark/>
          </w:tcPr>
          <w:p w14:paraId="6157E499"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07" w:type="dxa"/>
            <w:tcBorders>
              <w:top w:val="nil"/>
              <w:left w:val="nil"/>
              <w:bottom w:val="nil"/>
              <w:right w:val="nil"/>
            </w:tcBorders>
            <w:shd w:val="clear" w:color="auto" w:fill="auto"/>
            <w:noWrap/>
            <w:vAlign w:val="bottom"/>
            <w:hideMark/>
          </w:tcPr>
          <w:p w14:paraId="03E99A87"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219" w:type="dxa"/>
            <w:tcBorders>
              <w:top w:val="nil"/>
              <w:left w:val="nil"/>
              <w:bottom w:val="nil"/>
              <w:right w:val="nil"/>
            </w:tcBorders>
            <w:shd w:val="clear" w:color="auto" w:fill="auto"/>
            <w:noWrap/>
            <w:vAlign w:val="bottom"/>
            <w:hideMark/>
          </w:tcPr>
          <w:p w14:paraId="33D9D176"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14:paraId="464559FC" w14:textId="77777777" w:rsidR="00445072" w:rsidRPr="00445072" w:rsidRDefault="00445072" w:rsidP="00445072">
            <w:pPr>
              <w:spacing w:after="0" w:line="240" w:lineRule="auto"/>
              <w:rPr>
                <w:rFonts w:ascii="Times New Roman" w:eastAsia="Times New Roman" w:hAnsi="Times New Roman" w:cs="Times New Roman"/>
                <w:sz w:val="20"/>
                <w:szCs w:val="20"/>
              </w:rPr>
            </w:pPr>
          </w:p>
        </w:tc>
      </w:tr>
      <w:tr w:rsidR="00445072" w:rsidRPr="00445072" w14:paraId="6E6E9A12" w14:textId="77777777" w:rsidTr="00445072">
        <w:trPr>
          <w:trHeight w:val="290"/>
          <w:jc w:val="center"/>
        </w:trPr>
        <w:tc>
          <w:tcPr>
            <w:tcW w:w="4564" w:type="dxa"/>
            <w:gridSpan w:val="2"/>
            <w:tcBorders>
              <w:top w:val="nil"/>
              <w:left w:val="nil"/>
              <w:bottom w:val="nil"/>
              <w:right w:val="nil"/>
            </w:tcBorders>
            <w:shd w:val="clear" w:color="auto" w:fill="auto"/>
            <w:noWrap/>
            <w:vAlign w:val="bottom"/>
            <w:hideMark/>
          </w:tcPr>
          <w:p w14:paraId="438A8D71" w14:textId="77777777" w:rsidR="00445072" w:rsidRPr="00445072" w:rsidRDefault="00445072" w:rsidP="00445072">
            <w:pPr>
              <w:spacing w:after="0" w:line="240" w:lineRule="auto"/>
              <w:rPr>
                <w:rFonts w:ascii="Calibri" w:eastAsia="Times New Roman" w:hAnsi="Calibri" w:cs="Calibri"/>
                <w:i/>
                <w:iCs/>
                <w:color w:val="000000"/>
                <w:u w:val="single"/>
              </w:rPr>
            </w:pPr>
            <w:r w:rsidRPr="00445072">
              <w:rPr>
                <w:rFonts w:ascii="Calibri" w:eastAsia="Times New Roman" w:hAnsi="Calibri" w:cs="Calibri"/>
                <w:i/>
                <w:iCs/>
                <w:color w:val="000000"/>
                <w:u w:val="single"/>
              </w:rPr>
              <w:t>Regression Discontinuity Design</w:t>
            </w:r>
          </w:p>
        </w:tc>
        <w:tc>
          <w:tcPr>
            <w:tcW w:w="1112" w:type="dxa"/>
            <w:tcBorders>
              <w:top w:val="nil"/>
              <w:left w:val="nil"/>
              <w:bottom w:val="nil"/>
              <w:right w:val="nil"/>
            </w:tcBorders>
            <w:shd w:val="clear" w:color="auto" w:fill="auto"/>
            <w:noWrap/>
            <w:vAlign w:val="bottom"/>
            <w:hideMark/>
          </w:tcPr>
          <w:p w14:paraId="35610530" w14:textId="77777777" w:rsidR="00445072" w:rsidRPr="00445072" w:rsidRDefault="00445072" w:rsidP="00445072">
            <w:pPr>
              <w:spacing w:after="0" w:line="240" w:lineRule="auto"/>
              <w:rPr>
                <w:rFonts w:ascii="Calibri" w:eastAsia="Times New Roman" w:hAnsi="Calibri" w:cs="Calibri"/>
                <w:i/>
                <w:iCs/>
                <w:color w:val="000000"/>
                <w:u w:val="single"/>
              </w:rPr>
            </w:pPr>
          </w:p>
        </w:tc>
        <w:tc>
          <w:tcPr>
            <w:tcW w:w="107" w:type="dxa"/>
            <w:tcBorders>
              <w:top w:val="nil"/>
              <w:left w:val="nil"/>
              <w:bottom w:val="nil"/>
              <w:right w:val="nil"/>
            </w:tcBorders>
            <w:shd w:val="clear" w:color="auto" w:fill="auto"/>
            <w:noWrap/>
            <w:vAlign w:val="bottom"/>
            <w:hideMark/>
          </w:tcPr>
          <w:p w14:paraId="6610D3CF"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219" w:type="dxa"/>
            <w:tcBorders>
              <w:top w:val="nil"/>
              <w:left w:val="nil"/>
              <w:bottom w:val="nil"/>
              <w:right w:val="nil"/>
            </w:tcBorders>
            <w:shd w:val="clear" w:color="auto" w:fill="auto"/>
            <w:noWrap/>
            <w:vAlign w:val="bottom"/>
            <w:hideMark/>
          </w:tcPr>
          <w:p w14:paraId="2E9A9014"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14:paraId="7A962DF9" w14:textId="77777777" w:rsidR="00445072" w:rsidRPr="00445072" w:rsidRDefault="00445072" w:rsidP="00445072">
            <w:pPr>
              <w:spacing w:after="0" w:line="240" w:lineRule="auto"/>
              <w:rPr>
                <w:rFonts w:ascii="Times New Roman" w:eastAsia="Times New Roman" w:hAnsi="Times New Roman" w:cs="Times New Roman"/>
                <w:sz w:val="20"/>
                <w:szCs w:val="20"/>
              </w:rPr>
            </w:pPr>
          </w:p>
        </w:tc>
      </w:tr>
      <w:tr w:rsidR="00445072" w:rsidRPr="00445072" w14:paraId="29E42C38"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2419A50B" w14:textId="77777777" w:rsidR="00445072" w:rsidRPr="00445072" w:rsidRDefault="00445072" w:rsidP="00445072">
            <w:pPr>
              <w:spacing w:after="0" w:line="240" w:lineRule="auto"/>
              <w:rPr>
                <w:rFonts w:ascii="Times New Roman" w:eastAsia="Times New Roman" w:hAnsi="Times New Roman" w:cs="Times New Roman"/>
                <w:color w:val="000000"/>
              </w:rPr>
            </w:pPr>
            <w:r w:rsidRPr="00445072">
              <w:rPr>
                <w:rFonts w:ascii="Times New Roman" w:eastAsia="Times New Roman" w:hAnsi="Times New Roman" w:cs="Times New Roman"/>
                <w:color w:val="000000"/>
              </w:rPr>
              <w:t>Bid-ask spread</w:t>
            </w:r>
          </w:p>
        </w:tc>
        <w:tc>
          <w:tcPr>
            <w:tcW w:w="967" w:type="dxa"/>
            <w:tcBorders>
              <w:top w:val="nil"/>
              <w:left w:val="nil"/>
              <w:bottom w:val="nil"/>
              <w:right w:val="nil"/>
            </w:tcBorders>
            <w:shd w:val="clear" w:color="000000" w:fill="E2EFDA"/>
            <w:noWrap/>
            <w:vAlign w:val="bottom"/>
            <w:hideMark/>
          </w:tcPr>
          <w:p w14:paraId="06DD5E42"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-9.18</w:t>
            </w:r>
          </w:p>
        </w:tc>
        <w:tc>
          <w:tcPr>
            <w:tcW w:w="1112" w:type="dxa"/>
            <w:tcBorders>
              <w:top w:val="nil"/>
              <w:left w:val="nil"/>
              <w:bottom w:val="nil"/>
              <w:right w:val="nil"/>
            </w:tcBorders>
            <w:shd w:val="clear" w:color="000000" w:fill="E2EFDA"/>
            <w:noWrap/>
            <w:vAlign w:val="bottom"/>
            <w:hideMark/>
          </w:tcPr>
          <w:p w14:paraId="7575B37C"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-14.12</w:t>
            </w:r>
          </w:p>
        </w:tc>
        <w:tc>
          <w:tcPr>
            <w:tcW w:w="107" w:type="dxa"/>
            <w:tcBorders>
              <w:top w:val="nil"/>
              <w:left w:val="nil"/>
              <w:bottom w:val="nil"/>
              <w:right w:val="nil"/>
            </w:tcBorders>
            <w:shd w:val="clear" w:color="000000" w:fill="E2EFDA"/>
            <w:noWrap/>
            <w:vAlign w:val="bottom"/>
            <w:hideMark/>
          </w:tcPr>
          <w:p w14:paraId="3F738E03"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 </w:t>
            </w:r>
          </w:p>
        </w:tc>
        <w:tc>
          <w:tcPr>
            <w:tcW w:w="1219" w:type="dxa"/>
            <w:tcBorders>
              <w:top w:val="nil"/>
              <w:left w:val="nil"/>
              <w:bottom w:val="nil"/>
              <w:right w:val="nil"/>
            </w:tcBorders>
            <w:shd w:val="clear" w:color="000000" w:fill="FFFF00"/>
            <w:noWrap/>
            <w:vAlign w:val="bottom"/>
            <w:hideMark/>
          </w:tcPr>
          <w:p w14:paraId="4F1BED91"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-1.52</w:t>
            </w:r>
          </w:p>
        </w:tc>
        <w:tc>
          <w:tcPr>
            <w:tcW w:w="1434" w:type="dxa"/>
            <w:tcBorders>
              <w:top w:val="nil"/>
              <w:left w:val="nil"/>
              <w:bottom w:val="nil"/>
              <w:right w:val="nil"/>
            </w:tcBorders>
            <w:shd w:val="clear" w:color="000000" w:fill="FFFF00"/>
            <w:noWrap/>
            <w:vAlign w:val="bottom"/>
            <w:hideMark/>
          </w:tcPr>
          <w:p w14:paraId="7D75C3C4"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0.04</w:t>
            </w:r>
          </w:p>
        </w:tc>
      </w:tr>
      <w:tr w:rsidR="00445072" w:rsidRPr="00445072" w14:paraId="2D339E8D"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3181171E" w14:textId="77777777" w:rsidR="00445072" w:rsidRPr="00445072" w:rsidRDefault="00445072" w:rsidP="00445072">
            <w:pPr>
              <w:spacing w:after="0" w:line="240" w:lineRule="auto"/>
              <w:rPr>
                <w:rFonts w:ascii="Times New Roman" w:eastAsia="Times New Roman" w:hAnsi="Times New Roman" w:cs="Times New Roman"/>
                <w:color w:val="000000"/>
              </w:rPr>
            </w:pPr>
            <w:r w:rsidRPr="00445072">
              <w:rPr>
                <w:rFonts w:ascii="Times New Roman" w:eastAsia="Times New Roman" w:hAnsi="Times New Roman" w:cs="Times New Roman"/>
                <w:color w:val="000000"/>
              </w:rPr>
              <w:t>Turnover</w:t>
            </w:r>
          </w:p>
        </w:tc>
        <w:tc>
          <w:tcPr>
            <w:tcW w:w="967" w:type="dxa"/>
            <w:tcBorders>
              <w:top w:val="nil"/>
              <w:left w:val="nil"/>
              <w:bottom w:val="nil"/>
              <w:right w:val="nil"/>
            </w:tcBorders>
            <w:shd w:val="clear" w:color="000000" w:fill="E2EFDA"/>
            <w:noWrap/>
            <w:vAlign w:val="bottom"/>
            <w:hideMark/>
          </w:tcPr>
          <w:p w14:paraId="4060AB45"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10.04</w:t>
            </w:r>
          </w:p>
        </w:tc>
        <w:tc>
          <w:tcPr>
            <w:tcW w:w="1112" w:type="dxa"/>
            <w:tcBorders>
              <w:top w:val="nil"/>
              <w:left w:val="nil"/>
              <w:bottom w:val="nil"/>
              <w:right w:val="nil"/>
            </w:tcBorders>
            <w:shd w:val="clear" w:color="000000" w:fill="E2EFDA"/>
            <w:noWrap/>
            <w:vAlign w:val="bottom"/>
            <w:hideMark/>
          </w:tcPr>
          <w:p w14:paraId="579759F2"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13.14</w:t>
            </w:r>
          </w:p>
        </w:tc>
        <w:tc>
          <w:tcPr>
            <w:tcW w:w="107" w:type="dxa"/>
            <w:tcBorders>
              <w:top w:val="nil"/>
              <w:left w:val="nil"/>
              <w:bottom w:val="nil"/>
              <w:right w:val="nil"/>
            </w:tcBorders>
            <w:shd w:val="clear" w:color="000000" w:fill="E2EFDA"/>
            <w:noWrap/>
            <w:vAlign w:val="bottom"/>
            <w:hideMark/>
          </w:tcPr>
          <w:p w14:paraId="6462779F"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 </w:t>
            </w:r>
          </w:p>
        </w:tc>
        <w:tc>
          <w:tcPr>
            <w:tcW w:w="1219" w:type="dxa"/>
            <w:tcBorders>
              <w:top w:val="nil"/>
              <w:left w:val="nil"/>
              <w:bottom w:val="nil"/>
              <w:right w:val="nil"/>
            </w:tcBorders>
            <w:shd w:val="clear" w:color="000000" w:fill="FFFF00"/>
            <w:noWrap/>
            <w:vAlign w:val="bottom"/>
            <w:hideMark/>
          </w:tcPr>
          <w:p w14:paraId="3093FF61"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0.06</w:t>
            </w:r>
          </w:p>
        </w:tc>
        <w:tc>
          <w:tcPr>
            <w:tcW w:w="1434" w:type="dxa"/>
            <w:tcBorders>
              <w:top w:val="nil"/>
              <w:left w:val="nil"/>
              <w:bottom w:val="nil"/>
              <w:right w:val="nil"/>
            </w:tcBorders>
            <w:shd w:val="clear" w:color="000000" w:fill="FF7C80"/>
            <w:noWrap/>
            <w:vAlign w:val="bottom"/>
            <w:hideMark/>
          </w:tcPr>
          <w:p w14:paraId="38B9064E"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-3.48</w:t>
            </w:r>
          </w:p>
        </w:tc>
      </w:tr>
      <w:tr w:rsidR="00445072" w:rsidRPr="00445072" w14:paraId="102BC8CE"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30565440" w14:textId="77777777" w:rsidR="00445072" w:rsidRPr="00445072" w:rsidRDefault="00445072" w:rsidP="00445072">
            <w:pPr>
              <w:spacing w:after="0" w:line="240" w:lineRule="auto"/>
              <w:rPr>
                <w:rFonts w:ascii="Times New Roman" w:eastAsia="Times New Roman" w:hAnsi="Times New Roman" w:cs="Times New Roman"/>
                <w:color w:val="000000"/>
              </w:rPr>
            </w:pPr>
            <w:r w:rsidRPr="00445072">
              <w:rPr>
                <w:rFonts w:ascii="Times New Roman" w:eastAsia="Times New Roman" w:hAnsi="Times New Roman" w:cs="Times New Roman"/>
                <w:color w:val="000000"/>
              </w:rPr>
              <w:t>Dollar volume</w:t>
            </w:r>
          </w:p>
        </w:tc>
        <w:tc>
          <w:tcPr>
            <w:tcW w:w="967" w:type="dxa"/>
            <w:tcBorders>
              <w:top w:val="nil"/>
              <w:left w:val="nil"/>
              <w:bottom w:val="nil"/>
              <w:right w:val="nil"/>
            </w:tcBorders>
            <w:shd w:val="clear" w:color="000000" w:fill="E2EFDA"/>
            <w:noWrap/>
            <w:vAlign w:val="bottom"/>
            <w:hideMark/>
          </w:tcPr>
          <w:p w14:paraId="7AEAEA99"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24.49</w:t>
            </w:r>
          </w:p>
        </w:tc>
        <w:tc>
          <w:tcPr>
            <w:tcW w:w="1112" w:type="dxa"/>
            <w:tcBorders>
              <w:top w:val="nil"/>
              <w:left w:val="nil"/>
              <w:bottom w:val="nil"/>
              <w:right w:val="nil"/>
            </w:tcBorders>
            <w:shd w:val="clear" w:color="000000" w:fill="E2EFDA"/>
            <w:noWrap/>
            <w:vAlign w:val="bottom"/>
            <w:hideMark/>
          </w:tcPr>
          <w:p w14:paraId="2136D723"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29.1</w:t>
            </w:r>
          </w:p>
        </w:tc>
        <w:tc>
          <w:tcPr>
            <w:tcW w:w="107" w:type="dxa"/>
            <w:tcBorders>
              <w:top w:val="nil"/>
              <w:left w:val="nil"/>
              <w:bottom w:val="nil"/>
              <w:right w:val="nil"/>
            </w:tcBorders>
            <w:shd w:val="clear" w:color="000000" w:fill="E2EFDA"/>
            <w:noWrap/>
            <w:vAlign w:val="bottom"/>
            <w:hideMark/>
          </w:tcPr>
          <w:p w14:paraId="4FE80E64"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 </w:t>
            </w:r>
          </w:p>
        </w:tc>
        <w:tc>
          <w:tcPr>
            <w:tcW w:w="1219" w:type="dxa"/>
            <w:tcBorders>
              <w:top w:val="nil"/>
              <w:left w:val="nil"/>
              <w:bottom w:val="nil"/>
              <w:right w:val="nil"/>
            </w:tcBorders>
            <w:shd w:val="clear" w:color="000000" w:fill="FFFF00"/>
            <w:noWrap/>
            <w:vAlign w:val="bottom"/>
            <w:hideMark/>
          </w:tcPr>
          <w:p w14:paraId="147CE068"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0.21</w:t>
            </w:r>
          </w:p>
        </w:tc>
        <w:tc>
          <w:tcPr>
            <w:tcW w:w="1434" w:type="dxa"/>
            <w:tcBorders>
              <w:top w:val="nil"/>
              <w:left w:val="nil"/>
              <w:bottom w:val="nil"/>
              <w:right w:val="nil"/>
            </w:tcBorders>
            <w:shd w:val="clear" w:color="000000" w:fill="FFFF00"/>
            <w:noWrap/>
            <w:vAlign w:val="bottom"/>
            <w:hideMark/>
          </w:tcPr>
          <w:p w14:paraId="15B9B39A"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-1.36</w:t>
            </w:r>
          </w:p>
        </w:tc>
      </w:tr>
      <w:tr w:rsidR="00445072" w:rsidRPr="00445072" w14:paraId="43E575C5"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7AC3409A" w14:textId="77777777" w:rsidR="00445072" w:rsidRPr="00445072" w:rsidRDefault="00445072" w:rsidP="00445072">
            <w:pPr>
              <w:spacing w:after="0" w:line="240" w:lineRule="auto"/>
              <w:jc w:val="center"/>
              <w:rPr>
                <w:rFonts w:ascii="Times New Roman" w:eastAsia="Times New Roman" w:hAnsi="Times New Roman" w:cs="Times New Roman"/>
                <w:color w:val="000000"/>
              </w:rPr>
            </w:pPr>
          </w:p>
        </w:tc>
        <w:tc>
          <w:tcPr>
            <w:tcW w:w="967" w:type="dxa"/>
            <w:tcBorders>
              <w:top w:val="nil"/>
              <w:left w:val="nil"/>
              <w:bottom w:val="nil"/>
              <w:right w:val="nil"/>
            </w:tcBorders>
            <w:shd w:val="clear" w:color="auto" w:fill="auto"/>
            <w:noWrap/>
            <w:vAlign w:val="bottom"/>
            <w:hideMark/>
          </w:tcPr>
          <w:p w14:paraId="2F9255DF"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112" w:type="dxa"/>
            <w:tcBorders>
              <w:top w:val="nil"/>
              <w:left w:val="nil"/>
              <w:bottom w:val="nil"/>
              <w:right w:val="nil"/>
            </w:tcBorders>
            <w:shd w:val="clear" w:color="auto" w:fill="auto"/>
            <w:noWrap/>
            <w:vAlign w:val="bottom"/>
            <w:hideMark/>
          </w:tcPr>
          <w:p w14:paraId="1BF524A8"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07" w:type="dxa"/>
            <w:tcBorders>
              <w:top w:val="nil"/>
              <w:left w:val="nil"/>
              <w:bottom w:val="nil"/>
              <w:right w:val="nil"/>
            </w:tcBorders>
            <w:shd w:val="clear" w:color="auto" w:fill="auto"/>
            <w:noWrap/>
            <w:vAlign w:val="bottom"/>
            <w:hideMark/>
          </w:tcPr>
          <w:p w14:paraId="268BEFF0"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219" w:type="dxa"/>
            <w:tcBorders>
              <w:top w:val="nil"/>
              <w:left w:val="nil"/>
              <w:bottom w:val="nil"/>
              <w:right w:val="nil"/>
            </w:tcBorders>
            <w:shd w:val="clear" w:color="auto" w:fill="auto"/>
            <w:noWrap/>
            <w:vAlign w:val="bottom"/>
            <w:hideMark/>
          </w:tcPr>
          <w:p w14:paraId="618098C9"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14:paraId="1D72459E" w14:textId="77777777" w:rsidR="00445072" w:rsidRPr="00445072" w:rsidRDefault="00445072" w:rsidP="00445072">
            <w:pPr>
              <w:spacing w:after="0" w:line="240" w:lineRule="auto"/>
              <w:rPr>
                <w:rFonts w:ascii="Times New Roman" w:eastAsia="Times New Roman" w:hAnsi="Times New Roman" w:cs="Times New Roman"/>
                <w:sz w:val="20"/>
                <w:szCs w:val="20"/>
              </w:rPr>
            </w:pPr>
          </w:p>
        </w:tc>
      </w:tr>
      <w:tr w:rsidR="00445072" w:rsidRPr="00445072" w14:paraId="71BFBF84" w14:textId="77777777" w:rsidTr="00445072">
        <w:trPr>
          <w:trHeight w:val="290"/>
          <w:jc w:val="center"/>
        </w:trPr>
        <w:tc>
          <w:tcPr>
            <w:tcW w:w="7002" w:type="dxa"/>
            <w:gridSpan w:val="5"/>
            <w:tcBorders>
              <w:top w:val="nil"/>
              <w:left w:val="nil"/>
              <w:bottom w:val="nil"/>
              <w:right w:val="nil"/>
            </w:tcBorders>
            <w:shd w:val="clear" w:color="auto" w:fill="auto"/>
            <w:noWrap/>
            <w:vAlign w:val="bottom"/>
            <w:hideMark/>
          </w:tcPr>
          <w:p w14:paraId="54E3E952" w14:textId="77777777" w:rsidR="00445072" w:rsidRPr="00445072" w:rsidRDefault="00445072" w:rsidP="00445072">
            <w:pPr>
              <w:spacing w:after="0" w:line="240" w:lineRule="auto"/>
              <w:rPr>
                <w:rFonts w:ascii="Calibri" w:eastAsia="Times New Roman" w:hAnsi="Calibri" w:cs="Calibri"/>
                <w:i/>
                <w:iCs/>
                <w:color w:val="000000"/>
                <w:u w:val="single"/>
              </w:rPr>
            </w:pPr>
            <w:r w:rsidRPr="00445072">
              <w:rPr>
                <w:rFonts w:ascii="Calibri" w:eastAsia="Times New Roman" w:hAnsi="Calibri" w:cs="Calibri"/>
                <w:i/>
                <w:iCs/>
                <w:color w:val="000000"/>
                <w:u w:val="single"/>
              </w:rPr>
              <w:t>Regression Discontinuity Design with Market Capitalization Control</w:t>
            </w:r>
          </w:p>
        </w:tc>
        <w:tc>
          <w:tcPr>
            <w:tcW w:w="1434" w:type="dxa"/>
            <w:tcBorders>
              <w:top w:val="nil"/>
              <w:left w:val="nil"/>
              <w:bottom w:val="nil"/>
              <w:right w:val="nil"/>
            </w:tcBorders>
            <w:shd w:val="clear" w:color="auto" w:fill="auto"/>
            <w:noWrap/>
            <w:vAlign w:val="bottom"/>
            <w:hideMark/>
          </w:tcPr>
          <w:p w14:paraId="467AD810" w14:textId="77777777" w:rsidR="00445072" w:rsidRPr="00445072" w:rsidRDefault="00445072" w:rsidP="00445072">
            <w:pPr>
              <w:spacing w:after="0" w:line="240" w:lineRule="auto"/>
              <w:rPr>
                <w:rFonts w:ascii="Calibri" w:eastAsia="Times New Roman" w:hAnsi="Calibri" w:cs="Calibri"/>
                <w:i/>
                <w:iCs/>
                <w:color w:val="000000"/>
                <w:u w:val="single"/>
              </w:rPr>
            </w:pPr>
          </w:p>
        </w:tc>
      </w:tr>
      <w:tr w:rsidR="00445072" w:rsidRPr="00445072" w14:paraId="7CAAF6EF"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642325C2" w14:textId="77777777" w:rsidR="00445072" w:rsidRPr="00445072" w:rsidRDefault="00445072" w:rsidP="00445072">
            <w:pPr>
              <w:spacing w:after="0" w:line="240" w:lineRule="auto"/>
              <w:rPr>
                <w:rFonts w:ascii="Times New Roman" w:eastAsia="Times New Roman" w:hAnsi="Times New Roman" w:cs="Times New Roman"/>
                <w:color w:val="000000"/>
              </w:rPr>
            </w:pPr>
            <w:r w:rsidRPr="00445072">
              <w:rPr>
                <w:rFonts w:ascii="Times New Roman" w:eastAsia="Times New Roman" w:hAnsi="Times New Roman" w:cs="Times New Roman"/>
                <w:color w:val="000000"/>
              </w:rPr>
              <w:t>Bid-ask spread</w:t>
            </w:r>
          </w:p>
        </w:tc>
        <w:tc>
          <w:tcPr>
            <w:tcW w:w="967" w:type="dxa"/>
            <w:tcBorders>
              <w:top w:val="nil"/>
              <w:left w:val="nil"/>
              <w:bottom w:val="nil"/>
              <w:right w:val="nil"/>
            </w:tcBorders>
            <w:shd w:val="clear" w:color="000000" w:fill="E2EFDA"/>
            <w:noWrap/>
            <w:vAlign w:val="bottom"/>
            <w:hideMark/>
          </w:tcPr>
          <w:p w14:paraId="336C7897"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-7.16</w:t>
            </w:r>
          </w:p>
        </w:tc>
        <w:tc>
          <w:tcPr>
            <w:tcW w:w="1112" w:type="dxa"/>
            <w:tcBorders>
              <w:top w:val="nil"/>
              <w:left w:val="nil"/>
              <w:bottom w:val="nil"/>
              <w:right w:val="nil"/>
            </w:tcBorders>
            <w:shd w:val="clear" w:color="000000" w:fill="E2EFDA"/>
            <w:noWrap/>
            <w:vAlign w:val="bottom"/>
            <w:hideMark/>
          </w:tcPr>
          <w:p w14:paraId="635B0F05"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-11.89</w:t>
            </w:r>
          </w:p>
        </w:tc>
        <w:tc>
          <w:tcPr>
            <w:tcW w:w="107" w:type="dxa"/>
            <w:tcBorders>
              <w:top w:val="nil"/>
              <w:left w:val="nil"/>
              <w:bottom w:val="nil"/>
              <w:right w:val="nil"/>
            </w:tcBorders>
            <w:shd w:val="clear" w:color="000000" w:fill="E2EFDA"/>
            <w:noWrap/>
            <w:vAlign w:val="bottom"/>
            <w:hideMark/>
          </w:tcPr>
          <w:p w14:paraId="375C2EAC"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 </w:t>
            </w:r>
          </w:p>
        </w:tc>
        <w:tc>
          <w:tcPr>
            <w:tcW w:w="1219" w:type="dxa"/>
            <w:tcBorders>
              <w:top w:val="nil"/>
              <w:left w:val="nil"/>
              <w:bottom w:val="nil"/>
              <w:right w:val="nil"/>
            </w:tcBorders>
            <w:shd w:val="clear" w:color="000000" w:fill="FFFF00"/>
            <w:noWrap/>
            <w:vAlign w:val="bottom"/>
            <w:hideMark/>
          </w:tcPr>
          <w:p w14:paraId="66775FFD"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-1.64</w:t>
            </w:r>
          </w:p>
        </w:tc>
        <w:tc>
          <w:tcPr>
            <w:tcW w:w="1434" w:type="dxa"/>
            <w:tcBorders>
              <w:top w:val="nil"/>
              <w:left w:val="nil"/>
              <w:bottom w:val="nil"/>
              <w:right w:val="nil"/>
            </w:tcBorders>
            <w:shd w:val="clear" w:color="000000" w:fill="FFFF00"/>
            <w:noWrap/>
            <w:vAlign w:val="bottom"/>
            <w:hideMark/>
          </w:tcPr>
          <w:p w14:paraId="0CAA4F25"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-0.13</w:t>
            </w:r>
          </w:p>
        </w:tc>
      </w:tr>
      <w:tr w:rsidR="00445072" w:rsidRPr="00445072" w14:paraId="5A9E0F70"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45D02D61" w14:textId="77777777" w:rsidR="00445072" w:rsidRPr="00445072" w:rsidRDefault="00445072" w:rsidP="00445072">
            <w:pPr>
              <w:spacing w:after="0" w:line="240" w:lineRule="auto"/>
              <w:rPr>
                <w:rFonts w:ascii="Times New Roman" w:eastAsia="Times New Roman" w:hAnsi="Times New Roman" w:cs="Times New Roman"/>
                <w:color w:val="000000"/>
              </w:rPr>
            </w:pPr>
            <w:r w:rsidRPr="00445072">
              <w:rPr>
                <w:rFonts w:ascii="Times New Roman" w:eastAsia="Times New Roman" w:hAnsi="Times New Roman" w:cs="Times New Roman"/>
                <w:color w:val="000000"/>
              </w:rPr>
              <w:t>Turnover</w:t>
            </w:r>
          </w:p>
        </w:tc>
        <w:tc>
          <w:tcPr>
            <w:tcW w:w="967" w:type="dxa"/>
            <w:tcBorders>
              <w:top w:val="nil"/>
              <w:left w:val="nil"/>
              <w:bottom w:val="nil"/>
              <w:right w:val="nil"/>
            </w:tcBorders>
            <w:shd w:val="clear" w:color="000000" w:fill="E2EFDA"/>
            <w:noWrap/>
            <w:vAlign w:val="bottom"/>
            <w:hideMark/>
          </w:tcPr>
          <w:p w14:paraId="5E69B422"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10.24</w:t>
            </w:r>
          </w:p>
        </w:tc>
        <w:tc>
          <w:tcPr>
            <w:tcW w:w="1112" w:type="dxa"/>
            <w:tcBorders>
              <w:top w:val="nil"/>
              <w:left w:val="nil"/>
              <w:bottom w:val="nil"/>
              <w:right w:val="nil"/>
            </w:tcBorders>
            <w:shd w:val="clear" w:color="000000" w:fill="E2EFDA"/>
            <w:noWrap/>
            <w:vAlign w:val="bottom"/>
            <w:hideMark/>
          </w:tcPr>
          <w:p w14:paraId="18306AA6"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13.62</w:t>
            </w:r>
          </w:p>
        </w:tc>
        <w:tc>
          <w:tcPr>
            <w:tcW w:w="107" w:type="dxa"/>
            <w:tcBorders>
              <w:top w:val="nil"/>
              <w:left w:val="nil"/>
              <w:bottom w:val="nil"/>
              <w:right w:val="nil"/>
            </w:tcBorders>
            <w:shd w:val="clear" w:color="000000" w:fill="E2EFDA"/>
            <w:noWrap/>
            <w:vAlign w:val="bottom"/>
            <w:hideMark/>
          </w:tcPr>
          <w:p w14:paraId="1478242B"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 </w:t>
            </w:r>
          </w:p>
        </w:tc>
        <w:tc>
          <w:tcPr>
            <w:tcW w:w="1219" w:type="dxa"/>
            <w:tcBorders>
              <w:top w:val="nil"/>
              <w:left w:val="nil"/>
              <w:bottom w:val="nil"/>
              <w:right w:val="nil"/>
            </w:tcBorders>
            <w:shd w:val="clear" w:color="000000" w:fill="FFFF00"/>
            <w:noWrap/>
            <w:vAlign w:val="bottom"/>
            <w:hideMark/>
          </w:tcPr>
          <w:p w14:paraId="6010527F"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0.02</w:t>
            </w:r>
          </w:p>
        </w:tc>
        <w:tc>
          <w:tcPr>
            <w:tcW w:w="1434" w:type="dxa"/>
            <w:tcBorders>
              <w:top w:val="nil"/>
              <w:left w:val="nil"/>
              <w:bottom w:val="nil"/>
              <w:right w:val="nil"/>
            </w:tcBorders>
            <w:shd w:val="clear" w:color="000000" w:fill="FF7C80"/>
            <w:noWrap/>
            <w:vAlign w:val="bottom"/>
            <w:hideMark/>
          </w:tcPr>
          <w:p w14:paraId="6D39B9E9"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-3.44</w:t>
            </w:r>
          </w:p>
        </w:tc>
      </w:tr>
      <w:tr w:rsidR="00445072" w:rsidRPr="00445072" w14:paraId="191581CA"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7CC315D3" w14:textId="77777777" w:rsidR="00445072" w:rsidRPr="00445072" w:rsidRDefault="00445072" w:rsidP="00445072">
            <w:pPr>
              <w:spacing w:after="0" w:line="240" w:lineRule="auto"/>
              <w:rPr>
                <w:rFonts w:ascii="Times New Roman" w:eastAsia="Times New Roman" w:hAnsi="Times New Roman" w:cs="Times New Roman"/>
                <w:color w:val="000000"/>
              </w:rPr>
            </w:pPr>
            <w:r w:rsidRPr="00445072">
              <w:rPr>
                <w:rFonts w:ascii="Times New Roman" w:eastAsia="Times New Roman" w:hAnsi="Times New Roman" w:cs="Times New Roman"/>
                <w:color w:val="000000"/>
              </w:rPr>
              <w:t>Dollar volume</w:t>
            </w:r>
          </w:p>
        </w:tc>
        <w:tc>
          <w:tcPr>
            <w:tcW w:w="967" w:type="dxa"/>
            <w:tcBorders>
              <w:top w:val="nil"/>
              <w:left w:val="nil"/>
              <w:bottom w:val="nil"/>
              <w:right w:val="nil"/>
            </w:tcBorders>
            <w:shd w:val="clear" w:color="000000" w:fill="E2EFDA"/>
            <w:noWrap/>
            <w:vAlign w:val="bottom"/>
            <w:hideMark/>
          </w:tcPr>
          <w:p w14:paraId="63292D32"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16.06</w:t>
            </w:r>
          </w:p>
        </w:tc>
        <w:tc>
          <w:tcPr>
            <w:tcW w:w="1112" w:type="dxa"/>
            <w:tcBorders>
              <w:top w:val="nil"/>
              <w:left w:val="nil"/>
              <w:bottom w:val="nil"/>
              <w:right w:val="nil"/>
            </w:tcBorders>
            <w:shd w:val="clear" w:color="000000" w:fill="E2EFDA"/>
            <w:noWrap/>
            <w:vAlign w:val="bottom"/>
            <w:hideMark/>
          </w:tcPr>
          <w:p w14:paraId="3DB7C695"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20.25</w:t>
            </w:r>
          </w:p>
        </w:tc>
        <w:tc>
          <w:tcPr>
            <w:tcW w:w="107" w:type="dxa"/>
            <w:tcBorders>
              <w:top w:val="nil"/>
              <w:left w:val="nil"/>
              <w:bottom w:val="nil"/>
              <w:right w:val="nil"/>
            </w:tcBorders>
            <w:shd w:val="clear" w:color="000000" w:fill="E2EFDA"/>
            <w:noWrap/>
            <w:vAlign w:val="bottom"/>
            <w:hideMark/>
          </w:tcPr>
          <w:p w14:paraId="4E4A1FCA"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 </w:t>
            </w:r>
          </w:p>
        </w:tc>
        <w:tc>
          <w:tcPr>
            <w:tcW w:w="1219" w:type="dxa"/>
            <w:tcBorders>
              <w:top w:val="nil"/>
              <w:left w:val="nil"/>
              <w:bottom w:val="nil"/>
              <w:right w:val="nil"/>
            </w:tcBorders>
            <w:shd w:val="clear" w:color="000000" w:fill="FFFF00"/>
            <w:noWrap/>
            <w:vAlign w:val="bottom"/>
            <w:hideMark/>
          </w:tcPr>
          <w:p w14:paraId="0CB2642C"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0.48</w:t>
            </w:r>
          </w:p>
        </w:tc>
        <w:tc>
          <w:tcPr>
            <w:tcW w:w="1434" w:type="dxa"/>
            <w:tcBorders>
              <w:top w:val="nil"/>
              <w:left w:val="nil"/>
              <w:bottom w:val="nil"/>
              <w:right w:val="nil"/>
            </w:tcBorders>
            <w:shd w:val="clear" w:color="000000" w:fill="FFFF00"/>
            <w:noWrap/>
            <w:vAlign w:val="bottom"/>
            <w:hideMark/>
          </w:tcPr>
          <w:p w14:paraId="32B9B304" w14:textId="77777777" w:rsidR="00445072" w:rsidRPr="00445072" w:rsidRDefault="00445072" w:rsidP="00445072">
            <w:pPr>
              <w:spacing w:after="0" w:line="240" w:lineRule="auto"/>
              <w:jc w:val="center"/>
              <w:rPr>
                <w:rFonts w:ascii="Times New Roman" w:eastAsia="Times New Roman" w:hAnsi="Times New Roman" w:cs="Times New Roman"/>
                <w:color w:val="000000"/>
              </w:rPr>
            </w:pPr>
            <w:r w:rsidRPr="00445072">
              <w:rPr>
                <w:rFonts w:ascii="Times New Roman" w:eastAsia="Times New Roman" w:hAnsi="Times New Roman" w:cs="Times New Roman"/>
                <w:color w:val="000000"/>
              </w:rPr>
              <w:t>-1.09</w:t>
            </w:r>
          </w:p>
        </w:tc>
      </w:tr>
      <w:tr w:rsidR="00445072" w:rsidRPr="00445072" w14:paraId="040FE6DF"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6920D3FC" w14:textId="77777777" w:rsidR="00445072" w:rsidRPr="00445072" w:rsidRDefault="00445072" w:rsidP="00445072">
            <w:pPr>
              <w:spacing w:after="0" w:line="240" w:lineRule="auto"/>
              <w:jc w:val="center"/>
              <w:rPr>
                <w:rFonts w:ascii="Times New Roman" w:eastAsia="Times New Roman" w:hAnsi="Times New Roman" w:cs="Times New Roman"/>
                <w:color w:val="000000"/>
              </w:rPr>
            </w:pPr>
          </w:p>
        </w:tc>
        <w:tc>
          <w:tcPr>
            <w:tcW w:w="967" w:type="dxa"/>
            <w:tcBorders>
              <w:top w:val="nil"/>
              <w:left w:val="nil"/>
              <w:bottom w:val="nil"/>
              <w:right w:val="nil"/>
            </w:tcBorders>
            <w:shd w:val="clear" w:color="auto" w:fill="auto"/>
            <w:noWrap/>
            <w:vAlign w:val="bottom"/>
            <w:hideMark/>
          </w:tcPr>
          <w:p w14:paraId="2B714DD4"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112" w:type="dxa"/>
            <w:tcBorders>
              <w:top w:val="nil"/>
              <w:left w:val="nil"/>
              <w:bottom w:val="nil"/>
              <w:right w:val="nil"/>
            </w:tcBorders>
            <w:shd w:val="clear" w:color="auto" w:fill="auto"/>
            <w:noWrap/>
            <w:vAlign w:val="bottom"/>
            <w:hideMark/>
          </w:tcPr>
          <w:p w14:paraId="34C38B58"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07" w:type="dxa"/>
            <w:tcBorders>
              <w:top w:val="nil"/>
              <w:left w:val="nil"/>
              <w:bottom w:val="nil"/>
              <w:right w:val="nil"/>
            </w:tcBorders>
            <w:shd w:val="clear" w:color="auto" w:fill="auto"/>
            <w:noWrap/>
            <w:vAlign w:val="bottom"/>
            <w:hideMark/>
          </w:tcPr>
          <w:p w14:paraId="4CC573D4"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219" w:type="dxa"/>
            <w:tcBorders>
              <w:top w:val="nil"/>
              <w:left w:val="nil"/>
              <w:bottom w:val="nil"/>
              <w:right w:val="nil"/>
            </w:tcBorders>
            <w:shd w:val="clear" w:color="auto" w:fill="auto"/>
            <w:noWrap/>
            <w:vAlign w:val="bottom"/>
            <w:hideMark/>
          </w:tcPr>
          <w:p w14:paraId="4DF96315"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14:paraId="735AF903" w14:textId="77777777" w:rsidR="00445072" w:rsidRPr="00445072" w:rsidRDefault="00445072" w:rsidP="00445072">
            <w:pPr>
              <w:spacing w:after="0" w:line="240" w:lineRule="auto"/>
              <w:rPr>
                <w:rFonts w:ascii="Times New Roman" w:eastAsia="Times New Roman" w:hAnsi="Times New Roman" w:cs="Times New Roman"/>
                <w:sz w:val="20"/>
                <w:szCs w:val="20"/>
              </w:rPr>
            </w:pPr>
          </w:p>
        </w:tc>
      </w:tr>
      <w:tr w:rsidR="00445072" w:rsidRPr="00445072" w14:paraId="57808154"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7118B95F" w14:textId="32D3BF01" w:rsidR="00445072" w:rsidRPr="00445072" w:rsidRDefault="00445072" w:rsidP="00445072">
            <w:pPr>
              <w:spacing w:after="0" w:line="240" w:lineRule="auto"/>
              <w:rPr>
                <w:rFonts w:ascii="Calibri" w:eastAsia="Times New Roman" w:hAnsi="Calibri" w:cs="Calibri"/>
                <w:color w:val="000000"/>
              </w:rPr>
            </w:pPr>
            <w:r w:rsidRPr="00445072">
              <w:rPr>
                <w:rFonts w:ascii="Calibri" w:eastAsia="Times New Roman" w:hAnsi="Calibri" w:cs="Calibri"/>
                <w:noProof/>
                <w:color w:val="000000"/>
              </w:rPr>
              <mc:AlternateContent>
                <mc:Choice Requires="wps">
                  <w:drawing>
                    <wp:anchor distT="0" distB="0" distL="114300" distR="114300" simplePos="0" relativeHeight="251669504" behindDoc="0" locked="0" layoutInCell="1" allowOverlap="1" wp14:anchorId="002AC7D6" wp14:editId="4ABABEDE">
                      <wp:simplePos x="0" y="0"/>
                      <wp:positionH relativeFrom="column">
                        <wp:posOffset>19050</wp:posOffset>
                      </wp:positionH>
                      <wp:positionV relativeFrom="paragraph">
                        <wp:posOffset>-6350</wp:posOffset>
                      </wp:positionV>
                      <wp:extent cx="5308600" cy="1123950"/>
                      <wp:effectExtent l="0" t="0" r="6350" b="0"/>
                      <wp:wrapNone/>
                      <wp:docPr id="11" name="Text Box 11">
                        <a:extLst xmlns:a="http://schemas.openxmlformats.org/drawingml/2006/main">
                          <a:ext uri="{FF2B5EF4-FFF2-40B4-BE49-F238E27FC236}">
                            <a16:creationId xmlns:a16="http://schemas.microsoft.com/office/drawing/2014/main" id="{AF0BE3FC-A90D-4B88-BA55-2F8F4CD90CD6}"/>
                          </a:ext>
                        </a:extLst>
                      </wp:docPr>
                      <wp:cNvGraphicFramePr/>
                      <a:graphic xmlns:a="http://schemas.openxmlformats.org/drawingml/2006/main">
                        <a:graphicData uri="http://schemas.microsoft.com/office/word/2010/wordprocessingShape">
                          <wps:wsp>
                            <wps:cNvSpPr txBox="1"/>
                            <wps:spPr>
                              <a:xfrm>
                                <a:off x="0" y="0"/>
                                <a:ext cx="5308600" cy="111125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20DE00E" w14:textId="77777777" w:rsidR="00445072" w:rsidRDefault="00445072" w:rsidP="00445072">
                                  <w:pPr>
                                    <w:rPr>
                                      <w:color w:val="000000" w:themeColor="dark1"/>
                                      <w:sz w:val="16"/>
                                      <w:szCs w:val="16"/>
                                    </w:rPr>
                                  </w:pPr>
                                  <w:r>
                                    <w:rPr>
                                      <w:color w:val="000000" w:themeColor="dark1"/>
                                      <w:sz w:val="16"/>
                                      <w:szCs w:val="16"/>
                                    </w:rPr>
                                    <w:t>Note: Green-highlighted entries are statistics that agree with the authors’ results. Yellow-highlighted entries are non-statistically significant in contrast to the author’s findings and predictions. Red-highlighted entries are statistically significant but in the opposite direction of the author’s findings and predictions.</w:t>
                                  </w:r>
                                </w:p>
                                <w:p w14:paraId="295957A6" w14:textId="77777777" w:rsidR="00445072" w:rsidRDefault="00445072" w:rsidP="00445072">
                                  <w:pPr>
                                    <w:rPr>
                                      <w:color w:val="000000" w:themeColor="dark1"/>
                                      <w:sz w:val="16"/>
                                      <w:szCs w:val="16"/>
                                    </w:rPr>
                                  </w:pPr>
                                  <w:r>
                                    <w:rPr>
                                      <w:color w:val="000000" w:themeColor="dark1"/>
                                      <w:sz w:val="16"/>
                                      <w:szCs w:val="16"/>
                                    </w:rPr>
                                    <w:t>[1</w:t>
                                  </w:r>
                                  <w:proofErr w:type="gramStart"/>
                                  <w:r>
                                    <w:rPr>
                                      <w:color w:val="000000" w:themeColor="dark1"/>
                                      <w:sz w:val="16"/>
                                      <w:szCs w:val="16"/>
                                    </w:rPr>
                                    <w:t>]  Bandwidth</w:t>
                                  </w:r>
                                  <w:proofErr w:type="gramEnd"/>
                                  <w:r>
                                    <w:rPr>
                                      <w:color w:val="000000" w:themeColor="dark1"/>
                                      <w:sz w:val="16"/>
                                      <w:szCs w:val="16"/>
                                    </w:rPr>
                                    <w:t xml:space="preserve"> lengths are the sub-sample of the data used in difference-of-means and regression discontinuity design tests with 0 marking the point of discontinuity between inclusion in the Russell 1000 and Russell 2000 indices, -1 being the largest firm by index holding percentage in the Russell 2000, and 1 being the smallest </w:t>
                                  </w:r>
                                  <w:proofErr w:type="spellStart"/>
                                  <w:r>
                                    <w:rPr>
                                      <w:color w:val="000000" w:themeColor="dark1"/>
                                      <w:sz w:val="16"/>
                                      <w:szCs w:val="16"/>
                                    </w:rPr>
                                    <w:t>irm</w:t>
                                  </w:r>
                                  <w:proofErr w:type="spellEnd"/>
                                  <w:r>
                                    <w:rPr>
                                      <w:color w:val="000000" w:themeColor="dark1"/>
                                      <w:sz w:val="16"/>
                                      <w:szCs w:val="16"/>
                                    </w:rPr>
                                    <w:t xml:space="preserve"> by index holding percentage in the Russell 1000.</w:t>
                                  </w:r>
                                </w:p>
                                <w:p w14:paraId="6384379F" w14:textId="77777777" w:rsidR="00445072" w:rsidRDefault="00445072" w:rsidP="00445072">
                                  <w:pPr>
                                    <w:rPr>
                                      <w:color w:val="000000" w:themeColor="dark1"/>
                                      <w:sz w:val="16"/>
                                      <w:szCs w:val="16"/>
                                    </w:rPr>
                                  </w:pPr>
                                  <w:r>
                                    <w:rPr>
                                      <w:color w:val="000000" w:themeColor="dark1"/>
                                      <w:sz w:val="16"/>
                                      <w:szCs w:val="16"/>
                                    </w:rPr>
                                    <w:t>[2</w:t>
                                  </w:r>
                                  <w:proofErr w:type="gramStart"/>
                                  <w:r>
                                    <w:rPr>
                                      <w:color w:val="000000" w:themeColor="dark1"/>
                                      <w:sz w:val="16"/>
                                      <w:szCs w:val="16"/>
                                    </w:rPr>
                                    <w:t>]  Original</w:t>
                                  </w:r>
                                  <w:proofErr w:type="gramEnd"/>
                                  <w:r>
                                    <w:rPr>
                                      <w:color w:val="000000" w:themeColor="dark1"/>
                                      <w:sz w:val="16"/>
                                      <w:szCs w:val="16"/>
                                    </w:rPr>
                                    <w:t xml:space="preserve"> bandwidth lengths are 0-50, 0-100, 0-200, and "Rule-of-thumb" bandwidths that vary from 0-128 and 0-197.</w:t>
                                  </w:r>
                                </w:p>
                                <w:p w14:paraId="6256B111" w14:textId="77777777" w:rsidR="00445072" w:rsidRDefault="00445072" w:rsidP="00445072">
                                  <w:pPr>
                                    <w:textAlignment w:val="baseline"/>
                                    <w:rPr>
                                      <w:color w:val="000000" w:themeColor="dark1"/>
                                      <w:sz w:val="16"/>
                                      <w:szCs w:val="16"/>
                                    </w:rPr>
                                  </w:pPr>
                                  <w:r>
                                    <w:rPr>
                                      <w:color w:val="000000" w:themeColor="dark1"/>
                                      <w:sz w:val="16"/>
                                      <w:szCs w:val="16"/>
                                    </w:rPr>
                                    <w:t>[3</w:t>
                                  </w:r>
                                  <w:proofErr w:type="gramStart"/>
                                  <w:r>
                                    <w:rPr>
                                      <w:color w:val="000000" w:themeColor="dark1"/>
                                      <w:sz w:val="16"/>
                                      <w:szCs w:val="16"/>
                                    </w:rPr>
                                    <w:t>]  New</w:t>
                                  </w:r>
                                  <w:proofErr w:type="gramEnd"/>
                                  <w:r>
                                    <w:rPr>
                                      <w:color w:val="000000" w:themeColor="dark1"/>
                                      <w:sz w:val="16"/>
                                      <w:szCs w:val="16"/>
                                    </w:rPr>
                                    <w:t xml:space="preserve"> bandwidths are subsets of the original bandwidths that exclude 0-50.</w:t>
                                  </w:r>
                                </w:p>
                              </w:txbxContent>
                            </wps:txbx>
                            <wps:bodyPr vertOverflow="clip" horzOverflow="clip" wrap="square" lIns="0" tIns="0" rIns="0" bIns="0" rtlCol="0" anchor="t"/>
                          </wps:wsp>
                        </a:graphicData>
                      </a:graphic>
                      <wp14:sizeRelH relativeFrom="page">
                        <wp14:pctWidth>0</wp14:pctWidth>
                      </wp14:sizeRelH>
                      <wp14:sizeRelV relativeFrom="page">
                        <wp14:pctHeight>0</wp14:pctHeight>
                      </wp14:sizeRelV>
                    </wp:anchor>
                  </w:drawing>
                </mc:Choice>
                <mc:Fallback>
                  <w:pict>
                    <v:shape w14:anchorId="002AC7D6" id="Text Box 11" o:spid="_x0000_s1029" type="#_x0000_t202" style="position:absolute;margin-left:1.5pt;margin-top:-.5pt;width:418pt;height: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" filled="f" stroked="f">
                      <v:textbox inset="0,0,0,0">
                        <w:txbxContent>
                          <w:p w14:paraId="420DE00E" w14:textId="77777777" w:rsidR="00445072" w:rsidRDefault="00445072" w:rsidP="00445072">
                            <w:pPr>
                              <w:rPr>
                                <w:color w:val="000000" w:themeColor="dark1"/>
                                <w:sz w:val="16"/>
                                <w:szCs w:val="16"/>
                              </w:rPr>
                            </w:pPr>
                            <w:r>
                              <w:rPr>
                                <w:color w:val="000000" w:themeColor="dark1"/>
                                <w:sz w:val="16"/>
                                <w:szCs w:val="16"/>
                              </w:rPr>
                              <w:t>Note: Green-highlighted entries are statistics that agree with the authors’ results. Yellow-highlighted entries are non-statistically significant in contrast to the author’s findings and predictions. Red-highlighted entries are statistically significant but in the opposite direction of the author’s findings and predictions.</w:t>
                            </w:r>
                          </w:p>
                          <w:p w14:paraId="295957A6" w14:textId="77777777" w:rsidR="00445072" w:rsidRDefault="00445072" w:rsidP="00445072">
                            <w:pPr>
                              <w:rPr>
                                <w:color w:val="000000" w:themeColor="dark1"/>
                                <w:sz w:val="16"/>
                                <w:szCs w:val="16"/>
                              </w:rPr>
                            </w:pPr>
                            <w:r>
                              <w:rPr>
                                <w:color w:val="000000" w:themeColor="dark1"/>
                                <w:sz w:val="16"/>
                                <w:szCs w:val="16"/>
                              </w:rPr>
                              <w:t>[1</w:t>
                            </w:r>
                            <w:proofErr w:type="gramStart"/>
                            <w:r>
                              <w:rPr>
                                <w:color w:val="000000" w:themeColor="dark1"/>
                                <w:sz w:val="16"/>
                                <w:szCs w:val="16"/>
                              </w:rPr>
                              <w:t>]  Bandwidth</w:t>
                            </w:r>
                            <w:proofErr w:type="gramEnd"/>
                            <w:r>
                              <w:rPr>
                                <w:color w:val="000000" w:themeColor="dark1"/>
                                <w:sz w:val="16"/>
                                <w:szCs w:val="16"/>
                              </w:rPr>
                              <w:t xml:space="preserve"> lengths are the sub-sample of the data used in difference-of-means and regression discontinuity design tests with 0 marking the point of discontinuity between inclusion in the Russell 1000 and Russell 2000 indices, -1 being the largest firm by index holding percentage in the Russell 2000, and 1 being the smallest </w:t>
                            </w:r>
                            <w:proofErr w:type="spellStart"/>
                            <w:r>
                              <w:rPr>
                                <w:color w:val="000000" w:themeColor="dark1"/>
                                <w:sz w:val="16"/>
                                <w:szCs w:val="16"/>
                              </w:rPr>
                              <w:t>irm</w:t>
                            </w:r>
                            <w:proofErr w:type="spellEnd"/>
                            <w:r>
                              <w:rPr>
                                <w:color w:val="000000" w:themeColor="dark1"/>
                                <w:sz w:val="16"/>
                                <w:szCs w:val="16"/>
                              </w:rPr>
                              <w:t xml:space="preserve"> by index holding percentage in the Russell 1000.</w:t>
                            </w:r>
                          </w:p>
                          <w:p w14:paraId="6384379F" w14:textId="77777777" w:rsidR="00445072" w:rsidRDefault="00445072" w:rsidP="00445072">
                            <w:pPr>
                              <w:rPr>
                                <w:color w:val="000000" w:themeColor="dark1"/>
                                <w:sz w:val="16"/>
                                <w:szCs w:val="16"/>
                              </w:rPr>
                            </w:pPr>
                            <w:r>
                              <w:rPr>
                                <w:color w:val="000000" w:themeColor="dark1"/>
                                <w:sz w:val="16"/>
                                <w:szCs w:val="16"/>
                              </w:rPr>
                              <w:t>[2</w:t>
                            </w:r>
                            <w:proofErr w:type="gramStart"/>
                            <w:r>
                              <w:rPr>
                                <w:color w:val="000000" w:themeColor="dark1"/>
                                <w:sz w:val="16"/>
                                <w:szCs w:val="16"/>
                              </w:rPr>
                              <w:t>]  Original</w:t>
                            </w:r>
                            <w:proofErr w:type="gramEnd"/>
                            <w:r>
                              <w:rPr>
                                <w:color w:val="000000" w:themeColor="dark1"/>
                                <w:sz w:val="16"/>
                                <w:szCs w:val="16"/>
                              </w:rPr>
                              <w:t xml:space="preserve"> bandwidth lengths are 0-50, 0-100, 0-200, and "Rule-of-thumb" bandwidths that vary from 0-128 and 0-197.</w:t>
                            </w:r>
                          </w:p>
                          <w:p w14:paraId="6256B111" w14:textId="77777777" w:rsidR="00445072" w:rsidRDefault="00445072" w:rsidP="00445072">
                            <w:pPr>
                              <w:textAlignment w:val="baseline"/>
                              <w:rPr>
                                <w:color w:val="000000" w:themeColor="dark1"/>
                                <w:sz w:val="16"/>
                                <w:szCs w:val="16"/>
                              </w:rPr>
                            </w:pPr>
                            <w:r>
                              <w:rPr>
                                <w:color w:val="000000" w:themeColor="dark1"/>
                                <w:sz w:val="16"/>
                                <w:szCs w:val="16"/>
                              </w:rPr>
                              <w:t>[3</w:t>
                            </w:r>
                            <w:proofErr w:type="gramStart"/>
                            <w:r>
                              <w:rPr>
                                <w:color w:val="000000" w:themeColor="dark1"/>
                                <w:sz w:val="16"/>
                                <w:szCs w:val="16"/>
                              </w:rPr>
                              <w:t>]  New</w:t>
                            </w:r>
                            <w:proofErr w:type="gramEnd"/>
                            <w:r>
                              <w:rPr>
                                <w:color w:val="000000" w:themeColor="dark1"/>
                                <w:sz w:val="16"/>
                                <w:szCs w:val="16"/>
                              </w:rPr>
                              <w:t xml:space="preserve"> bandwidths are subsets of the original bandwidths that exclude 0-50.</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840"/>
            </w:tblGrid>
            <w:tr w:rsidR="00445072" w:rsidRPr="00445072" w14:paraId="131E695E" w14:textId="77777777">
              <w:trPr>
                <w:trHeight w:val="290"/>
                <w:tblCellSpacing w:w="0" w:type="dxa"/>
              </w:trPr>
              <w:tc>
                <w:tcPr>
                  <w:tcW w:w="1840" w:type="dxa"/>
                  <w:tcBorders>
                    <w:top w:val="nil"/>
                    <w:left w:val="nil"/>
                    <w:bottom w:val="nil"/>
                    <w:right w:val="nil"/>
                  </w:tcBorders>
                  <w:shd w:val="clear" w:color="auto" w:fill="auto"/>
                  <w:noWrap/>
                  <w:vAlign w:val="bottom"/>
                  <w:hideMark/>
                </w:tcPr>
                <w:p w14:paraId="5C8C72D6" w14:textId="77777777" w:rsidR="00445072" w:rsidRPr="00445072" w:rsidRDefault="00445072" w:rsidP="00445072">
                  <w:pPr>
                    <w:spacing w:after="0" w:line="240" w:lineRule="auto"/>
                    <w:rPr>
                      <w:rFonts w:ascii="Calibri" w:eastAsia="Times New Roman" w:hAnsi="Calibri" w:cs="Calibri"/>
                      <w:color w:val="000000"/>
                    </w:rPr>
                  </w:pPr>
                </w:p>
              </w:tc>
            </w:tr>
          </w:tbl>
          <w:p w14:paraId="10BCE4A9" w14:textId="77777777" w:rsidR="00445072" w:rsidRPr="00445072" w:rsidRDefault="00445072" w:rsidP="00445072">
            <w:pPr>
              <w:spacing w:after="0" w:line="240" w:lineRule="auto"/>
              <w:rPr>
                <w:rFonts w:ascii="Calibri" w:eastAsia="Times New Roman" w:hAnsi="Calibri" w:cs="Calibri"/>
                <w:color w:val="000000"/>
              </w:rPr>
            </w:pPr>
          </w:p>
        </w:tc>
        <w:tc>
          <w:tcPr>
            <w:tcW w:w="967" w:type="dxa"/>
            <w:tcBorders>
              <w:top w:val="nil"/>
              <w:left w:val="nil"/>
              <w:bottom w:val="nil"/>
              <w:right w:val="nil"/>
            </w:tcBorders>
            <w:shd w:val="clear" w:color="auto" w:fill="auto"/>
            <w:noWrap/>
            <w:vAlign w:val="bottom"/>
            <w:hideMark/>
          </w:tcPr>
          <w:p w14:paraId="399CF2FF"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112" w:type="dxa"/>
            <w:tcBorders>
              <w:top w:val="nil"/>
              <w:left w:val="nil"/>
              <w:bottom w:val="nil"/>
              <w:right w:val="nil"/>
            </w:tcBorders>
            <w:shd w:val="clear" w:color="auto" w:fill="auto"/>
            <w:noWrap/>
            <w:vAlign w:val="bottom"/>
            <w:hideMark/>
          </w:tcPr>
          <w:p w14:paraId="5523050A"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07" w:type="dxa"/>
            <w:tcBorders>
              <w:top w:val="nil"/>
              <w:left w:val="nil"/>
              <w:bottom w:val="nil"/>
              <w:right w:val="nil"/>
            </w:tcBorders>
            <w:shd w:val="clear" w:color="auto" w:fill="auto"/>
            <w:noWrap/>
            <w:vAlign w:val="bottom"/>
            <w:hideMark/>
          </w:tcPr>
          <w:p w14:paraId="3B8539C2"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219" w:type="dxa"/>
            <w:tcBorders>
              <w:top w:val="nil"/>
              <w:left w:val="nil"/>
              <w:bottom w:val="nil"/>
              <w:right w:val="nil"/>
            </w:tcBorders>
            <w:shd w:val="clear" w:color="auto" w:fill="auto"/>
            <w:noWrap/>
            <w:vAlign w:val="bottom"/>
            <w:hideMark/>
          </w:tcPr>
          <w:p w14:paraId="01059B40"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14:paraId="4F219C93" w14:textId="77777777" w:rsidR="00445072" w:rsidRPr="00445072" w:rsidRDefault="00445072" w:rsidP="00445072">
            <w:pPr>
              <w:spacing w:after="0" w:line="240" w:lineRule="auto"/>
              <w:rPr>
                <w:rFonts w:ascii="Times New Roman" w:eastAsia="Times New Roman" w:hAnsi="Times New Roman" w:cs="Times New Roman"/>
                <w:sz w:val="20"/>
                <w:szCs w:val="20"/>
              </w:rPr>
            </w:pPr>
          </w:p>
        </w:tc>
      </w:tr>
      <w:tr w:rsidR="00445072" w:rsidRPr="00445072" w14:paraId="375D2DB8"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77EE5538"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967" w:type="dxa"/>
            <w:tcBorders>
              <w:top w:val="nil"/>
              <w:left w:val="nil"/>
              <w:bottom w:val="nil"/>
              <w:right w:val="nil"/>
            </w:tcBorders>
            <w:shd w:val="clear" w:color="auto" w:fill="auto"/>
            <w:noWrap/>
            <w:vAlign w:val="bottom"/>
            <w:hideMark/>
          </w:tcPr>
          <w:p w14:paraId="0D484028"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112" w:type="dxa"/>
            <w:tcBorders>
              <w:top w:val="nil"/>
              <w:left w:val="nil"/>
              <w:bottom w:val="nil"/>
              <w:right w:val="nil"/>
            </w:tcBorders>
            <w:shd w:val="clear" w:color="auto" w:fill="auto"/>
            <w:noWrap/>
            <w:vAlign w:val="bottom"/>
            <w:hideMark/>
          </w:tcPr>
          <w:p w14:paraId="27D1E6EB"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07" w:type="dxa"/>
            <w:tcBorders>
              <w:top w:val="nil"/>
              <w:left w:val="nil"/>
              <w:bottom w:val="nil"/>
              <w:right w:val="nil"/>
            </w:tcBorders>
            <w:shd w:val="clear" w:color="auto" w:fill="auto"/>
            <w:noWrap/>
            <w:vAlign w:val="bottom"/>
            <w:hideMark/>
          </w:tcPr>
          <w:p w14:paraId="3A949B8A"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219" w:type="dxa"/>
            <w:tcBorders>
              <w:top w:val="nil"/>
              <w:left w:val="nil"/>
              <w:bottom w:val="nil"/>
              <w:right w:val="nil"/>
            </w:tcBorders>
            <w:shd w:val="clear" w:color="auto" w:fill="auto"/>
            <w:noWrap/>
            <w:vAlign w:val="bottom"/>
            <w:hideMark/>
          </w:tcPr>
          <w:p w14:paraId="721FD2A0"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14:paraId="49E027A1" w14:textId="77777777" w:rsidR="00445072" w:rsidRPr="00445072" w:rsidRDefault="00445072" w:rsidP="00445072">
            <w:pPr>
              <w:spacing w:after="0" w:line="240" w:lineRule="auto"/>
              <w:rPr>
                <w:rFonts w:ascii="Times New Roman" w:eastAsia="Times New Roman" w:hAnsi="Times New Roman" w:cs="Times New Roman"/>
                <w:sz w:val="20"/>
                <w:szCs w:val="20"/>
              </w:rPr>
            </w:pPr>
          </w:p>
        </w:tc>
      </w:tr>
      <w:tr w:rsidR="00445072" w:rsidRPr="00445072" w14:paraId="17F4D0B0"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0CAFCAB5"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967" w:type="dxa"/>
            <w:tcBorders>
              <w:top w:val="nil"/>
              <w:left w:val="nil"/>
              <w:bottom w:val="nil"/>
              <w:right w:val="nil"/>
            </w:tcBorders>
            <w:shd w:val="clear" w:color="auto" w:fill="auto"/>
            <w:noWrap/>
            <w:vAlign w:val="bottom"/>
            <w:hideMark/>
          </w:tcPr>
          <w:p w14:paraId="4F003395"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112" w:type="dxa"/>
            <w:tcBorders>
              <w:top w:val="nil"/>
              <w:left w:val="nil"/>
              <w:bottom w:val="nil"/>
              <w:right w:val="nil"/>
            </w:tcBorders>
            <w:shd w:val="clear" w:color="auto" w:fill="auto"/>
            <w:noWrap/>
            <w:vAlign w:val="bottom"/>
            <w:hideMark/>
          </w:tcPr>
          <w:p w14:paraId="55C7ACF3"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07" w:type="dxa"/>
            <w:tcBorders>
              <w:top w:val="nil"/>
              <w:left w:val="nil"/>
              <w:bottom w:val="nil"/>
              <w:right w:val="nil"/>
            </w:tcBorders>
            <w:shd w:val="clear" w:color="auto" w:fill="auto"/>
            <w:noWrap/>
            <w:vAlign w:val="bottom"/>
            <w:hideMark/>
          </w:tcPr>
          <w:p w14:paraId="6842CD9A"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219" w:type="dxa"/>
            <w:tcBorders>
              <w:top w:val="nil"/>
              <w:left w:val="nil"/>
              <w:bottom w:val="nil"/>
              <w:right w:val="nil"/>
            </w:tcBorders>
            <w:shd w:val="clear" w:color="auto" w:fill="auto"/>
            <w:noWrap/>
            <w:vAlign w:val="bottom"/>
            <w:hideMark/>
          </w:tcPr>
          <w:p w14:paraId="65D6794A"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14:paraId="6FF7FEBF" w14:textId="77777777" w:rsidR="00445072" w:rsidRPr="00445072" w:rsidRDefault="00445072" w:rsidP="00445072">
            <w:pPr>
              <w:spacing w:after="0" w:line="240" w:lineRule="auto"/>
              <w:rPr>
                <w:rFonts w:ascii="Times New Roman" w:eastAsia="Times New Roman" w:hAnsi="Times New Roman" w:cs="Times New Roman"/>
                <w:sz w:val="20"/>
                <w:szCs w:val="20"/>
              </w:rPr>
            </w:pPr>
          </w:p>
        </w:tc>
      </w:tr>
      <w:tr w:rsidR="00445072" w:rsidRPr="00445072" w14:paraId="4EBC22AE"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25F6A79C"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967" w:type="dxa"/>
            <w:tcBorders>
              <w:top w:val="nil"/>
              <w:left w:val="nil"/>
              <w:bottom w:val="nil"/>
              <w:right w:val="nil"/>
            </w:tcBorders>
            <w:shd w:val="clear" w:color="auto" w:fill="auto"/>
            <w:noWrap/>
            <w:vAlign w:val="bottom"/>
            <w:hideMark/>
          </w:tcPr>
          <w:p w14:paraId="0288E3F1"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112" w:type="dxa"/>
            <w:tcBorders>
              <w:top w:val="nil"/>
              <w:left w:val="nil"/>
              <w:bottom w:val="nil"/>
              <w:right w:val="nil"/>
            </w:tcBorders>
            <w:shd w:val="clear" w:color="auto" w:fill="auto"/>
            <w:noWrap/>
            <w:vAlign w:val="bottom"/>
            <w:hideMark/>
          </w:tcPr>
          <w:p w14:paraId="589D46FA"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07" w:type="dxa"/>
            <w:tcBorders>
              <w:top w:val="nil"/>
              <w:left w:val="nil"/>
              <w:bottom w:val="nil"/>
              <w:right w:val="nil"/>
            </w:tcBorders>
            <w:shd w:val="clear" w:color="auto" w:fill="auto"/>
            <w:noWrap/>
            <w:vAlign w:val="bottom"/>
            <w:hideMark/>
          </w:tcPr>
          <w:p w14:paraId="24B8C808"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219" w:type="dxa"/>
            <w:tcBorders>
              <w:top w:val="nil"/>
              <w:left w:val="nil"/>
              <w:bottom w:val="nil"/>
              <w:right w:val="nil"/>
            </w:tcBorders>
            <w:shd w:val="clear" w:color="auto" w:fill="auto"/>
            <w:noWrap/>
            <w:vAlign w:val="bottom"/>
            <w:hideMark/>
          </w:tcPr>
          <w:p w14:paraId="5FDE91E7"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14:paraId="78903131" w14:textId="77777777" w:rsidR="00445072" w:rsidRPr="00445072" w:rsidRDefault="00445072" w:rsidP="00445072">
            <w:pPr>
              <w:spacing w:after="0" w:line="240" w:lineRule="auto"/>
              <w:rPr>
                <w:rFonts w:ascii="Times New Roman" w:eastAsia="Times New Roman" w:hAnsi="Times New Roman" w:cs="Times New Roman"/>
                <w:sz w:val="20"/>
                <w:szCs w:val="20"/>
              </w:rPr>
            </w:pPr>
          </w:p>
        </w:tc>
      </w:tr>
      <w:tr w:rsidR="00445072" w:rsidRPr="00445072" w14:paraId="74D6B131"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228B4D0C"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967" w:type="dxa"/>
            <w:tcBorders>
              <w:top w:val="nil"/>
              <w:left w:val="nil"/>
              <w:bottom w:val="nil"/>
              <w:right w:val="nil"/>
            </w:tcBorders>
            <w:shd w:val="clear" w:color="auto" w:fill="auto"/>
            <w:noWrap/>
            <w:vAlign w:val="bottom"/>
            <w:hideMark/>
          </w:tcPr>
          <w:p w14:paraId="5517850C"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112" w:type="dxa"/>
            <w:tcBorders>
              <w:top w:val="nil"/>
              <w:left w:val="nil"/>
              <w:bottom w:val="nil"/>
              <w:right w:val="nil"/>
            </w:tcBorders>
            <w:shd w:val="clear" w:color="auto" w:fill="auto"/>
            <w:noWrap/>
            <w:vAlign w:val="bottom"/>
            <w:hideMark/>
          </w:tcPr>
          <w:p w14:paraId="02580657"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07" w:type="dxa"/>
            <w:tcBorders>
              <w:top w:val="nil"/>
              <w:left w:val="nil"/>
              <w:bottom w:val="nil"/>
              <w:right w:val="nil"/>
            </w:tcBorders>
            <w:shd w:val="clear" w:color="auto" w:fill="auto"/>
            <w:noWrap/>
            <w:vAlign w:val="bottom"/>
            <w:hideMark/>
          </w:tcPr>
          <w:p w14:paraId="05F7D714"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219" w:type="dxa"/>
            <w:tcBorders>
              <w:top w:val="nil"/>
              <w:left w:val="nil"/>
              <w:bottom w:val="nil"/>
              <w:right w:val="nil"/>
            </w:tcBorders>
            <w:shd w:val="clear" w:color="auto" w:fill="auto"/>
            <w:noWrap/>
            <w:vAlign w:val="bottom"/>
            <w:hideMark/>
          </w:tcPr>
          <w:p w14:paraId="1002D8D6"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14:paraId="5845478C" w14:textId="77777777" w:rsidR="00445072" w:rsidRPr="00445072" w:rsidRDefault="00445072" w:rsidP="00445072">
            <w:pPr>
              <w:spacing w:after="0" w:line="240" w:lineRule="auto"/>
              <w:rPr>
                <w:rFonts w:ascii="Times New Roman" w:eastAsia="Times New Roman" w:hAnsi="Times New Roman" w:cs="Times New Roman"/>
                <w:sz w:val="20"/>
                <w:szCs w:val="20"/>
              </w:rPr>
            </w:pPr>
          </w:p>
        </w:tc>
      </w:tr>
      <w:tr w:rsidR="00445072" w:rsidRPr="00445072" w14:paraId="3B177AE5"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6B589989"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967" w:type="dxa"/>
            <w:tcBorders>
              <w:top w:val="nil"/>
              <w:left w:val="nil"/>
              <w:bottom w:val="nil"/>
              <w:right w:val="nil"/>
            </w:tcBorders>
            <w:shd w:val="clear" w:color="auto" w:fill="auto"/>
            <w:noWrap/>
            <w:vAlign w:val="bottom"/>
            <w:hideMark/>
          </w:tcPr>
          <w:p w14:paraId="41071CF9"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112" w:type="dxa"/>
            <w:tcBorders>
              <w:top w:val="nil"/>
              <w:left w:val="nil"/>
              <w:bottom w:val="nil"/>
              <w:right w:val="nil"/>
            </w:tcBorders>
            <w:shd w:val="clear" w:color="auto" w:fill="auto"/>
            <w:noWrap/>
            <w:vAlign w:val="bottom"/>
            <w:hideMark/>
          </w:tcPr>
          <w:p w14:paraId="48EF4E34"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07" w:type="dxa"/>
            <w:tcBorders>
              <w:top w:val="nil"/>
              <w:left w:val="nil"/>
              <w:bottom w:val="nil"/>
              <w:right w:val="nil"/>
            </w:tcBorders>
            <w:shd w:val="clear" w:color="auto" w:fill="auto"/>
            <w:noWrap/>
            <w:vAlign w:val="bottom"/>
            <w:hideMark/>
          </w:tcPr>
          <w:p w14:paraId="1F980140"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219" w:type="dxa"/>
            <w:tcBorders>
              <w:top w:val="nil"/>
              <w:left w:val="nil"/>
              <w:bottom w:val="nil"/>
              <w:right w:val="nil"/>
            </w:tcBorders>
            <w:shd w:val="clear" w:color="auto" w:fill="auto"/>
            <w:noWrap/>
            <w:vAlign w:val="bottom"/>
            <w:hideMark/>
          </w:tcPr>
          <w:p w14:paraId="2574BE5B"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14:paraId="0AB77530" w14:textId="77777777" w:rsidR="00445072" w:rsidRPr="00445072" w:rsidRDefault="00445072" w:rsidP="00445072">
            <w:pPr>
              <w:spacing w:after="0" w:line="240" w:lineRule="auto"/>
              <w:rPr>
                <w:rFonts w:ascii="Times New Roman" w:eastAsia="Times New Roman" w:hAnsi="Times New Roman" w:cs="Times New Roman"/>
                <w:sz w:val="20"/>
                <w:szCs w:val="20"/>
              </w:rPr>
            </w:pPr>
          </w:p>
        </w:tc>
      </w:tr>
      <w:tr w:rsidR="00445072" w:rsidRPr="00445072" w14:paraId="7373E211" w14:textId="77777777" w:rsidTr="00445072">
        <w:trPr>
          <w:trHeight w:val="290"/>
          <w:jc w:val="center"/>
        </w:trPr>
        <w:tc>
          <w:tcPr>
            <w:tcW w:w="3597" w:type="dxa"/>
            <w:tcBorders>
              <w:top w:val="nil"/>
              <w:left w:val="nil"/>
              <w:bottom w:val="nil"/>
              <w:right w:val="nil"/>
            </w:tcBorders>
            <w:shd w:val="clear" w:color="auto" w:fill="auto"/>
            <w:noWrap/>
            <w:vAlign w:val="bottom"/>
            <w:hideMark/>
          </w:tcPr>
          <w:p w14:paraId="0ED26F79"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967" w:type="dxa"/>
            <w:tcBorders>
              <w:top w:val="nil"/>
              <w:left w:val="nil"/>
              <w:bottom w:val="nil"/>
              <w:right w:val="nil"/>
            </w:tcBorders>
            <w:shd w:val="clear" w:color="auto" w:fill="auto"/>
            <w:noWrap/>
            <w:vAlign w:val="bottom"/>
            <w:hideMark/>
          </w:tcPr>
          <w:p w14:paraId="3A0B24FD"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112" w:type="dxa"/>
            <w:tcBorders>
              <w:top w:val="nil"/>
              <w:left w:val="nil"/>
              <w:bottom w:val="nil"/>
              <w:right w:val="nil"/>
            </w:tcBorders>
            <w:shd w:val="clear" w:color="auto" w:fill="auto"/>
            <w:noWrap/>
            <w:vAlign w:val="bottom"/>
            <w:hideMark/>
          </w:tcPr>
          <w:p w14:paraId="5896C1F2"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07" w:type="dxa"/>
            <w:tcBorders>
              <w:top w:val="nil"/>
              <w:left w:val="nil"/>
              <w:bottom w:val="nil"/>
              <w:right w:val="nil"/>
            </w:tcBorders>
            <w:shd w:val="clear" w:color="auto" w:fill="auto"/>
            <w:noWrap/>
            <w:vAlign w:val="bottom"/>
            <w:hideMark/>
          </w:tcPr>
          <w:p w14:paraId="2A9B380F"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219" w:type="dxa"/>
            <w:tcBorders>
              <w:top w:val="nil"/>
              <w:left w:val="nil"/>
              <w:bottom w:val="nil"/>
              <w:right w:val="nil"/>
            </w:tcBorders>
            <w:shd w:val="clear" w:color="auto" w:fill="auto"/>
            <w:noWrap/>
            <w:vAlign w:val="bottom"/>
            <w:hideMark/>
          </w:tcPr>
          <w:p w14:paraId="1FC25471" w14:textId="77777777" w:rsidR="00445072" w:rsidRPr="00445072" w:rsidRDefault="00445072" w:rsidP="00445072">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14:paraId="7D2E4757" w14:textId="77777777" w:rsidR="00445072" w:rsidRPr="00445072" w:rsidRDefault="00445072" w:rsidP="00445072">
            <w:pPr>
              <w:spacing w:after="0" w:line="240" w:lineRule="auto"/>
              <w:rPr>
                <w:rFonts w:ascii="Times New Roman" w:eastAsia="Times New Roman" w:hAnsi="Times New Roman" w:cs="Times New Roman"/>
                <w:sz w:val="20"/>
                <w:szCs w:val="20"/>
              </w:rPr>
            </w:pPr>
          </w:p>
        </w:tc>
      </w:tr>
    </w:tbl>
    <w:p w14:paraId="6D5E31BB" w14:textId="77777777" w:rsidR="00E45FF2" w:rsidRPr="00B10AF4" w:rsidRDefault="00E45FF2">
      <w:pPr>
        <w:rPr>
          <w:rFonts w:ascii="Times New Roman" w:hAnsi="Times New Roman" w:cs="Times New Roman"/>
        </w:rPr>
      </w:pPr>
    </w:p>
    <w:p w14:paraId="244E826A" w14:textId="69E7849D" w:rsidR="00087700" w:rsidRPr="00B10AF4" w:rsidRDefault="00E87385">
      <w:pPr>
        <w:rPr>
          <w:rFonts w:ascii="Times New Roman" w:hAnsi="Times New Roman" w:cs="Times New Roman"/>
          <w:b/>
          <w:bCs/>
          <w:u w:val="single"/>
        </w:rPr>
      </w:pPr>
      <w:r w:rsidRPr="00B10AF4">
        <w:rPr>
          <w:rFonts w:ascii="Times New Roman" w:hAnsi="Times New Roman" w:cs="Times New Roman"/>
        </w:rPr>
        <w:br w:type="column"/>
      </w:r>
      <w:r w:rsidRPr="00B10AF4">
        <w:rPr>
          <w:rFonts w:ascii="Times New Roman" w:hAnsi="Times New Roman" w:cs="Times New Roman"/>
          <w:b/>
          <w:bCs/>
          <w:u w:val="single"/>
        </w:rPr>
        <w:lastRenderedPageBreak/>
        <w:t>Bibliography</w:t>
      </w:r>
    </w:p>
    <w:p w14:paraId="189036FB" w14:textId="77777777" w:rsidR="00E87385" w:rsidRPr="00E87385" w:rsidRDefault="00E87385" w:rsidP="00E87385">
      <w:pPr>
        <w:spacing w:after="0" w:line="240" w:lineRule="auto"/>
        <w:ind w:hanging="480"/>
        <w:rPr>
          <w:rFonts w:ascii="Times New Roman" w:eastAsia="Times New Roman" w:hAnsi="Times New Roman" w:cs="Times New Roman"/>
          <w:sz w:val="24"/>
          <w:szCs w:val="24"/>
        </w:rPr>
      </w:pPr>
      <w:r w:rsidRPr="00E87385">
        <w:rPr>
          <w:rFonts w:ascii="Times New Roman" w:eastAsia="Times New Roman" w:hAnsi="Times New Roman" w:cs="Times New Roman"/>
          <w:sz w:val="24"/>
          <w:szCs w:val="24"/>
        </w:rPr>
        <w:t xml:space="preserve">Appel, Ian R., Todd A. Gormley, and Donald B. </w:t>
      </w:r>
      <w:proofErr w:type="spellStart"/>
      <w:r w:rsidRPr="00E87385">
        <w:rPr>
          <w:rFonts w:ascii="Times New Roman" w:eastAsia="Times New Roman" w:hAnsi="Times New Roman" w:cs="Times New Roman"/>
          <w:sz w:val="24"/>
          <w:szCs w:val="24"/>
        </w:rPr>
        <w:t>Keim</w:t>
      </w:r>
      <w:proofErr w:type="spellEnd"/>
      <w:r w:rsidRPr="00E87385">
        <w:rPr>
          <w:rFonts w:ascii="Times New Roman" w:eastAsia="Times New Roman" w:hAnsi="Times New Roman" w:cs="Times New Roman"/>
          <w:sz w:val="24"/>
          <w:szCs w:val="24"/>
        </w:rPr>
        <w:t xml:space="preserve">. “Passive Investors, Not Passive Owners.” </w:t>
      </w:r>
      <w:r w:rsidRPr="00E87385">
        <w:rPr>
          <w:rFonts w:ascii="Times New Roman" w:eastAsia="Times New Roman" w:hAnsi="Times New Roman" w:cs="Times New Roman"/>
          <w:i/>
          <w:iCs/>
          <w:sz w:val="24"/>
          <w:szCs w:val="24"/>
        </w:rPr>
        <w:t>Journal of Financial Economics</w:t>
      </w:r>
      <w:r w:rsidRPr="00E87385">
        <w:rPr>
          <w:rFonts w:ascii="Times New Roman" w:eastAsia="Times New Roman" w:hAnsi="Times New Roman" w:cs="Times New Roman"/>
          <w:sz w:val="24"/>
          <w:szCs w:val="24"/>
        </w:rPr>
        <w:t xml:space="preserve"> 121, no. 1 (July 1, 2016): 111–41. </w:t>
      </w:r>
      <w:hyperlink r:id="rId8" w:history="1">
        <w:r w:rsidRPr="00E87385">
          <w:rPr>
            <w:rFonts w:ascii="Times New Roman" w:eastAsia="Times New Roman" w:hAnsi="Times New Roman" w:cs="Times New Roman"/>
            <w:color w:val="0000FF"/>
            <w:sz w:val="24"/>
            <w:szCs w:val="24"/>
            <w:u w:val="single"/>
          </w:rPr>
          <w:t>https://doi.org/10.1016/j.jfineco.2016.03.003</w:t>
        </w:r>
      </w:hyperlink>
      <w:r w:rsidRPr="00E87385">
        <w:rPr>
          <w:rFonts w:ascii="Times New Roman" w:eastAsia="Times New Roman" w:hAnsi="Times New Roman" w:cs="Times New Roman"/>
          <w:sz w:val="24"/>
          <w:szCs w:val="24"/>
        </w:rPr>
        <w:t>.</w:t>
      </w:r>
    </w:p>
    <w:p w14:paraId="6F99EB0F" w14:textId="77777777" w:rsidR="00E87385" w:rsidRPr="00E87385" w:rsidRDefault="00E87385" w:rsidP="00E87385">
      <w:pPr>
        <w:spacing w:after="0" w:line="240" w:lineRule="auto"/>
        <w:ind w:hanging="480"/>
        <w:rPr>
          <w:rFonts w:ascii="Times New Roman" w:eastAsia="Times New Roman" w:hAnsi="Times New Roman" w:cs="Times New Roman"/>
          <w:sz w:val="24"/>
          <w:szCs w:val="24"/>
        </w:rPr>
      </w:pPr>
      <w:r w:rsidRPr="00E87385">
        <w:rPr>
          <w:rFonts w:ascii="Times New Roman" w:eastAsia="Times New Roman" w:hAnsi="Times New Roman" w:cs="Times New Roman"/>
          <w:sz w:val="24"/>
          <w:szCs w:val="24"/>
        </w:rPr>
        <w:t xml:space="preserve">Azar, José, Miguel </w:t>
      </w:r>
      <w:proofErr w:type="spellStart"/>
      <w:r w:rsidRPr="00E87385">
        <w:rPr>
          <w:rFonts w:ascii="Times New Roman" w:eastAsia="Times New Roman" w:hAnsi="Times New Roman" w:cs="Times New Roman"/>
          <w:sz w:val="24"/>
          <w:szCs w:val="24"/>
        </w:rPr>
        <w:t>Duro</w:t>
      </w:r>
      <w:proofErr w:type="spellEnd"/>
      <w:r w:rsidRPr="00E87385">
        <w:rPr>
          <w:rFonts w:ascii="Times New Roman" w:eastAsia="Times New Roman" w:hAnsi="Times New Roman" w:cs="Times New Roman"/>
          <w:sz w:val="24"/>
          <w:szCs w:val="24"/>
        </w:rPr>
        <w:t xml:space="preserve">, Igor </w:t>
      </w:r>
      <w:proofErr w:type="spellStart"/>
      <w:r w:rsidRPr="00E87385">
        <w:rPr>
          <w:rFonts w:ascii="Times New Roman" w:eastAsia="Times New Roman" w:hAnsi="Times New Roman" w:cs="Times New Roman"/>
          <w:sz w:val="24"/>
          <w:szCs w:val="24"/>
        </w:rPr>
        <w:t>Kadach</w:t>
      </w:r>
      <w:proofErr w:type="spellEnd"/>
      <w:r w:rsidRPr="00E87385">
        <w:rPr>
          <w:rFonts w:ascii="Times New Roman" w:eastAsia="Times New Roman" w:hAnsi="Times New Roman" w:cs="Times New Roman"/>
          <w:sz w:val="24"/>
          <w:szCs w:val="24"/>
        </w:rPr>
        <w:t xml:space="preserve">, and </w:t>
      </w:r>
      <w:proofErr w:type="spellStart"/>
      <w:r w:rsidRPr="00E87385">
        <w:rPr>
          <w:rFonts w:ascii="Times New Roman" w:eastAsia="Times New Roman" w:hAnsi="Times New Roman" w:cs="Times New Roman"/>
          <w:sz w:val="24"/>
          <w:szCs w:val="24"/>
        </w:rPr>
        <w:t>Gaizka</w:t>
      </w:r>
      <w:proofErr w:type="spellEnd"/>
      <w:r w:rsidRPr="00E87385">
        <w:rPr>
          <w:rFonts w:ascii="Times New Roman" w:eastAsia="Times New Roman" w:hAnsi="Times New Roman" w:cs="Times New Roman"/>
          <w:sz w:val="24"/>
          <w:szCs w:val="24"/>
        </w:rPr>
        <w:t xml:space="preserve"> </w:t>
      </w:r>
      <w:proofErr w:type="spellStart"/>
      <w:r w:rsidRPr="00E87385">
        <w:rPr>
          <w:rFonts w:ascii="Times New Roman" w:eastAsia="Times New Roman" w:hAnsi="Times New Roman" w:cs="Times New Roman"/>
          <w:sz w:val="24"/>
          <w:szCs w:val="24"/>
        </w:rPr>
        <w:t>Ormazabal</w:t>
      </w:r>
      <w:proofErr w:type="spellEnd"/>
      <w:r w:rsidRPr="00E87385">
        <w:rPr>
          <w:rFonts w:ascii="Times New Roman" w:eastAsia="Times New Roman" w:hAnsi="Times New Roman" w:cs="Times New Roman"/>
          <w:sz w:val="24"/>
          <w:szCs w:val="24"/>
        </w:rPr>
        <w:t xml:space="preserve">. “The Big Three and Corporate Carbon Emissions around the World.” </w:t>
      </w:r>
      <w:r w:rsidRPr="00E87385">
        <w:rPr>
          <w:rFonts w:ascii="Times New Roman" w:eastAsia="Times New Roman" w:hAnsi="Times New Roman" w:cs="Times New Roman"/>
          <w:i/>
          <w:iCs/>
          <w:sz w:val="24"/>
          <w:szCs w:val="24"/>
        </w:rPr>
        <w:t>Journal of Financial Economics</w:t>
      </w:r>
      <w:r w:rsidRPr="00E87385">
        <w:rPr>
          <w:rFonts w:ascii="Times New Roman" w:eastAsia="Times New Roman" w:hAnsi="Times New Roman" w:cs="Times New Roman"/>
          <w:sz w:val="24"/>
          <w:szCs w:val="24"/>
        </w:rPr>
        <w:t xml:space="preserve"> 142, no. 2 (November 1, 2021): 674–96. </w:t>
      </w:r>
      <w:hyperlink r:id="rId9" w:history="1">
        <w:r w:rsidRPr="00E87385">
          <w:rPr>
            <w:rFonts w:ascii="Times New Roman" w:eastAsia="Times New Roman" w:hAnsi="Times New Roman" w:cs="Times New Roman"/>
            <w:color w:val="0000FF"/>
            <w:sz w:val="24"/>
            <w:szCs w:val="24"/>
            <w:u w:val="single"/>
          </w:rPr>
          <w:t>https://doi.org/10.1016/j.jfineco.2021.05.007</w:t>
        </w:r>
      </w:hyperlink>
      <w:r w:rsidRPr="00E87385">
        <w:rPr>
          <w:rFonts w:ascii="Times New Roman" w:eastAsia="Times New Roman" w:hAnsi="Times New Roman" w:cs="Times New Roman"/>
          <w:sz w:val="24"/>
          <w:szCs w:val="24"/>
        </w:rPr>
        <w:t>.</w:t>
      </w:r>
    </w:p>
    <w:p w14:paraId="7EDBA145" w14:textId="77777777" w:rsidR="00E87385" w:rsidRPr="00E87385" w:rsidRDefault="00E87385" w:rsidP="00E87385">
      <w:pPr>
        <w:spacing w:after="0" w:line="240" w:lineRule="auto"/>
        <w:ind w:hanging="480"/>
        <w:rPr>
          <w:rFonts w:ascii="Times New Roman" w:eastAsia="Times New Roman" w:hAnsi="Times New Roman" w:cs="Times New Roman"/>
          <w:sz w:val="24"/>
          <w:szCs w:val="24"/>
        </w:rPr>
      </w:pPr>
      <w:r w:rsidRPr="00E87385">
        <w:rPr>
          <w:rFonts w:ascii="Times New Roman" w:eastAsia="Times New Roman" w:hAnsi="Times New Roman" w:cs="Times New Roman"/>
          <w:sz w:val="24"/>
          <w:szCs w:val="24"/>
        </w:rPr>
        <w:t xml:space="preserve">Boone, Audra L., and Joshua T. White. “The Effect of Institutional Ownership on Firm Transparency and Information Production.” </w:t>
      </w:r>
      <w:r w:rsidRPr="00E87385">
        <w:rPr>
          <w:rFonts w:ascii="Times New Roman" w:eastAsia="Times New Roman" w:hAnsi="Times New Roman" w:cs="Times New Roman"/>
          <w:i/>
          <w:iCs/>
          <w:sz w:val="24"/>
          <w:szCs w:val="24"/>
        </w:rPr>
        <w:t>Journal of Financial Economics</w:t>
      </w:r>
      <w:r w:rsidRPr="00E87385">
        <w:rPr>
          <w:rFonts w:ascii="Times New Roman" w:eastAsia="Times New Roman" w:hAnsi="Times New Roman" w:cs="Times New Roman"/>
          <w:sz w:val="24"/>
          <w:szCs w:val="24"/>
        </w:rPr>
        <w:t xml:space="preserve"> 117, no. 3 (September 1, 2015): 508–33. </w:t>
      </w:r>
      <w:hyperlink r:id="rId10" w:history="1">
        <w:r w:rsidRPr="00E87385">
          <w:rPr>
            <w:rFonts w:ascii="Times New Roman" w:eastAsia="Times New Roman" w:hAnsi="Times New Roman" w:cs="Times New Roman"/>
            <w:color w:val="0000FF"/>
            <w:sz w:val="24"/>
            <w:szCs w:val="24"/>
            <w:u w:val="single"/>
          </w:rPr>
          <w:t>https://doi.org/10.1016/j.jfineco.2015.05.008</w:t>
        </w:r>
      </w:hyperlink>
      <w:r w:rsidRPr="00E87385">
        <w:rPr>
          <w:rFonts w:ascii="Times New Roman" w:eastAsia="Times New Roman" w:hAnsi="Times New Roman" w:cs="Times New Roman"/>
          <w:sz w:val="24"/>
          <w:szCs w:val="24"/>
        </w:rPr>
        <w:t>.</w:t>
      </w:r>
    </w:p>
    <w:p w14:paraId="4AC6D9F7" w14:textId="77777777" w:rsidR="00E87385" w:rsidRPr="00E87385" w:rsidRDefault="00E87385" w:rsidP="00E87385">
      <w:pPr>
        <w:spacing w:after="0" w:line="240" w:lineRule="auto"/>
        <w:ind w:hanging="480"/>
        <w:rPr>
          <w:rFonts w:ascii="Times New Roman" w:eastAsia="Times New Roman" w:hAnsi="Times New Roman" w:cs="Times New Roman"/>
          <w:sz w:val="24"/>
          <w:szCs w:val="24"/>
        </w:rPr>
      </w:pPr>
      <w:r w:rsidRPr="00E87385">
        <w:rPr>
          <w:rFonts w:ascii="Times New Roman" w:eastAsia="Times New Roman" w:hAnsi="Times New Roman" w:cs="Times New Roman"/>
          <w:sz w:val="24"/>
          <w:szCs w:val="24"/>
        </w:rPr>
        <w:t xml:space="preserve">Cao, Charles, Matthew Gustafson, and Raisa </w:t>
      </w:r>
      <w:proofErr w:type="spellStart"/>
      <w:r w:rsidRPr="00E87385">
        <w:rPr>
          <w:rFonts w:ascii="Times New Roman" w:eastAsia="Times New Roman" w:hAnsi="Times New Roman" w:cs="Times New Roman"/>
          <w:sz w:val="24"/>
          <w:szCs w:val="24"/>
        </w:rPr>
        <w:t>Velthuis</w:t>
      </w:r>
      <w:proofErr w:type="spellEnd"/>
      <w:r w:rsidRPr="00E87385">
        <w:rPr>
          <w:rFonts w:ascii="Times New Roman" w:eastAsia="Times New Roman" w:hAnsi="Times New Roman" w:cs="Times New Roman"/>
          <w:sz w:val="24"/>
          <w:szCs w:val="24"/>
        </w:rPr>
        <w:t>. “Capital Market Consequences of Index Membership: Evidence from Small Firms,” n.d., 59.</w:t>
      </w:r>
    </w:p>
    <w:p w14:paraId="49A4A2FC" w14:textId="77777777" w:rsidR="00E87385" w:rsidRPr="00E87385" w:rsidRDefault="00E87385" w:rsidP="00E87385">
      <w:pPr>
        <w:spacing w:after="0" w:line="240" w:lineRule="auto"/>
        <w:ind w:hanging="480"/>
        <w:rPr>
          <w:rFonts w:ascii="Times New Roman" w:eastAsia="Times New Roman" w:hAnsi="Times New Roman" w:cs="Times New Roman"/>
          <w:sz w:val="24"/>
          <w:szCs w:val="24"/>
        </w:rPr>
      </w:pPr>
      <w:r w:rsidRPr="00E87385">
        <w:rPr>
          <w:rFonts w:ascii="Times New Roman" w:eastAsia="Times New Roman" w:hAnsi="Times New Roman" w:cs="Times New Roman"/>
          <w:sz w:val="24"/>
          <w:szCs w:val="24"/>
        </w:rPr>
        <w:t xml:space="preserve">Chen, Shuping, Ying Huang, </w:t>
      </w:r>
      <w:proofErr w:type="spellStart"/>
      <w:r w:rsidRPr="00E87385">
        <w:rPr>
          <w:rFonts w:ascii="Times New Roman" w:eastAsia="Times New Roman" w:hAnsi="Times New Roman" w:cs="Times New Roman"/>
          <w:sz w:val="24"/>
          <w:szCs w:val="24"/>
        </w:rPr>
        <w:t>Ningzhong</w:t>
      </w:r>
      <w:proofErr w:type="spellEnd"/>
      <w:r w:rsidRPr="00E87385">
        <w:rPr>
          <w:rFonts w:ascii="Times New Roman" w:eastAsia="Times New Roman" w:hAnsi="Times New Roman" w:cs="Times New Roman"/>
          <w:sz w:val="24"/>
          <w:szCs w:val="24"/>
        </w:rPr>
        <w:t xml:space="preserve"> Li, and Terry Shevlin. “How Does Quasi-Indexer Ownership Affect Corporate Tax Planning?” </w:t>
      </w:r>
      <w:r w:rsidRPr="00E87385">
        <w:rPr>
          <w:rFonts w:ascii="Times New Roman" w:eastAsia="Times New Roman" w:hAnsi="Times New Roman" w:cs="Times New Roman"/>
          <w:i/>
          <w:iCs/>
          <w:sz w:val="24"/>
          <w:szCs w:val="24"/>
        </w:rPr>
        <w:t>Journal of Accounting and Economics</w:t>
      </w:r>
      <w:r w:rsidRPr="00E87385">
        <w:rPr>
          <w:rFonts w:ascii="Times New Roman" w:eastAsia="Times New Roman" w:hAnsi="Times New Roman" w:cs="Times New Roman"/>
          <w:sz w:val="24"/>
          <w:szCs w:val="24"/>
        </w:rPr>
        <w:t xml:space="preserve"> 67, no. 2 (April 1, 2019): 278–96. </w:t>
      </w:r>
      <w:hyperlink r:id="rId11" w:history="1">
        <w:r w:rsidRPr="00E87385">
          <w:rPr>
            <w:rFonts w:ascii="Times New Roman" w:eastAsia="Times New Roman" w:hAnsi="Times New Roman" w:cs="Times New Roman"/>
            <w:color w:val="0000FF"/>
            <w:sz w:val="24"/>
            <w:szCs w:val="24"/>
            <w:u w:val="single"/>
          </w:rPr>
          <w:t>https://doi.org/10.1016/j.jacceco.2018.01.001</w:t>
        </w:r>
      </w:hyperlink>
      <w:r w:rsidRPr="00E87385">
        <w:rPr>
          <w:rFonts w:ascii="Times New Roman" w:eastAsia="Times New Roman" w:hAnsi="Times New Roman" w:cs="Times New Roman"/>
          <w:sz w:val="24"/>
          <w:szCs w:val="24"/>
        </w:rPr>
        <w:t>.</w:t>
      </w:r>
    </w:p>
    <w:p w14:paraId="4C0D779C" w14:textId="77777777" w:rsidR="00E87385" w:rsidRPr="00E87385" w:rsidRDefault="00E87385" w:rsidP="00E87385">
      <w:pPr>
        <w:spacing w:after="0" w:line="240" w:lineRule="auto"/>
        <w:ind w:hanging="480"/>
        <w:rPr>
          <w:rFonts w:ascii="Times New Roman" w:eastAsia="Times New Roman" w:hAnsi="Times New Roman" w:cs="Times New Roman"/>
          <w:sz w:val="24"/>
          <w:szCs w:val="24"/>
        </w:rPr>
      </w:pPr>
      <w:r w:rsidRPr="00E87385">
        <w:rPr>
          <w:rFonts w:ascii="Times New Roman" w:eastAsia="Times New Roman" w:hAnsi="Times New Roman" w:cs="Times New Roman"/>
          <w:sz w:val="24"/>
          <w:szCs w:val="24"/>
        </w:rPr>
        <w:t xml:space="preserve">Chen, Tao, Hui Dong, and Chen Lin. “Institutional Shareholders and Corporate Social Responsibility.” </w:t>
      </w:r>
      <w:r w:rsidRPr="00E87385">
        <w:rPr>
          <w:rFonts w:ascii="Times New Roman" w:eastAsia="Times New Roman" w:hAnsi="Times New Roman" w:cs="Times New Roman"/>
          <w:i/>
          <w:iCs/>
          <w:sz w:val="24"/>
          <w:szCs w:val="24"/>
        </w:rPr>
        <w:t>Journal of Financial Economics</w:t>
      </w:r>
      <w:r w:rsidRPr="00E87385">
        <w:rPr>
          <w:rFonts w:ascii="Times New Roman" w:eastAsia="Times New Roman" w:hAnsi="Times New Roman" w:cs="Times New Roman"/>
          <w:sz w:val="24"/>
          <w:szCs w:val="24"/>
        </w:rPr>
        <w:t xml:space="preserve"> 135, no. 2 (February 1, 2020): 483–504. </w:t>
      </w:r>
      <w:hyperlink r:id="rId12" w:history="1">
        <w:r w:rsidRPr="00E87385">
          <w:rPr>
            <w:rFonts w:ascii="Times New Roman" w:eastAsia="Times New Roman" w:hAnsi="Times New Roman" w:cs="Times New Roman"/>
            <w:color w:val="0000FF"/>
            <w:sz w:val="24"/>
            <w:szCs w:val="24"/>
            <w:u w:val="single"/>
          </w:rPr>
          <w:t>https://doi.org/10.1016/j.jfineco.2019.06.007</w:t>
        </w:r>
      </w:hyperlink>
      <w:r w:rsidRPr="00E87385">
        <w:rPr>
          <w:rFonts w:ascii="Times New Roman" w:eastAsia="Times New Roman" w:hAnsi="Times New Roman" w:cs="Times New Roman"/>
          <w:sz w:val="24"/>
          <w:szCs w:val="24"/>
        </w:rPr>
        <w:t>.</w:t>
      </w:r>
    </w:p>
    <w:p w14:paraId="3BB28240" w14:textId="77777777" w:rsidR="00E87385" w:rsidRPr="00E87385" w:rsidRDefault="00E87385" w:rsidP="00E87385">
      <w:pPr>
        <w:spacing w:after="0" w:line="240" w:lineRule="auto"/>
        <w:ind w:hanging="480"/>
        <w:rPr>
          <w:rFonts w:ascii="Times New Roman" w:eastAsia="Times New Roman" w:hAnsi="Times New Roman" w:cs="Times New Roman"/>
          <w:sz w:val="24"/>
          <w:szCs w:val="24"/>
        </w:rPr>
      </w:pPr>
      <w:r w:rsidRPr="00E87385">
        <w:rPr>
          <w:rFonts w:ascii="Times New Roman" w:eastAsia="Times New Roman" w:hAnsi="Times New Roman" w:cs="Times New Roman"/>
          <w:sz w:val="24"/>
          <w:szCs w:val="24"/>
        </w:rPr>
        <w:t xml:space="preserve">Crane, Alan D., Sébastien </w:t>
      </w:r>
      <w:proofErr w:type="spellStart"/>
      <w:r w:rsidRPr="00E87385">
        <w:rPr>
          <w:rFonts w:ascii="Times New Roman" w:eastAsia="Times New Roman" w:hAnsi="Times New Roman" w:cs="Times New Roman"/>
          <w:sz w:val="24"/>
          <w:szCs w:val="24"/>
        </w:rPr>
        <w:t>Michenaud</w:t>
      </w:r>
      <w:proofErr w:type="spellEnd"/>
      <w:r w:rsidRPr="00E87385">
        <w:rPr>
          <w:rFonts w:ascii="Times New Roman" w:eastAsia="Times New Roman" w:hAnsi="Times New Roman" w:cs="Times New Roman"/>
          <w:sz w:val="24"/>
          <w:szCs w:val="24"/>
        </w:rPr>
        <w:t xml:space="preserve">, and James P. Weston. “The Effect of Institutional Ownership on Payout Policy: Evidence from Index Thresholds.” </w:t>
      </w:r>
      <w:r w:rsidRPr="00E87385">
        <w:rPr>
          <w:rFonts w:ascii="Times New Roman" w:eastAsia="Times New Roman" w:hAnsi="Times New Roman" w:cs="Times New Roman"/>
          <w:i/>
          <w:iCs/>
          <w:sz w:val="24"/>
          <w:szCs w:val="24"/>
        </w:rPr>
        <w:t>The Review of Financial Studies</w:t>
      </w:r>
      <w:r w:rsidRPr="00E87385">
        <w:rPr>
          <w:rFonts w:ascii="Times New Roman" w:eastAsia="Times New Roman" w:hAnsi="Times New Roman" w:cs="Times New Roman"/>
          <w:sz w:val="24"/>
          <w:szCs w:val="24"/>
        </w:rPr>
        <w:t xml:space="preserve"> 29, no. 6 (June 1, 2016): 1377–1408. </w:t>
      </w:r>
      <w:hyperlink r:id="rId13" w:history="1">
        <w:r w:rsidRPr="00E87385">
          <w:rPr>
            <w:rFonts w:ascii="Times New Roman" w:eastAsia="Times New Roman" w:hAnsi="Times New Roman" w:cs="Times New Roman"/>
            <w:color w:val="0000FF"/>
            <w:sz w:val="24"/>
            <w:szCs w:val="24"/>
            <w:u w:val="single"/>
          </w:rPr>
          <w:t>https://doi.org/10.1093/rfs/hhw012</w:t>
        </w:r>
      </w:hyperlink>
      <w:r w:rsidRPr="00E87385">
        <w:rPr>
          <w:rFonts w:ascii="Times New Roman" w:eastAsia="Times New Roman" w:hAnsi="Times New Roman" w:cs="Times New Roman"/>
          <w:sz w:val="24"/>
          <w:szCs w:val="24"/>
        </w:rPr>
        <w:t>.</w:t>
      </w:r>
    </w:p>
    <w:p w14:paraId="4A3B9E47" w14:textId="77777777" w:rsidR="00E87385" w:rsidRPr="00E87385" w:rsidRDefault="00E87385" w:rsidP="00E87385">
      <w:pPr>
        <w:spacing w:after="0" w:line="240" w:lineRule="auto"/>
        <w:ind w:hanging="480"/>
        <w:rPr>
          <w:rFonts w:ascii="Times New Roman" w:eastAsia="Times New Roman" w:hAnsi="Times New Roman" w:cs="Times New Roman"/>
          <w:sz w:val="24"/>
          <w:szCs w:val="24"/>
        </w:rPr>
      </w:pPr>
      <w:r w:rsidRPr="00E87385">
        <w:rPr>
          <w:rFonts w:ascii="Times New Roman" w:eastAsia="Times New Roman" w:hAnsi="Times New Roman" w:cs="Times New Roman"/>
          <w:sz w:val="24"/>
          <w:szCs w:val="24"/>
        </w:rPr>
        <w:t xml:space="preserve">Kang, Jun-Koo, Juan Luo, and Hyun Seung Na. “Are Institutional Investors with Multiple </w:t>
      </w:r>
      <w:proofErr w:type="spellStart"/>
      <w:r w:rsidRPr="00E87385">
        <w:rPr>
          <w:rFonts w:ascii="Times New Roman" w:eastAsia="Times New Roman" w:hAnsi="Times New Roman" w:cs="Times New Roman"/>
          <w:sz w:val="24"/>
          <w:szCs w:val="24"/>
        </w:rPr>
        <w:t>Blockholdings</w:t>
      </w:r>
      <w:proofErr w:type="spellEnd"/>
      <w:r w:rsidRPr="00E87385">
        <w:rPr>
          <w:rFonts w:ascii="Times New Roman" w:eastAsia="Times New Roman" w:hAnsi="Times New Roman" w:cs="Times New Roman"/>
          <w:sz w:val="24"/>
          <w:szCs w:val="24"/>
        </w:rPr>
        <w:t xml:space="preserve"> Effective Monitors?” </w:t>
      </w:r>
      <w:r w:rsidRPr="00E87385">
        <w:rPr>
          <w:rFonts w:ascii="Times New Roman" w:eastAsia="Times New Roman" w:hAnsi="Times New Roman" w:cs="Times New Roman"/>
          <w:i/>
          <w:iCs/>
          <w:sz w:val="24"/>
          <w:szCs w:val="24"/>
        </w:rPr>
        <w:t>Journal of Financial Economics</w:t>
      </w:r>
      <w:r w:rsidRPr="00E87385">
        <w:rPr>
          <w:rFonts w:ascii="Times New Roman" w:eastAsia="Times New Roman" w:hAnsi="Times New Roman" w:cs="Times New Roman"/>
          <w:sz w:val="24"/>
          <w:szCs w:val="24"/>
        </w:rPr>
        <w:t xml:space="preserve"> 128, no. 3 (June 1, 2018): 576–602. </w:t>
      </w:r>
      <w:hyperlink r:id="rId14" w:history="1">
        <w:r w:rsidRPr="00E87385">
          <w:rPr>
            <w:rFonts w:ascii="Times New Roman" w:eastAsia="Times New Roman" w:hAnsi="Times New Roman" w:cs="Times New Roman"/>
            <w:color w:val="0000FF"/>
            <w:sz w:val="24"/>
            <w:szCs w:val="24"/>
            <w:u w:val="single"/>
          </w:rPr>
          <w:t>https://doi.org/10.1016/j.jfineco.2018.03.005</w:t>
        </w:r>
      </w:hyperlink>
      <w:r w:rsidRPr="00E87385">
        <w:rPr>
          <w:rFonts w:ascii="Times New Roman" w:eastAsia="Times New Roman" w:hAnsi="Times New Roman" w:cs="Times New Roman"/>
          <w:sz w:val="24"/>
          <w:szCs w:val="24"/>
        </w:rPr>
        <w:t>.</w:t>
      </w:r>
    </w:p>
    <w:p w14:paraId="6C33D924" w14:textId="77777777" w:rsidR="00E87385" w:rsidRPr="00E87385" w:rsidRDefault="00E87385" w:rsidP="00E87385">
      <w:pPr>
        <w:spacing w:after="0" w:line="240" w:lineRule="auto"/>
        <w:ind w:hanging="480"/>
        <w:rPr>
          <w:rFonts w:ascii="Times New Roman" w:eastAsia="Times New Roman" w:hAnsi="Times New Roman" w:cs="Times New Roman"/>
          <w:sz w:val="24"/>
          <w:szCs w:val="24"/>
        </w:rPr>
      </w:pPr>
      <w:r w:rsidRPr="00E87385">
        <w:rPr>
          <w:rFonts w:ascii="Times New Roman" w:eastAsia="Times New Roman" w:hAnsi="Times New Roman" w:cs="Times New Roman"/>
          <w:sz w:val="24"/>
          <w:szCs w:val="24"/>
        </w:rPr>
        <w:t xml:space="preserve">Khan, </w:t>
      </w:r>
      <w:proofErr w:type="spellStart"/>
      <w:r w:rsidRPr="00E87385">
        <w:rPr>
          <w:rFonts w:ascii="Times New Roman" w:eastAsia="Times New Roman" w:hAnsi="Times New Roman" w:cs="Times New Roman"/>
          <w:sz w:val="24"/>
          <w:szCs w:val="24"/>
        </w:rPr>
        <w:t>Mozaffar</w:t>
      </w:r>
      <w:proofErr w:type="spellEnd"/>
      <w:r w:rsidRPr="00E87385">
        <w:rPr>
          <w:rFonts w:ascii="Times New Roman" w:eastAsia="Times New Roman" w:hAnsi="Times New Roman" w:cs="Times New Roman"/>
          <w:sz w:val="24"/>
          <w:szCs w:val="24"/>
        </w:rPr>
        <w:t xml:space="preserve">, Suraj Srinivasan, and Liang Tan. “Institutional Ownership and Corporate Tax Avoidance: New Evidence.” </w:t>
      </w:r>
      <w:r w:rsidRPr="00E87385">
        <w:rPr>
          <w:rFonts w:ascii="Times New Roman" w:eastAsia="Times New Roman" w:hAnsi="Times New Roman" w:cs="Times New Roman"/>
          <w:i/>
          <w:iCs/>
          <w:sz w:val="24"/>
          <w:szCs w:val="24"/>
        </w:rPr>
        <w:t>The Accounting Review</w:t>
      </w:r>
      <w:r w:rsidRPr="00E87385">
        <w:rPr>
          <w:rFonts w:ascii="Times New Roman" w:eastAsia="Times New Roman" w:hAnsi="Times New Roman" w:cs="Times New Roman"/>
          <w:sz w:val="24"/>
          <w:szCs w:val="24"/>
        </w:rPr>
        <w:t xml:space="preserve"> 92, no. 2 (July 1, 2016): 101–22. </w:t>
      </w:r>
      <w:hyperlink r:id="rId15" w:history="1">
        <w:r w:rsidRPr="00E87385">
          <w:rPr>
            <w:rFonts w:ascii="Times New Roman" w:eastAsia="Times New Roman" w:hAnsi="Times New Roman" w:cs="Times New Roman"/>
            <w:color w:val="0000FF"/>
            <w:sz w:val="24"/>
            <w:szCs w:val="24"/>
            <w:u w:val="single"/>
          </w:rPr>
          <w:t>https://doi.org/10.2308/accr-51529</w:t>
        </w:r>
      </w:hyperlink>
      <w:r w:rsidRPr="00E87385">
        <w:rPr>
          <w:rFonts w:ascii="Times New Roman" w:eastAsia="Times New Roman" w:hAnsi="Times New Roman" w:cs="Times New Roman"/>
          <w:sz w:val="24"/>
          <w:szCs w:val="24"/>
        </w:rPr>
        <w:t>.</w:t>
      </w:r>
    </w:p>
    <w:p w14:paraId="1C1E21A2" w14:textId="77777777" w:rsidR="00E87385" w:rsidRPr="00B10AF4" w:rsidRDefault="00E87385" w:rsidP="00E87385">
      <w:pPr>
        <w:spacing w:after="0" w:line="240" w:lineRule="auto"/>
        <w:ind w:hanging="480"/>
        <w:rPr>
          <w:rFonts w:ascii="Times New Roman" w:eastAsia="Times New Roman" w:hAnsi="Times New Roman" w:cs="Times New Roman"/>
          <w:sz w:val="24"/>
          <w:szCs w:val="24"/>
        </w:rPr>
      </w:pPr>
      <w:r w:rsidRPr="00E87385">
        <w:rPr>
          <w:rFonts w:ascii="Times New Roman" w:eastAsia="Times New Roman" w:hAnsi="Times New Roman" w:cs="Times New Roman"/>
          <w:sz w:val="24"/>
          <w:szCs w:val="24"/>
        </w:rPr>
        <w:t xml:space="preserve">Lin, </w:t>
      </w:r>
      <w:proofErr w:type="spellStart"/>
      <w:r w:rsidRPr="00E87385">
        <w:rPr>
          <w:rFonts w:ascii="Times New Roman" w:eastAsia="Times New Roman" w:hAnsi="Times New Roman" w:cs="Times New Roman"/>
          <w:sz w:val="24"/>
          <w:szCs w:val="24"/>
        </w:rPr>
        <w:t>Yupeng</w:t>
      </w:r>
      <w:proofErr w:type="spellEnd"/>
      <w:r w:rsidRPr="00E87385">
        <w:rPr>
          <w:rFonts w:ascii="Times New Roman" w:eastAsia="Times New Roman" w:hAnsi="Times New Roman" w:cs="Times New Roman"/>
          <w:sz w:val="24"/>
          <w:szCs w:val="24"/>
        </w:rPr>
        <w:t xml:space="preserve">, Ying Mao, and Zheng Wang. “Institutional Ownership, Peer Pressure, and Voluntary Disclosures.” </w:t>
      </w:r>
      <w:r w:rsidRPr="00E87385">
        <w:rPr>
          <w:rFonts w:ascii="Times New Roman" w:eastAsia="Times New Roman" w:hAnsi="Times New Roman" w:cs="Times New Roman"/>
          <w:i/>
          <w:iCs/>
          <w:sz w:val="24"/>
          <w:szCs w:val="24"/>
        </w:rPr>
        <w:t>The Accounting Review</w:t>
      </w:r>
      <w:r w:rsidRPr="00E87385">
        <w:rPr>
          <w:rFonts w:ascii="Times New Roman" w:eastAsia="Times New Roman" w:hAnsi="Times New Roman" w:cs="Times New Roman"/>
          <w:sz w:val="24"/>
          <w:szCs w:val="24"/>
        </w:rPr>
        <w:t xml:space="preserve"> 93, no. 4 (October 1, 2017): 283–308. </w:t>
      </w:r>
      <w:hyperlink r:id="rId16" w:history="1">
        <w:r w:rsidRPr="00E87385">
          <w:rPr>
            <w:rFonts w:ascii="Times New Roman" w:eastAsia="Times New Roman" w:hAnsi="Times New Roman" w:cs="Times New Roman"/>
            <w:color w:val="0000FF"/>
            <w:sz w:val="24"/>
            <w:szCs w:val="24"/>
            <w:u w:val="single"/>
          </w:rPr>
          <w:t>https://doi.org/10.2308/accr-51945</w:t>
        </w:r>
      </w:hyperlink>
      <w:r w:rsidRPr="00E87385">
        <w:rPr>
          <w:rFonts w:ascii="Times New Roman" w:eastAsia="Times New Roman" w:hAnsi="Times New Roman" w:cs="Times New Roman"/>
          <w:sz w:val="24"/>
          <w:szCs w:val="24"/>
        </w:rPr>
        <w:t>.</w:t>
      </w:r>
    </w:p>
    <w:p w14:paraId="2EB3718D" w14:textId="74F1AB61" w:rsidR="007964C5" w:rsidRPr="00E87385" w:rsidRDefault="007964C5" w:rsidP="00E87385">
      <w:pPr>
        <w:spacing w:after="0" w:line="240" w:lineRule="auto"/>
        <w:ind w:hanging="480"/>
        <w:rPr>
          <w:rFonts w:ascii="Times New Roman" w:eastAsia="Times New Roman" w:hAnsi="Times New Roman" w:cs="Times New Roman"/>
          <w:sz w:val="24"/>
          <w:szCs w:val="24"/>
        </w:rPr>
      </w:pPr>
      <w:r w:rsidRPr="00B10AF4">
        <w:rPr>
          <w:rFonts w:ascii="Times New Roman" w:eastAsia="Times New Roman" w:hAnsi="Times New Roman" w:cs="Times New Roman"/>
          <w:sz w:val="24"/>
          <w:szCs w:val="24"/>
        </w:rPr>
        <w:t xml:space="preserve">Lu, R., 2013. How does institutional ownership affect bank loan pricing: evidence from a regression discontinuity </w:t>
      </w:r>
      <w:proofErr w:type="gramStart"/>
      <w:r w:rsidRPr="00B10AF4">
        <w:rPr>
          <w:rFonts w:ascii="Times New Roman" w:eastAsia="Times New Roman" w:hAnsi="Times New Roman" w:cs="Times New Roman"/>
          <w:sz w:val="24"/>
          <w:szCs w:val="24"/>
        </w:rPr>
        <w:t>design.</w:t>
      </w:r>
      <w:proofErr w:type="gramEnd"/>
      <w:r w:rsidRPr="00B10AF4">
        <w:rPr>
          <w:rFonts w:ascii="Times New Roman" w:eastAsia="Times New Roman" w:hAnsi="Times New Roman" w:cs="Times New Roman"/>
          <w:sz w:val="24"/>
          <w:szCs w:val="24"/>
        </w:rPr>
        <w:t xml:space="preserve"> Unpublished Working Paper. National University of Singapore, Singapore.</w:t>
      </w:r>
    </w:p>
    <w:p w14:paraId="65D7211E" w14:textId="26B04504" w:rsidR="00E87385" w:rsidRPr="00E87385" w:rsidRDefault="00E87385" w:rsidP="00CA0EC1">
      <w:pPr>
        <w:spacing w:after="0" w:line="240" w:lineRule="auto"/>
        <w:ind w:hanging="480"/>
        <w:rPr>
          <w:rFonts w:ascii="Times New Roman" w:eastAsia="Times New Roman" w:hAnsi="Times New Roman" w:cs="Times New Roman"/>
          <w:sz w:val="24"/>
          <w:szCs w:val="24"/>
        </w:rPr>
      </w:pPr>
      <w:r w:rsidRPr="00E87385">
        <w:rPr>
          <w:rFonts w:ascii="Times New Roman" w:eastAsia="Times New Roman" w:hAnsi="Times New Roman" w:cs="Times New Roman"/>
          <w:sz w:val="24"/>
          <w:szCs w:val="24"/>
        </w:rPr>
        <w:t xml:space="preserve">Schmidt, Cornelius, and </w:t>
      </w:r>
      <w:proofErr w:type="spellStart"/>
      <w:r w:rsidRPr="00E87385">
        <w:rPr>
          <w:rFonts w:ascii="Times New Roman" w:eastAsia="Times New Roman" w:hAnsi="Times New Roman" w:cs="Times New Roman"/>
          <w:sz w:val="24"/>
          <w:szCs w:val="24"/>
        </w:rPr>
        <w:t>Rüdiger</w:t>
      </w:r>
      <w:proofErr w:type="spellEnd"/>
      <w:r w:rsidRPr="00E87385">
        <w:rPr>
          <w:rFonts w:ascii="Times New Roman" w:eastAsia="Times New Roman" w:hAnsi="Times New Roman" w:cs="Times New Roman"/>
          <w:sz w:val="24"/>
          <w:szCs w:val="24"/>
        </w:rPr>
        <w:t xml:space="preserve"> </w:t>
      </w:r>
      <w:proofErr w:type="spellStart"/>
      <w:r w:rsidRPr="00E87385">
        <w:rPr>
          <w:rFonts w:ascii="Times New Roman" w:eastAsia="Times New Roman" w:hAnsi="Times New Roman" w:cs="Times New Roman"/>
          <w:sz w:val="24"/>
          <w:szCs w:val="24"/>
        </w:rPr>
        <w:t>Fahlenbrach</w:t>
      </w:r>
      <w:proofErr w:type="spellEnd"/>
      <w:r w:rsidRPr="00E87385">
        <w:rPr>
          <w:rFonts w:ascii="Times New Roman" w:eastAsia="Times New Roman" w:hAnsi="Times New Roman" w:cs="Times New Roman"/>
          <w:sz w:val="24"/>
          <w:szCs w:val="24"/>
        </w:rPr>
        <w:t xml:space="preserve">. “Do Exogenous Changes in Passive Institutional Ownership Affect Corporate Governance and Firm Value?” </w:t>
      </w:r>
      <w:r w:rsidRPr="00E87385">
        <w:rPr>
          <w:rFonts w:ascii="Times New Roman" w:eastAsia="Times New Roman" w:hAnsi="Times New Roman" w:cs="Times New Roman"/>
          <w:i/>
          <w:iCs/>
          <w:sz w:val="24"/>
          <w:szCs w:val="24"/>
        </w:rPr>
        <w:t>Journal of Financial Economics</w:t>
      </w:r>
      <w:r w:rsidRPr="00E87385">
        <w:rPr>
          <w:rFonts w:ascii="Times New Roman" w:eastAsia="Times New Roman" w:hAnsi="Times New Roman" w:cs="Times New Roman"/>
          <w:sz w:val="24"/>
          <w:szCs w:val="24"/>
        </w:rPr>
        <w:t xml:space="preserve"> 124, no. 2 (May 1, 2017): 285–306. </w:t>
      </w:r>
      <w:hyperlink r:id="rId17" w:history="1">
        <w:r w:rsidRPr="00E87385">
          <w:rPr>
            <w:rFonts w:ascii="Times New Roman" w:eastAsia="Times New Roman" w:hAnsi="Times New Roman" w:cs="Times New Roman"/>
            <w:color w:val="0000FF"/>
            <w:sz w:val="24"/>
            <w:szCs w:val="24"/>
            <w:u w:val="single"/>
          </w:rPr>
          <w:t>https://doi.org/10.1016/j.jfineco.2017.01.005</w:t>
        </w:r>
      </w:hyperlink>
      <w:r w:rsidRPr="00E87385">
        <w:rPr>
          <w:rFonts w:ascii="Times New Roman" w:eastAsia="Times New Roman" w:hAnsi="Times New Roman" w:cs="Times New Roman"/>
          <w:sz w:val="24"/>
          <w:szCs w:val="24"/>
        </w:rPr>
        <w:t>.</w:t>
      </w:r>
    </w:p>
    <w:p w14:paraId="43F2D94E" w14:textId="77777777" w:rsidR="00E87385" w:rsidRPr="00B10AF4" w:rsidRDefault="00E87385">
      <w:pPr>
        <w:rPr>
          <w:rFonts w:ascii="Times New Roman" w:hAnsi="Times New Roman" w:cs="Times New Roman"/>
        </w:rPr>
      </w:pPr>
    </w:p>
    <w:sectPr w:rsidR="00E87385" w:rsidRPr="00B10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F86CC" w14:textId="77777777" w:rsidR="004C7997" w:rsidRDefault="004C7997" w:rsidP="004C7997">
      <w:pPr>
        <w:spacing w:after="0" w:line="240" w:lineRule="auto"/>
      </w:pPr>
      <w:r>
        <w:separator/>
      </w:r>
    </w:p>
  </w:endnote>
  <w:endnote w:type="continuationSeparator" w:id="0">
    <w:p w14:paraId="71ACA252" w14:textId="77777777" w:rsidR="004C7997" w:rsidRDefault="004C7997" w:rsidP="004C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DC7B6" w14:textId="77777777" w:rsidR="004C7997" w:rsidRDefault="004C7997" w:rsidP="004C7997">
      <w:pPr>
        <w:spacing w:after="0" w:line="240" w:lineRule="auto"/>
      </w:pPr>
      <w:r>
        <w:separator/>
      </w:r>
    </w:p>
  </w:footnote>
  <w:footnote w:type="continuationSeparator" w:id="0">
    <w:p w14:paraId="02EB9037" w14:textId="77777777" w:rsidR="004C7997" w:rsidRDefault="004C7997" w:rsidP="004C7997">
      <w:pPr>
        <w:spacing w:after="0" w:line="240" w:lineRule="auto"/>
      </w:pPr>
      <w:r>
        <w:continuationSeparator/>
      </w:r>
    </w:p>
  </w:footnote>
  <w:footnote w:id="1">
    <w:p w14:paraId="6E542A41" w14:textId="36FE51FF" w:rsidR="004C7997" w:rsidRDefault="004C7997">
      <w:pPr>
        <w:pStyle w:val="FootnoteText"/>
      </w:pPr>
      <w:r>
        <w:rPr>
          <w:rStyle w:val="FootnoteReference"/>
        </w:rPr>
        <w:footnoteRef/>
      </w:r>
      <w:r>
        <w:t xml:space="preserve"> </w:t>
      </w:r>
      <w:r>
        <w:rPr>
          <w:rFonts w:ascii="Times New Roman" w:hAnsi="Times New Roman" w:cs="Times New Roman"/>
        </w:rPr>
        <w:t>See Figure 1 in Boone and White (2015) for an example timeline of the process.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44E16"/>
    <w:multiLevelType w:val="hybridMultilevel"/>
    <w:tmpl w:val="B91C0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BC7E89"/>
    <w:multiLevelType w:val="hybridMultilevel"/>
    <w:tmpl w:val="3E1C1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4008568">
    <w:abstractNumId w:val="0"/>
  </w:num>
  <w:num w:numId="2" w16cid:durableId="2031099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85"/>
    <w:rsid w:val="00025F6B"/>
    <w:rsid w:val="00041385"/>
    <w:rsid w:val="000416C3"/>
    <w:rsid w:val="000477CD"/>
    <w:rsid w:val="000564E4"/>
    <w:rsid w:val="0009594E"/>
    <w:rsid w:val="000B1376"/>
    <w:rsid w:val="000C70A6"/>
    <w:rsid w:val="000E5D75"/>
    <w:rsid w:val="0012096C"/>
    <w:rsid w:val="00150B4E"/>
    <w:rsid w:val="00166088"/>
    <w:rsid w:val="00173235"/>
    <w:rsid w:val="00173E31"/>
    <w:rsid w:val="00182C9F"/>
    <w:rsid w:val="001A3684"/>
    <w:rsid w:val="001A47F4"/>
    <w:rsid w:val="001A638B"/>
    <w:rsid w:val="001B2A9C"/>
    <w:rsid w:val="001B5056"/>
    <w:rsid w:val="001B79C1"/>
    <w:rsid w:val="001C13B4"/>
    <w:rsid w:val="00256F16"/>
    <w:rsid w:val="002602A7"/>
    <w:rsid w:val="00281B54"/>
    <w:rsid w:val="00282B09"/>
    <w:rsid w:val="00290B54"/>
    <w:rsid w:val="00291EB6"/>
    <w:rsid w:val="00294A20"/>
    <w:rsid w:val="00296559"/>
    <w:rsid w:val="002D71AB"/>
    <w:rsid w:val="003255E8"/>
    <w:rsid w:val="00346897"/>
    <w:rsid w:val="00354AA0"/>
    <w:rsid w:val="00364D7D"/>
    <w:rsid w:val="003659DA"/>
    <w:rsid w:val="00367F3F"/>
    <w:rsid w:val="0037618B"/>
    <w:rsid w:val="00384802"/>
    <w:rsid w:val="00385D4F"/>
    <w:rsid w:val="0039014B"/>
    <w:rsid w:val="003B6D26"/>
    <w:rsid w:val="003D6118"/>
    <w:rsid w:val="003D6604"/>
    <w:rsid w:val="003E5F15"/>
    <w:rsid w:val="00410885"/>
    <w:rsid w:val="00421599"/>
    <w:rsid w:val="00445072"/>
    <w:rsid w:val="00493236"/>
    <w:rsid w:val="00497F1F"/>
    <w:rsid w:val="004A0895"/>
    <w:rsid w:val="004A19BB"/>
    <w:rsid w:val="004C7997"/>
    <w:rsid w:val="004E7B22"/>
    <w:rsid w:val="004F39DF"/>
    <w:rsid w:val="005014BD"/>
    <w:rsid w:val="005126B4"/>
    <w:rsid w:val="00531618"/>
    <w:rsid w:val="00540B2D"/>
    <w:rsid w:val="005505FF"/>
    <w:rsid w:val="00554392"/>
    <w:rsid w:val="00561C58"/>
    <w:rsid w:val="00574740"/>
    <w:rsid w:val="00577FCA"/>
    <w:rsid w:val="005830F4"/>
    <w:rsid w:val="00583AEC"/>
    <w:rsid w:val="00592E9C"/>
    <w:rsid w:val="00593A63"/>
    <w:rsid w:val="005E1133"/>
    <w:rsid w:val="005F0F5C"/>
    <w:rsid w:val="005F6979"/>
    <w:rsid w:val="00600DB2"/>
    <w:rsid w:val="00624D77"/>
    <w:rsid w:val="006420BA"/>
    <w:rsid w:val="00661EF0"/>
    <w:rsid w:val="006659F4"/>
    <w:rsid w:val="0066727D"/>
    <w:rsid w:val="00681A8A"/>
    <w:rsid w:val="00684991"/>
    <w:rsid w:val="0068786C"/>
    <w:rsid w:val="00696253"/>
    <w:rsid w:val="006A4904"/>
    <w:rsid w:val="006C70D9"/>
    <w:rsid w:val="006C75AD"/>
    <w:rsid w:val="006F586E"/>
    <w:rsid w:val="007333BB"/>
    <w:rsid w:val="007526B5"/>
    <w:rsid w:val="00764FE5"/>
    <w:rsid w:val="00770DFA"/>
    <w:rsid w:val="00786DF7"/>
    <w:rsid w:val="007964C5"/>
    <w:rsid w:val="007C461A"/>
    <w:rsid w:val="007C494D"/>
    <w:rsid w:val="007E6F84"/>
    <w:rsid w:val="007F5223"/>
    <w:rsid w:val="00837991"/>
    <w:rsid w:val="00837B1A"/>
    <w:rsid w:val="008D22C9"/>
    <w:rsid w:val="00902570"/>
    <w:rsid w:val="00947230"/>
    <w:rsid w:val="00951C02"/>
    <w:rsid w:val="00983051"/>
    <w:rsid w:val="009D4935"/>
    <w:rsid w:val="009E4E2C"/>
    <w:rsid w:val="009F1662"/>
    <w:rsid w:val="00A006C4"/>
    <w:rsid w:val="00A15016"/>
    <w:rsid w:val="00A42A7B"/>
    <w:rsid w:val="00AB3D4B"/>
    <w:rsid w:val="00B10AF4"/>
    <w:rsid w:val="00B256B0"/>
    <w:rsid w:val="00B41549"/>
    <w:rsid w:val="00B700C6"/>
    <w:rsid w:val="00BA3A92"/>
    <w:rsid w:val="00BB76E2"/>
    <w:rsid w:val="00BC682C"/>
    <w:rsid w:val="00BF06FA"/>
    <w:rsid w:val="00BF090B"/>
    <w:rsid w:val="00C00A00"/>
    <w:rsid w:val="00C07C5D"/>
    <w:rsid w:val="00C07D67"/>
    <w:rsid w:val="00C57988"/>
    <w:rsid w:val="00C82260"/>
    <w:rsid w:val="00C83C46"/>
    <w:rsid w:val="00C94ECF"/>
    <w:rsid w:val="00CA0EC1"/>
    <w:rsid w:val="00CA6A2F"/>
    <w:rsid w:val="00CC47EC"/>
    <w:rsid w:val="00CD53BC"/>
    <w:rsid w:val="00CE45F3"/>
    <w:rsid w:val="00D01318"/>
    <w:rsid w:val="00D13168"/>
    <w:rsid w:val="00D24A24"/>
    <w:rsid w:val="00D902DD"/>
    <w:rsid w:val="00D94D39"/>
    <w:rsid w:val="00DB6E64"/>
    <w:rsid w:val="00DF1536"/>
    <w:rsid w:val="00E071B7"/>
    <w:rsid w:val="00E21DF8"/>
    <w:rsid w:val="00E24D98"/>
    <w:rsid w:val="00E45FF2"/>
    <w:rsid w:val="00E54BC0"/>
    <w:rsid w:val="00E7433B"/>
    <w:rsid w:val="00E77B43"/>
    <w:rsid w:val="00E87385"/>
    <w:rsid w:val="00EB2574"/>
    <w:rsid w:val="00EB4E42"/>
    <w:rsid w:val="00EB74E3"/>
    <w:rsid w:val="00EC15A1"/>
    <w:rsid w:val="00EC43DC"/>
    <w:rsid w:val="00EF7256"/>
    <w:rsid w:val="00F11B7A"/>
    <w:rsid w:val="00F14EAE"/>
    <w:rsid w:val="00F16230"/>
    <w:rsid w:val="00F33E8A"/>
    <w:rsid w:val="00F361D5"/>
    <w:rsid w:val="00F64E17"/>
    <w:rsid w:val="00F82E01"/>
    <w:rsid w:val="00FC2482"/>
    <w:rsid w:val="00FC3DD3"/>
    <w:rsid w:val="00FF58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CC03523"/>
  <w15:chartTrackingRefBased/>
  <w15:docId w15:val="{20699BBB-35EC-46FA-B84D-FFDBE6E3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7385"/>
    <w:rPr>
      <w:color w:val="0000FF"/>
      <w:u w:val="single"/>
    </w:rPr>
  </w:style>
  <w:style w:type="paragraph" w:styleId="ListParagraph">
    <w:name w:val="List Paragraph"/>
    <w:basedOn w:val="Normal"/>
    <w:uiPriority w:val="34"/>
    <w:qFormat/>
    <w:rsid w:val="005F6979"/>
    <w:pPr>
      <w:ind w:left="720"/>
      <w:contextualSpacing/>
    </w:pPr>
  </w:style>
  <w:style w:type="paragraph" w:styleId="FootnoteText">
    <w:name w:val="footnote text"/>
    <w:basedOn w:val="Normal"/>
    <w:link w:val="FootnoteTextChar"/>
    <w:uiPriority w:val="99"/>
    <w:semiHidden/>
    <w:unhideWhenUsed/>
    <w:rsid w:val="004C79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997"/>
    <w:rPr>
      <w:sz w:val="20"/>
      <w:szCs w:val="20"/>
    </w:rPr>
  </w:style>
  <w:style w:type="character" w:styleId="FootnoteReference">
    <w:name w:val="footnote reference"/>
    <w:basedOn w:val="DefaultParagraphFont"/>
    <w:uiPriority w:val="99"/>
    <w:semiHidden/>
    <w:unhideWhenUsed/>
    <w:rsid w:val="004C79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2841">
      <w:bodyDiv w:val="1"/>
      <w:marLeft w:val="0"/>
      <w:marRight w:val="0"/>
      <w:marTop w:val="0"/>
      <w:marBottom w:val="0"/>
      <w:divBdr>
        <w:top w:val="none" w:sz="0" w:space="0" w:color="auto"/>
        <w:left w:val="none" w:sz="0" w:space="0" w:color="auto"/>
        <w:bottom w:val="none" w:sz="0" w:space="0" w:color="auto"/>
        <w:right w:val="none" w:sz="0" w:space="0" w:color="auto"/>
      </w:divBdr>
    </w:div>
    <w:div w:id="429813805">
      <w:bodyDiv w:val="1"/>
      <w:marLeft w:val="0"/>
      <w:marRight w:val="0"/>
      <w:marTop w:val="0"/>
      <w:marBottom w:val="0"/>
      <w:divBdr>
        <w:top w:val="none" w:sz="0" w:space="0" w:color="auto"/>
        <w:left w:val="none" w:sz="0" w:space="0" w:color="auto"/>
        <w:bottom w:val="none" w:sz="0" w:space="0" w:color="auto"/>
        <w:right w:val="none" w:sz="0" w:space="0" w:color="auto"/>
      </w:divBdr>
    </w:div>
    <w:div w:id="481625544">
      <w:bodyDiv w:val="1"/>
      <w:marLeft w:val="0"/>
      <w:marRight w:val="0"/>
      <w:marTop w:val="0"/>
      <w:marBottom w:val="0"/>
      <w:divBdr>
        <w:top w:val="none" w:sz="0" w:space="0" w:color="auto"/>
        <w:left w:val="none" w:sz="0" w:space="0" w:color="auto"/>
        <w:bottom w:val="none" w:sz="0" w:space="0" w:color="auto"/>
        <w:right w:val="none" w:sz="0" w:space="0" w:color="auto"/>
      </w:divBdr>
      <w:divsChild>
        <w:div w:id="1876505744">
          <w:marLeft w:val="480"/>
          <w:marRight w:val="0"/>
          <w:marTop w:val="0"/>
          <w:marBottom w:val="0"/>
          <w:divBdr>
            <w:top w:val="none" w:sz="0" w:space="0" w:color="auto"/>
            <w:left w:val="none" w:sz="0" w:space="0" w:color="auto"/>
            <w:bottom w:val="none" w:sz="0" w:space="0" w:color="auto"/>
            <w:right w:val="none" w:sz="0" w:space="0" w:color="auto"/>
          </w:divBdr>
          <w:divsChild>
            <w:div w:id="2093426191">
              <w:marLeft w:val="0"/>
              <w:marRight w:val="0"/>
              <w:marTop w:val="0"/>
              <w:marBottom w:val="0"/>
              <w:divBdr>
                <w:top w:val="none" w:sz="0" w:space="0" w:color="auto"/>
                <w:left w:val="none" w:sz="0" w:space="0" w:color="auto"/>
                <w:bottom w:val="none" w:sz="0" w:space="0" w:color="auto"/>
                <w:right w:val="none" w:sz="0" w:space="0" w:color="auto"/>
              </w:divBdr>
            </w:div>
            <w:div w:id="730739166">
              <w:marLeft w:val="0"/>
              <w:marRight w:val="0"/>
              <w:marTop w:val="0"/>
              <w:marBottom w:val="0"/>
              <w:divBdr>
                <w:top w:val="none" w:sz="0" w:space="0" w:color="auto"/>
                <w:left w:val="none" w:sz="0" w:space="0" w:color="auto"/>
                <w:bottom w:val="none" w:sz="0" w:space="0" w:color="auto"/>
                <w:right w:val="none" w:sz="0" w:space="0" w:color="auto"/>
              </w:divBdr>
            </w:div>
            <w:div w:id="405348387">
              <w:marLeft w:val="0"/>
              <w:marRight w:val="0"/>
              <w:marTop w:val="0"/>
              <w:marBottom w:val="0"/>
              <w:divBdr>
                <w:top w:val="none" w:sz="0" w:space="0" w:color="auto"/>
                <w:left w:val="none" w:sz="0" w:space="0" w:color="auto"/>
                <w:bottom w:val="none" w:sz="0" w:space="0" w:color="auto"/>
                <w:right w:val="none" w:sz="0" w:space="0" w:color="auto"/>
              </w:divBdr>
            </w:div>
            <w:div w:id="1777678239">
              <w:marLeft w:val="0"/>
              <w:marRight w:val="0"/>
              <w:marTop w:val="0"/>
              <w:marBottom w:val="0"/>
              <w:divBdr>
                <w:top w:val="none" w:sz="0" w:space="0" w:color="auto"/>
                <w:left w:val="none" w:sz="0" w:space="0" w:color="auto"/>
                <w:bottom w:val="none" w:sz="0" w:space="0" w:color="auto"/>
                <w:right w:val="none" w:sz="0" w:space="0" w:color="auto"/>
              </w:divBdr>
            </w:div>
            <w:div w:id="1814445771">
              <w:marLeft w:val="0"/>
              <w:marRight w:val="0"/>
              <w:marTop w:val="0"/>
              <w:marBottom w:val="0"/>
              <w:divBdr>
                <w:top w:val="none" w:sz="0" w:space="0" w:color="auto"/>
                <w:left w:val="none" w:sz="0" w:space="0" w:color="auto"/>
                <w:bottom w:val="none" w:sz="0" w:space="0" w:color="auto"/>
                <w:right w:val="none" w:sz="0" w:space="0" w:color="auto"/>
              </w:divBdr>
            </w:div>
            <w:div w:id="241065767">
              <w:marLeft w:val="0"/>
              <w:marRight w:val="0"/>
              <w:marTop w:val="0"/>
              <w:marBottom w:val="0"/>
              <w:divBdr>
                <w:top w:val="none" w:sz="0" w:space="0" w:color="auto"/>
                <w:left w:val="none" w:sz="0" w:space="0" w:color="auto"/>
                <w:bottom w:val="none" w:sz="0" w:space="0" w:color="auto"/>
                <w:right w:val="none" w:sz="0" w:space="0" w:color="auto"/>
              </w:divBdr>
            </w:div>
            <w:div w:id="2102411028">
              <w:marLeft w:val="0"/>
              <w:marRight w:val="0"/>
              <w:marTop w:val="0"/>
              <w:marBottom w:val="0"/>
              <w:divBdr>
                <w:top w:val="none" w:sz="0" w:space="0" w:color="auto"/>
                <w:left w:val="none" w:sz="0" w:space="0" w:color="auto"/>
                <w:bottom w:val="none" w:sz="0" w:space="0" w:color="auto"/>
                <w:right w:val="none" w:sz="0" w:space="0" w:color="auto"/>
              </w:divBdr>
            </w:div>
            <w:div w:id="1888450125">
              <w:marLeft w:val="0"/>
              <w:marRight w:val="0"/>
              <w:marTop w:val="0"/>
              <w:marBottom w:val="0"/>
              <w:divBdr>
                <w:top w:val="none" w:sz="0" w:space="0" w:color="auto"/>
                <w:left w:val="none" w:sz="0" w:space="0" w:color="auto"/>
                <w:bottom w:val="none" w:sz="0" w:space="0" w:color="auto"/>
                <w:right w:val="none" w:sz="0" w:space="0" w:color="auto"/>
              </w:divBdr>
            </w:div>
            <w:div w:id="22170680">
              <w:marLeft w:val="0"/>
              <w:marRight w:val="0"/>
              <w:marTop w:val="0"/>
              <w:marBottom w:val="0"/>
              <w:divBdr>
                <w:top w:val="none" w:sz="0" w:space="0" w:color="auto"/>
                <w:left w:val="none" w:sz="0" w:space="0" w:color="auto"/>
                <w:bottom w:val="none" w:sz="0" w:space="0" w:color="auto"/>
                <w:right w:val="none" w:sz="0" w:space="0" w:color="auto"/>
              </w:divBdr>
            </w:div>
            <w:div w:id="575549988">
              <w:marLeft w:val="0"/>
              <w:marRight w:val="0"/>
              <w:marTop w:val="0"/>
              <w:marBottom w:val="0"/>
              <w:divBdr>
                <w:top w:val="none" w:sz="0" w:space="0" w:color="auto"/>
                <w:left w:val="none" w:sz="0" w:space="0" w:color="auto"/>
                <w:bottom w:val="none" w:sz="0" w:space="0" w:color="auto"/>
                <w:right w:val="none" w:sz="0" w:space="0" w:color="auto"/>
              </w:divBdr>
            </w:div>
            <w:div w:id="335577085">
              <w:marLeft w:val="0"/>
              <w:marRight w:val="0"/>
              <w:marTop w:val="0"/>
              <w:marBottom w:val="0"/>
              <w:divBdr>
                <w:top w:val="none" w:sz="0" w:space="0" w:color="auto"/>
                <w:left w:val="none" w:sz="0" w:space="0" w:color="auto"/>
                <w:bottom w:val="none" w:sz="0" w:space="0" w:color="auto"/>
                <w:right w:val="none" w:sz="0" w:space="0" w:color="auto"/>
              </w:divBdr>
            </w:div>
            <w:div w:id="10851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2647">
      <w:bodyDiv w:val="1"/>
      <w:marLeft w:val="0"/>
      <w:marRight w:val="0"/>
      <w:marTop w:val="0"/>
      <w:marBottom w:val="0"/>
      <w:divBdr>
        <w:top w:val="none" w:sz="0" w:space="0" w:color="auto"/>
        <w:left w:val="none" w:sz="0" w:space="0" w:color="auto"/>
        <w:bottom w:val="none" w:sz="0" w:space="0" w:color="auto"/>
        <w:right w:val="none" w:sz="0" w:space="0" w:color="auto"/>
      </w:divBdr>
    </w:div>
    <w:div w:id="1171488289">
      <w:bodyDiv w:val="1"/>
      <w:marLeft w:val="0"/>
      <w:marRight w:val="0"/>
      <w:marTop w:val="0"/>
      <w:marBottom w:val="0"/>
      <w:divBdr>
        <w:top w:val="none" w:sz="0" w:space="0" w:color="auto"/>
        <w:left w:val="none" w:sz="0" w:space="0" w:color="auto"/>
        <w:bottom w:val="none" w:sz="0" w:space="0" w:color="auto"/>
        <w:right w:val="none" w:sz="0" w:space="0" w:color="auto"/>
      </w:divBdr>
    </w:div>
    <w:div w:id="1282952906">
      <w:bodyDiv w:val="1"/>
      <w:marLeft w:val="0"/>
      <w:marRight w:val="0"/>
      <w:marTop w:val="0"/>
      <w:marBottom w:val="0"/>
      <w:divBdr>
        <w:top w:val="none" w:sz="0" w:space="0" w:color="auto"/>
        <w:left w:val="none" w:sz="0" w:space="0" w:color="auto"/>
        <w:bottom w:val="none" w:sz="0" w:space="0" w:color="auto"/>
        <w:right w:val="none" w:sz="0" w:space="0" w:color="auto"/>
      </w:divBdr>
    </w:div>
    <w:div w:id="1424377119">
      <w:bodyDiv w:val="1"/>
      <w:marLeft w:val="0"/>
      <w:marRight w:val="0"/>
      <w:marTop w:val="0"/>
      <w:marBottom w:val="0"/>
      <w:divBdr>
        <w:top w:val="none" w:sz="0" w:space="0" w:color="auto"/>
        <w:left w:val="none" w:sz="0" w:space="0" w:color="auto"/>
        <w:bottom w:val="none" w:sz="0" w:space="0" w:color="auto"/>
        <w:right w:val="none" w:sz="0" w:space="0" w:color="auto"/>
      </w:divBdr>
    </w:div>
    <w:div w:id="1470053779">
      <w:bodyDiv w:val="1"/>
      <w:marLeft w:val="0"/>
      <w:marRight w:val="0"/>
      <w:marTop w:val="0"/>
      <w:marBottom w:val="0"/>
      <w:divBdr>
        <w:top w:val="none" w:sz="0" w:space="0" w:color="auto"/>
        <w:left w:val="none" w:sz="0" w:space="0" w:color="auto"/>
        <w:bottom w:val="none" w:sz="0" w:space="0" w:color="auto"/>
        <w:right w:val="none" w:sz="0" w:space="0" w:color="auto"/>
      </w:divBdr>
    </w:div>
    <w:div w:id="1627154432">
      <w:bodyDiv w:val="1"/>
      <w:marLeft w:val="0"/>
      <w:marRight w:val="0"/>
      <w:marTop w:val="0"/>
      <w:marBottom w:val="0"/>
      <w:divBdr>
        <w:top w:val="none" w:sz="0" w:space="0" w:color="auto"/>
        <w:left w:val="none" w:sz="0" w:space="0" w:color="auto"/>
        <w:bottom w:val="none" w:sz="0" w:space="0" w:color="auto"/>
        <w:right w:val="none" w:sz="0" w:space="0" w:color="auto"/>
      </w:divBdr>
    </w:div>
    <w:div w:id="1695304990">
      <w:bodyDiv w:val="1"/>
      <w:marLeft w:val="0"/>
      <w:marRight w:val="0"/>
      <w:marTop w:val="0"/>
      <w:marBottom w:val="0"/>
      <w:divBdr>
        <w:top w:val="none" w:sz="0" w:space="0" w:color="auto"/>
        <w:left w:val="none" w:sz="0" w:space="0" w:color="auto"/>
        <w:bottom w:val="none" w:sz="0" w:space="0" w:color="auto"/>
        <w:right w:val="none" w:sz="0" w:space="0" w:color="auto"/>
      </w:divBdr>
    </w:div>
    <w:div w:id="1831679015">
      <w:bodyDiv w:val="1"/>
      <w:marLeft w:val="0"/>
      <w:marRight w:val="0"/>
      <w:marTop w:val="0"/>
      <w:marBottom w:val="0"/>
      <w:divBdr>
        <w:top w:val="none" w:sz="0" w:space="0" w:color="auto"/>
        <w:left w:val="none" w:sz="0" w:space="0" w:color="auto"/>
        <w:bottom w:val="none" w:sz="0" w:space="0" w:color="auto"/>
        <w:right w:val="none" w:sz="0" w:space="0" w:color="auto"/>
      </w:divBdr>
    </w:div>
    <w:div w:id="1848321456">
      <w:bodyDiv w:val="1"/>
      <w:marLeft w:val="0"/>
      <w:marRight w:val="0"/>
      <w:marTop w:val="0"/>
      <w:marBottom w:val="0"/>
      <w:divBdr>
        <w:top w:val="none" w:sz="0" w:space="0" w:color="auto"/>
        <w:left w:val="none" w:sz="0" w:space="0" w:color="auto"/>
        <w:bottom w:val="none" w:sz="0" w:space="0" w:color="auto"/>
        <w:right w:val="none" w:sz="0" w:space="0" w:color="auto"/>
      </w:divBdr>
    </w:div>
    <w:div w:id="1959289580">
      <w:bodyDiv w:val="1"/>
      <w:marLeft w:val="0"/>
      <w:marRight w:val="0"/>
      <w:marTop w:val="0"/>
      <w:marBottom w:val="0"/>
      <w:divBdr>
        <w:top w:val="none" w:sz="0" w:space="0" w:color="auto"/>
        <w:left w:val="none" w:sz="0" w:space="0" w:color="auto"/>
        <w:bottom w:val="none" w:sz="0" w:space="0" w:color="auto"/>
        <w:right w:val="none" w:sz="0" w:space="0" w:color="auto"/>
      </w:divBdr>
    </w:div>
    <w:div w:id="205423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fineco.2016.03.003" TargetMode="External"/><Relationship Id="rId13" Type="http://schemas.openxmlformats.org/officeDocument/2006/relationships/hyperlink" Target="https://doi.org/10.1093/rfs/hhw01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jfineco.2019.06.007" TargetMode="External"/><Relationship Id="rId17" Type="http://schemas.openxmlformats.org/officeDocument/2006/relationships/hyperlink" Target="https://doi.org/10.1016/j.jfineco.2017.01.005" TargetMode="External"/><Relationship Id="rId2" Type="http://schemas.openxmlformats.org/officeDocument/2006/relationships/numbering" Target="numbering.xml"/><Relationship Id="rId16" Type="http://schemas.openxmlformats.org/officeDocument/2006/relationships/hyperlink" Target="https://doi.org/10.2308/accr-519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acceco.2018.01.001" TargetMode="External"/><Relationship Id="rId5" Type="http://schemas.openxmlformats.org/officeDocument/2006/relationships/webSettings" Target="webSettings.xml"/><Relationship Id="rId15" Type="http://schemas.openxmlformats.org/officeDocument/2006/relationships/hyperlink" Target="https://doi.org/10.2308/accr-51529" TargetMode="External"/><Relationship Id="rId10" Type="http://schemas.openxmlformats.org/officeDocument/2006/relationships/hyperlink" Target="https://doi.org/10.1016/j.jfineco.2015.05.00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16/j.jfineco.2021.05.007" TargetMode="External"/><Relationship Id="rId14" Type="http://schemas.openxmlformats.org/officeDocument/2006/relationships/hyperlink" Target="https://doi.org/10.1016/j.jfineco.2018.03.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5F941-A154-4BED-BD83-A1EEBA61F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8</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Yeh</dc:creator>
  <cp:keywords/>
  <dc:description/>
  <cp:lastModifiedBy>Andrew Yeh</cp:lastModifiedBy>
  <cp:revision>159</cp:revision>
  <cp:lastPrinted>2022-04-22T14:40:00Z</cp:lastPrinted>
  <dcterms:created xsi:type="dcterms:W3CDTF">2022-04-22T06:04:00Z</dcterms:created>
  <dcterms:modified xsi:type="dcterms:W3CDTF">2022-04-22T14:49:00Z</dcterms:modified>
</cp:coreProperties>
</file>