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cwqr0az7e3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Manuel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365"/>
        <w:gridCol w:w="2430"/>
        <w:tblGridChange w:id="0">
          <w:tblGrid>
            <w:gridCol w:w="1935"/>
            <w:gridCol w:w="1020"/>
            <w:gridCol w:w="930"/>
            <w:gridCol w:w="1050"/>
            <w:gridCol w:w="1185"/>
            <w:gridCol w:w="1365"/>
            <w:gridCol w:w="243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ans62cgtvldj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Modelar e implementar bases de datos relacionales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 principal interés, le gusta organizar datos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Desarrollar la lógica de negocio en backend, integrando servicios y procesos seguros.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la parte que hace funcionar todo el sistema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interfaces frontend responsivas que permitan la interacción fluida del usuario con el sistema.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mecanismos de seguridad en aplicaciones web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Integrar todos los componentes (BD, backend, frontend) en un sistema web completo y funcional.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WkddoyhjP06QTueeoHxFEu4lg==">CgMxLjAyDmguemN3cXIwYXo3ZTNrMg5oLmFuczYyY2d0dmxkajgAciExNGV4aTN0eXpfMmNFQWdHaGhEQWUxeWwyZWd0MGNlSC0=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