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240"/>
      </w:pPr>
      <w:r>
        <w:rPr>
          <w:rFonts w:ascii="Noto Sans CJK KR" w:cs="Noto Sans CJK KR" w:eastAsia="Noto Sans CJK KR" w:hAnsi="Noto Sans CJK KR"/>
          <w:b/>
          <w:bCs/>
          <w:i w:val="false"/>
          <w:iCs w:val="false"/>
          <w:sz w:val="36"/>
          <w:szCs w:val="36"/>
        </w:rPr>
        <w:t xml:space="preserve">밤에 답장을 쓰는 사람 — Exhibit 세트 (KR)</w:t>
      </w:r>
    </w:p>
    <w:p>
      <w:pPr>
        <w:spacing w:after="40" w:before="40"/>
      </w:pPr>
      <w:r>
        <w:t xml:space="preserve"/>
      </w:r>
    </w:p>
    <w:p>
      <w:pPr>
        <w:pBdr>
          <w:left w:val="single" w:color="AAAAAA" w:sz="12" w:space="8"/>
        </w:pBdr>
        <w:shd w:fill="F8F8F8" w:color="auto" w:val="clear"/>
        <w:spacing w:after="40" w:before="40"/>
        <w:ind w:left="400"/>
      </w:pP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본 세트 = Exhibit A–E. 모든 수치는 송민기·서희진·이건웅, "부정적 리뷰의 대응 전략이 숙박시설 성공에 미치는 영향: 숙박 중개 플랫폼 사례", 경영정보학연구 24(3), 2022, pp.1–21 (DOI: 10.14329/isr.2022.24.3.001) 의 </w:t>
      </w: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실측값을 각색 없이 전재</w:t>
      </w: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한 것이다. </w:t>
      </w: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원 그림(그림 2·그림 3)은 옮겨 싣지 않는다</w:t>
      </w: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 — Exhibit C·D의 해당 항목은 원고에서 무엇을 보여주는지 사실만 적고, 도판은 원 논문에서 직접 확인한다.</w:t>
      </w:r>
    </w:p>
    <w:p>
      <w:pPr>
        <w:pBdr>
          <w:left w:val="single" w:color="AAAAAA" w:sz="12" w:space="8"/>
        </w:pBdr>
        <w:shd w:fill="F8F8F8" w:color="auto" w:val="clear"/>
        <w:spacing w:after="40" w:before="40"/>
        <w:ind w:left="40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pBdr>
          <w:left w:val="single" w:color="AAAAAA" w:sz="12" w:space="8"/>
        </w:pBdr>
        <w:shd w:fill="F8F8F8" w:color="auto" w:val="clear"/>
        <w:spacing w:after="40" w:before="40"/>
        <w:ind w:left="400"/>
      </w:pP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열람 순서: A·B·E는 임원·MBA 공용, C·D는 MBA 기술 세션. </w:t>
      </w: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Exhibit F는 별지(`EXHIBITS_F`)로 분리</w:t>
      </w: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 — 학생 실습용(문제만). </w:t>
      </w: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임원 세미나 배포 시 F 별지는 제외한다.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**</w:t>
      </w:r>
    </w:p>
    <w:p>
      <w:pPr>
        <w:pBdr>
          <w:left w:val="single" w:color="AAAAAA" w:sz="12" w:space="8"/>
        </w:pBdr>
        <w:shd w:fill="F8F8F8" w:color="auto" w:val="clear"/>
        <w:spacing w:after="40" w:before="40"/>
        <w:ind w:left="40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pBdr>
          <w:left w:val="single" w:color="AAAAAA" w:sz="12" w:space="8"/>
        </w:pBdr>
        <w:shd w:fill="F8F8F8" w:color="auto" w:val="clear"/>
        <w:spacing w:after="40" w:before="40"/>
        <w:ind w:left="400"/>
      </w:pP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원고의 유의수준 기준은 라이브러리의 다른 케이스와 다르다. 범례는 회귀표(Exhibit B·C·D) 각 표 하단에 개별 명시한다. 괄호는 표준오차.</w:t>
      </w:r>
    </w:p>
    <w:p>
      <w:pPr>
        <w:spacing w:after="40" w:before="40"/>
      </w:pPr>
      <w:r>
        <w:t xml:space="preserve"/>
      </w:r>
    </w:p>
    <w:p>
      <w:pPr>
        <w:pBdr>
          <w:bottom w:val="single" w:color="888888" w:sz="6" w:space="1"/>
        </w:pBdr>
        <w:spacing w:after="120" w:before="12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Noto Sans CJK KR" w:cs="Noto Sans CJK KR" w:eastAsia="Noto Sans CJK KR" w:hAnsi="Noto Sans CJK KR"/>
          <w:b/>
          <w:bCs/>
          <w:i w:val="false"/>
          <w:iCs w:val="false"/>
          <w:sz w:val="30"/>
          <w:szCs w:val="30"/>
        </w:rPr>
        <w:t xml:space="preserve">Exhibit A · 변수 정의와 표본 단계 (공용)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데이터 · 기간 · 관측 단위</w:t>
      </w:r>
    </w:p>
    <w:p>
      <w:pPr>
        <w:spacing w:after="40" w:before="4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항목</w:t>
            </w:r>
          </w:p>
        </w:tc>
        <w:tc>
          <w:tcPr>
            <w:tcW w:type="dxa" w:w="45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값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플랫폼</w:t>
            </w:r>
          </w:p>
        </w:tc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야놀자(</w:t>
            </w:r>
            <w:r>
              <w:rPr>
                <w:rFonts w:ascii="Noto Sans Mono CJK KR" w:cs="Noto Sans Mono CJK KR" w:eastAsia="Noto Sans Mono CJK KR" w:hAnsi="Noto Sans Mono CJK KR"/>
                <w:sz w:val="20"/>
                <w:szCs w:val="20"/>
              </w:rPr>
              <w:t xml:space="preserve">https://www.yanolja.com/</w:t>
            </w: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) 의 리뷰 데이터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대상</w:t>
            </w:r>
          </w:p>
        </w:tc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서울 지역 모텔 (등급 정보가 없는 일반숙박시설)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기간</w:t>
            </w:r>
          </w:p>
        </w:tc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2021-01-11 ~ 2021-10-17, </w:t>
            </w: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40주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수집 리뷰</w:t>
            </w:r>
          </w:p>
        </w:tc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461,516건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패널 구성 (4.1)</w:t>
            </w:r>
          </w:p>
        </w:tc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35,465</w:t>
            </w: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모텔–주 관측치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패널 구성 (4.1.1 변수 생성 후)</w:t>
            </w:r>
          </w:p>
        </w:tc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26,734</w:t>
            </w: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모텔–주 관측치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모텔 수</w:t>
            </w:r>
          </w:p>
        </w:tc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865 / 856</w:t>
            </w: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(⚠ 아래)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관측 단위</w:t>
            </w:r>
          </w:p>
        </w:tc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숙박시설 × 주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리뷰 작성 조건</w:t>
            </w:r>
          </w:p>
        </w:tc>
        <w:tc>
          <w:tcPr>
            <w:tcW w:type="dxa" w:w="4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이용 고객만, </w:t>
            </w: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이용일 기준 14일 이내</w:t>
            </w: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별점 1–5점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⚠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모텔 수가 원고 안에서 두 값으로 나온다.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초록(국문·영문)과 회귀표 세 개(표 4·표 5·표 6)의 그룹수는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856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, 서론·데이터 수집·변수 생성·결론은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865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. 4.1은 수집 단계에도 865, 35,465 패널의 최종 단계에도 865를 쓴다.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어느 쪽이 무엇인지는 원고가 정리하지 않았으므로 이 세트도 정리하지 않는다.</w:t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원고는 35,465와 26,734를 모두 "최종적으로"라고 서술한다. 8,731개가 줄어든 규칙은 원고에 없다.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부정적 리뷰의 정의</w:t>
      </w:r>
    </w:p>
    <w:p>
      <w:pPr>
        <w:spacing w:after="40" w:before="40"/>
      </w:pPr>
      <w:r>
        <w:t xml:space="preserve"/>
      </w:r>
    </w:p>
    <w:p>
      <w:pPr>
        <w:pBdr>
          <w:left w:val="single" w:color="AAAAAA" w:sz="12" w:space="8"/>
        </w:pBdr>
        <w:shd w:fill="F8F8F8" w:color="auto" w:val="clear"/>
        <w:spacing w:after="40" w:before="40"/>
        <w:ind w:left="40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t−1주에 달린 리뷰 중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t−2주 그 모텔의 평균 평점보다 낮은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리뷰. 절대 별점 기준이 아니라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직전 주 평균 대비 상대 평가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변수 여섯 — 핵심 넷 + 통제 둘 (모두 t−1 시차 · 종속변수 제외)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본문 §4는 측정된 것을 넷으로 셈한다: 성공·적극성·적시성·평판 하락. 아래 표에는 통제 둘(누적리뷰수·코로나확진자)이 함께 실려 있다.</w:t>
      </w:r>
    </w:p>
    <w:p>
      <w:pPr>
        <w:spacing w:after="40" w:before="4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cantSplit/>
          <w:tblHeader/>
        </w:trPr>
        <w:tc>
          <w:tcPr>
            <w:tcW w:type="dxa" w:w="18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구분</w:t>
            </w:r>
          </w:p>
        </w:tc>
        <w:tc>
          <w:tcPr>
            <w:tcW w:type="dxa" w:w="18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역할</w:t>
            </w:r>
          </w:p>
        </w:tc>
        <w:tc>
          <w:tcPr>
            <w:tcW w:type="dxa" w:w="18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변수 (i = 시설, t = 주)</w:t>
            </w:r>
          </w:p>
        </w:tc>
        <w:tc>
          <w:tcPr>
            <w:tcW w:type="dxa" w:w="18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정의</w:t>
            </w:r>
          </w:p>
        </w:tc>
        <w:tc>
          <w:tcPr>
            <w:tcW w:type="dxa" w:w="18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로그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핵심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종속(성공)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리뷰수 (i, t)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시설 i에서 t주에 발생한 리뷰 수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로그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핵심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독립(적극성)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답변수 (i, t−1)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부정적 리뷰에 대해 t−1주에 발생한 호스트 답변 수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로그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핵심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독립(적시성)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답변속도 (i, t−1)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 ÷ (부정적 리뷰 발생 후 답변까지 평균 일수 + 1) — </w:t>
            </w: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값이 클수록 빠르다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/>
                <w:bCs/>
                <w:sz w:val="22"/>
                <w:szCs w:val="22"/>
              </w:rPr>
              <w:t xml:space="preserve">핵심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상황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고객평점하락 (i, t−1)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이변량 0/1 (정의 두 가지 — 아래)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통제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통제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누적리뷰수 (i, t−1)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t−1주 초 누적 리뷰 수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통제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통제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코로나확진자 (i, t−1) / it — 위 ⚠ 참조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(아래 ⚠ 참조)</w:t>
            </w:r>
          </w:p>
        </w:tc>
        <w:tc>
          <w:tcPr>
            <w:tcW w:type="dxa" w:w="18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고객평점하락의 정의 — 원고에 두 표기가 있다</w:t>
      </w:r>
    </w:p>
    <w:p>
      <w:pPr>
        <w:spacing w:after="40" w:before="40"/>
      </w:pPr>
      <w:r>
        <w:t xml:space="preserve"/>
      </w:r>
    </w:p>
    <w:p>
      <w:pPr>
        <w:pBdr>
          <w:left w:val="single" w:color="AAAAAA" w:sz="12" w:space="8"/>
        </w:pBdr>
        <w:shd w:fill="F8F8F8" w:color="auto" w:val="clear"/>
        <w:spacing w:after="40" w:before="40"/>
        <w:ind w:left="40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4.1.1 본문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: 숙박시설 i에 대하여 t-1주의 누적평균평점에서 t-1주에 발생한 리뷰의 평균평점을 제한 값이 0보다 클 경우에 1이고 반대의 경우에 0</w:t>
      </w:r>
    </w:p>
    <w:p>
      <w:pPr>
        <w:pBdr>
          <w:left w:val="single" w:color="AAAAAA" w:sz="12" w:space="8"/>
        </w:pBdr>
        <w:shd w:fill="F8F8F8" w:color="auto" w:val="clear"/>
        <w:spacing w:after="40" w:before="40"/>
        <w:ind w:left="40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표 1 설명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: (숙박시설 i의 t-1주의 누적평균평점) - (숙박시설 i의 t-1주의 평균평점)이 음수일 경우 1, 아닐 경우 0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같은 뺄셈에 부호 조건이 뒤집혀 있다.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본 Exhibit은 이 불일치를 해소하지 않는다.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코로나확진자 — 원고에 두 표기가 있다</w:t>
      </w:r>
    </w:p>
    <w:p>
      <w:pPr>
        <w:spacing w:after="40" w:before="40"/>
      </w:pPr>
      <w:r>
        <w:t xml:space="preserve"/>
      </w:r>
    </w:p>
    <w:p>
      <w:pPr>
        <w:pBdr>
          <w:left w:val="single" w:color="AAAAAA" w:sz="12" w:space="8"/>
        </w:pBdr>
        <w:shd w:fill="F8F8F8" w:color="auto" w:val="clear"/>
        <w:spacing w:after="40" w:before="40"/>
        <w:ind w:left="40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표 1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: "숙박시설 </w:t>
      </w: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i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의 t−1주의 신규 코로나19 확진자 수"</w:t>
      </w:r>
    </w:p>
    <w:p>
      <w:pPr>
        <w:pBdr>
          <w:left w:val="single" w:color="AAAAAA" w:sz="12" w:space="8"/>
        </w:pBdr>
        <w:shd w:fill="F8F8F8" w:color="auto" w:val="clear"/>
        <w:spacing w:after="40" w:before="40"/>
        <w:ind w:left="40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본문 4.1.1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: "t−1주의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국내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코로나19 신규 확진자 수를 활용하여 … 통제하였다(코로나확진자 [i, t])"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원고의 첨자 표기도 갈린다 — 4.1.1은 코로나확진자it, 4.2.1은 통제변수 전체를 t−1주로 서술한다. 본 Exhibit은 이 불일치도 해소하지 않는다.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성공의 조작화 (원고 5.3 한계)</w:t>
      </w:r>
    </w:p>
    <w:p>
      <w:pPr>
        <w:spacing w:after="40" w:before="40"/>
      </w:pPr>
      <w:r>
        <w:t xml:space="preserve"/>
      </w:r>
    </w:p>
    <w:p>
      <w:pPr>
        <w:pBdr>
          <w:left w:val="single" w:color="AAAAAA" w:sz="12" w:space="8"/>
        </w:pBdr>
        <w:shd w:fill="F8F8F8" w:color="auto" w:val="clear"/>
        <w:spacing w:after="40" w:before="40"/>
        <w:ind w:left="400"/>
      </w:pP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리뷰 수는 예약 건수의 </w:t>
      </w: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대리지표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로 쓴다(Ye et al. 2009, 2011). 실제 방문자 수·매출은 관측되지 않았다.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b/>
          <w:bCs/>
          <w:sz w:val="22"/>
          <w:szCs w:val="22"/>
        </w:rPr>
        <w:t xml:space="preserve">모형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(패널 고정효과 · OLS · 강건표준오차)</w:t>
      </w:r>
    </w:p>
    <w:p>
      <w:pPr>
        <w:spacing w:after="40" w:before="40"/>
      </w:pPr>
      <w:r>
        <w:t xml:space="preserve"/>
      </w:r>
    </w:p>
    <w:p>
      <w:pPr>
        <w:pBdr>
          <w:left w:val="single" w:color="DDDDDD" w:sz="4" w:space="4"/>
          <w:right w:val="single" w:color="DDDDDD" w:sz="4" w:space="4"/>
        </w:pBdr>
        <w:shd w:fill="F2F2F2" w:color="auto" w:val="clear"/>
        <w:spacing w:after="0" w:before="0" w:line="264"/>
      </w:pPr>
      <w:r>
        <w:rPr>
          <w:rFonts w:ascii="Noto Sans Mono CJK KR" w:cs="Noto Sans Mono CJK KR" w:eastAsia="Noto Sans Mono CJK KR" w:hAnsi="Noto Sans Mono CJK KR"/>
          <w:sz w:val="18"/>
          <w:szCs w:val="18"/>
        </w:rPr>
        <w:t xml:space="preserve">ln(리뷰수 [i,t]) = β0</w:t>
      </w:r>
    </w:p>
    <w:p>
      <w:pPr>
        <w:pBdr>
          <w:left w:val="single" w:color="DDDDDD" w:sz="4" w:space="4"/>
          <w:right w:val="single" w:color="DDDDDD" w:sz="4" w:space="4"/>
        </w:pBdr>
        <w:shd w:fill="F2F2F2" w:color="auto" w:val="clear"/>
        <w:spacing w:after="0" w:before="0" w:line="264"/>
      </w:pPr>
      <w:r>
        <w:rPr>
          <w:rFonts w:ascii="Noto Sans Mono CJK KR" w:cs="Noto Sans Mono CJK KR" w:eastAsia="Noto Sans Mono CJK KR" w:hAnsi="Noto Sans Mono CJK KR"/>
          <w:sz w:val="18"/>
          <w:szCs w:val="18"/>
        </w:rPr>
        <w:t xml:space="preserve">                 + β1 · ln(답변수    [i, t−1])</w:t>
      </w:r>
    </w:p>
    <w:p>
      <w:pPr>
        <w:pBdr>
          <w:left w:val="single" w:color="DDDDDD" w:sz="4" w:space="4"/>
          <w:right w:val="single" w:color="DDDDDD" w:sz="4" w:space="4"/>
        </w:pBdr>
        <w:shd w:fill="F2F2F2" w:color="auto" w:val="clear"/>
        <w:spacing w:after="0" w:before="0" w:line="264"/>
      </w:pPr>
      <w:r>
        <w:rPr>
          <w:rFonts w:ascii="Noto Sans Mono CJK KR" w:cs="Noto Sans Mono CJK KR" w:eastAsia="Noto Sans Mono CJK KR" w:hAnsi="Noto Sans Mono CJK KR"/>
          <w:sz w:val="18"/>
          <w:szCs w:val="18"/>
        </w:rPr>
        <w:t xml:space="preserve">                 + β2 · ln(답변속도  [i, t−1])</w:t>
      </w:r>
    </w:p>
    <w:p>
      <w:pPr>
        <w:pBdr>
          <w:left w:val="single" w:color="DDDDDD" w:sz="4" w:space="4"/>
          <w:right w:val="single" w:color="DDDDDD" w:sz="4" w:space="4"/>
        </w:pBdr>
        <w:shd w:fill="F2F2F2" w:color="auto" w:val="clear"/>
        <w:spacing w:after="0" w:before="0" w:line="264"/>
      </w:pPr>
      <w:r>
        <w:rPr>
          <w:rFonts w:ascii="Noto Sans Mono CJK KR" w:cs="Noto Sans Mono CJK KR" w:eastAsia="Noto Sans Mono CJK KR" w:hAnsi="Noto Sans Mono CJK KR"/>
          <w:sz w:val="18"/>
          <w:szCs w:val="18"/>
        </w:rPr>
        <w:t xml:space="preserve">                 + β3 · 고객평점하락 [i, t−1]</w:t>
      </w:r>
    </w:p>
    <w:p>
      <w:pPr>
        <w:pBdr>
          <w:left w:val="single" w:color="DDDDDD" w:sz="4" w:space="4"/>
          <w:right w:val="single" w:color="DDDDDD" w:sz="4" w:space="4"/>
        </w:pBdr>
        <w:shd w:fill="F2F2F2" w:color="auto" w:val="clear"/>
        <w:spacing w:after="0" w:before="0" w:line="264"/>
      </w:pPr>
      <w:r>
        <w:rPr>
          <w:rFonts w:ascii="Noto Sans Mono CJK KR" w:cs="Noto Sans Mono CJK KR" w:eastAsia="Noto Sans Mono CJK KR" w:hAnsi="Noto Sans Mono CJK KR"/>
          <w:sz w:val="18"/>
          <w:szCs w:val="18"/>
        </w:rPr>
        <w:t xml:space="preserve">                 + δ  · 통제        [i, t−1]</w:t>
      </w:r>
    </w:p>
    <w:p>
      <w:pPr>
        <w:pBdr>
          <w:left w:val="single" w:color="DDDDDD" w:sz="4" w:space="4"/>
          <w:right w:val="single" w:color="DDDDDD" w:sz="4" w:space="4"/>
        </w:pBdr>
        <w:shd w:fill="F2F2F2" w:color="auto" w:val="clear"/>
        <w:spacing w:after="0" w:before="0" w:line="264"/>
      </w:pPr>
      <w:r>
        <w:rPr>
          <w:rFonts w:ascii="Noto Sans Mono CJK KR" w:cs="Noto Sans Mono CJK KR" w:eastAsia="Noto Sans Mono CJK KR" w:hAnsi="Noto Sans Mono CJK KR"/>
          <w:sz w:val="18"/>
          <w:szCs w:val="18"/>
        </w:rPr>
        <w:t xml:space="preserve">                 + θ(t) + μ(i) + ε(i,t)</w:t>
      </w:r>
    </w:p>
    <w:p>
      <w:pPr>
        <w:spacing w:after="12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Mono CJK KR" w:cs="Noto Sans Mono CJK KR" w:eastAsia="Noto Sans Mono CJK KR" w:hAnsi="Noto Sans Mono CJK KR"/>
          <w:sz w:val="20"/>
          <w:szCs w:val="20"/>
        </w:rPr>
        <w:t xml:space="preserve">μ(i)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= 시설 고정효과. </w:t>
      </w:r>
      <w:r>
        <w:rPr>
          <w:rFonts w:ascii="Noto Sans Mono CJK KR" w:cs="Noto Sans Mono CJK KR" w:eastAsia="Noto Sans Mono CJK KR" w:hAnsi="Noto Sans Mono CJK KR"/>
          <w:sz w:val="20"/>
          <w:szCs w:val="20"/>
        </w:rPr>
        <w:t xml:space="preserve">θ(t)</w:t>
      </w:r>
      <w:r>
        <w:rPr>
          <w:rFonts w:ascii="Noto Sans CJK KR" w:cs="Noto Sans CJK KR" w:eastAsia="Noto Sans CJK KR" w:hAnsi="Noto Sans CJK KR"/>
          <w:b w:val="false"/>
          <w:bCs w:val="false"/>
          <w:i w:val="false"/>
          <w:iCs w:val="false"/>
          <w:sz w:val="22"/>
          <w:szCs w:val="22"/>
        </w:rPr>
        <w:t xml:space="preserve"> = 시간 고정효과.</w:t>
      </w:r>
    </w:p>
    <w:p>
      <w:pPr>
        <w:spacing w:after="40" w:before="40"/>
      </w:pPr>
      <w:r>
        <w:t xml:space="preserve"/>
      </w:r>
    </w:p>
    <w:p>
      <w:pPr>
        <w:pBdr>
          <w:bottom w:val="single" w:color="888888" w:sz="6" w:space="1"/>
        </w:pBdr>
        <w:spacing w:after="120" w:before="12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Noto Sans CJK KR" w:cs="Noto Sans CJK KR" w:eastAsia="Noto Sans CJK KR" w:hAnsi="Noto Sans CJK KR"/>
          <w:b/>
          <w:bCs/>
          <w:i w:val="false"/>
          <w:iCs w:val="false"/>
          <w:sz w:val="30"/>
          <w:szCs w:val="30"/>
        </w:rPr>
        <w:t xml:space="preserve">Exhibit E · 표 1 · 표 2 · 표 3 (공용)</w:t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이 세 표에는 유의도 별표가 없다 — 범례는 회귀표(Exhibit B·C·D)에 붙는다.</w:t>
      </w:r>
    </w:p>
    <w:p>
      <w:pPr>
        <w:spacing w:after="40" w:before="40"/>
      </w:pPr>
      <w:r>
        <w:t xml:space="preserve"/>
      </w:r>
    </w:p>
    <w:p>
      <w:pPr>
        <w:pStyle w:val="Heading3"/>
        <w:spacing w:after="100" w:before="200"/>
      </w:pPr>
      <w:r>
        <w:rPr>
          <w:rFonts w:ascii="Noto Sans CJK KR" w:cs="Noto Sans CJK KR" w:eastAsia="Noto Sans CJK KR" w:hAnsi="Noto Sans CJK KR"/>
          <w:b/>
          <w:bCs/>
          <w:i w:val="false"/>
          <w:iCs w:val="false"/>
          <w:sz w:val="26"/>
          <w:szCs w:val="26"/>
        </w:rPr>
        <w:t xml:space="preserve">표 1 · 기술통계</w:t>
      </w:r>
    </w:p>
    <w:p>
      <w:pPr>
        <w:spacing w:after="40" w:before="4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</w:rPr>
              <w:t xml:space="preserve"/>
            </w:r>
          </w:p>
        </w:tc>
        <w:tc>
          <w:tcPr>
            <w:tcW w:type="dxa" w:w="15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변수</w:t>
            </w:r>
          </w:p>
        </w:tc>
        <w:tc>
          <w:tcPr>
            <w:tcW w:type="dxa" w:w="15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설명</w:t>
            </w:r>
          </w:p>
        </w:tc>
        <w:tc>
          <w:tcPr>
            <w:tcW w:type="dxa" w:w="15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N</w:t>
            </w:r>
          </w:p>
        </w:tc>
        <w:tc>
          <w:tcPr>
            <w:tcW w:type="dxa" w:w="15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평균(표준편차)</w:t>
            </w:r>
          </w:p>
        </w:tc>
        <w:tc>
          <w:tcPr>
            <w:tcW w:type="dxa" w:w="15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최소값(최대값)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성공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리뷰수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숙박시설 i에서 발생한 t주의 리뷰 수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26,734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16.806 (16.436)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 (149)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적극성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답변수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숙박시설 i의 부정적 리뷰에 대해 t-1 주에 발생한 호스트의 답변수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26,734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9.118 (13.544)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 (285)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적시성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답변속도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1/(숙박시설 i의 부정적 리뷰 발생 후 t-1주에 발생한 호스트 답변이 발생하기까지 평균 일수+1)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26,734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0.836 (0.257)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0.005 (1)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평판하락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고객평점하락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(숙박시설 i의 t-1주의 누적평균평점) - (숙박시설 i의 t-1주의 평균평점)이 음수일 경우 1, 아닐 경우 0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26,734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0.451 (0.498)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 (1)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통제변수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누적리뷰수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숙박시설 i의 t-1주의 누적 리뷰 수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26,734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3,301.352 (3,092.939)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 (19,552)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코로나확진자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숙박시설 i의 t-1주의 신규 코로나19 확진자 수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26,734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6,791.309 (4313.618)</w:t>
            </w:r>
          </w:p>
        </w:tc>
        <w:tc>
          <w:tcPr>
            <w:tcW w:type="dxa" w:w="15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2,630 (16,934)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표 1 원문 표기 그대로 옮겼다.</w:t>
      </w:r>
    </w:p>
    <w:p>
      <w:pPr>
        <w:spacing w:after="40" w:before="40"/>
      </w:pPr>
      <w:r>
        <w:t xml:space="preserve"/>
      </w:r>
    </w:p>
    <w:p>
      <w:pPr>
        <w:pStyle w:val="Heading3"/>
        <w:spacing w:after="100" w:before="200"/>
      </w:pPr>
      <w:r>
        <w:rPr>
          <w:rFonts w:ascii="Noto Sans CJK KR" w:cs="Noto Sans CJK KR" w:eastAsia="Noto Sans CJK KR" w:hAnsi="Noto Sans CJK KR"/>
          <w:b/>
          <w:bCs/>
          <w:i w:val="false"/>
          <w:iCs w:val="false"/>
          <w:sz w:val="26"/>
          <w:szCs w:val="26"/>
        </w:rPr>
        <w:t xml:space="preserve">표 2 · 고객평점하락 도수분포</w:t>
      </w:r>
    </w:p>
    <w:p>
      <w:pPr>
        <w:spacing w:after="40" w:before="4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cantSplit/>
          <w:tblHeader/>
        </w:trPr>
        <w:tc>
          <w:tcPr>
            <w:tcW w:type="dxa" w:w="30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하락 없음 (=0)</w:t>
            </w:r>
          </w:p>
        </w:tc>
        <w:tc>
          <w:tcPr>
            <w:tcW w:type="dxa" w:w="30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하락 존재 (=1)</w:t>
            </w:r>
          </w:p>
        </w:tc>
        <w:tc>
          <w:tcPr>
            <w:tcW w:type="dxa" w:w="3000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합계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14,688 (54.94%)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12,046 (45.06%)</w:t>
            </w:r>
          </w:p>
        </w:tc>
        <w:tc>
          <w:tcPr>
            <w:tcW w:type="dxa" w:w="3000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26,734 (100%)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pStyle w:val="Heading3"/>
        <w:spacing w:after="100" w:before="200"/>
      </w:pPr>
      <w:r>
        <w:rPr>
          <w:rFonts w:ascii="Noto Sans CJK KR" w:cs="Noto Sans CJK KR" w:eastAsia="Noto Sans CJK KR" w:hAnsi="Noto Sans CJK KR"/>
          <w:b/>
          <w:bCs/>
          <w:i w:val="false"/>
          <w:iCs w:val="false"/>
          <w:sz w:val="26"/>
          <w:szCs w:val="26"/>
        </w:rPr>
        <w:t xml:space="preserve">표 3 · 상관 및 VIF</w:t>
      </w:r>
    </w:p>
    <w:p>
      <w:pPr>
        <w:spacing w:after="40" w:before="4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cantSplit/>
          <w:tblHeader/>
        </w:trPr>
        <w:tc>
          <w:tcPr>
            <w:tcW w:type="dxa" w:w="1125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</w:rPr>
              <w:t xml:space="preserve"/>
            </w:r>
          </w:p>
        </w:tc>
        <w:tc>
          <w:tcPr>
            <w:tcW w:type="dxa" w:w="1125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리뷰수 (1)</w:t>
            </w:r>
          </w:p>
        </w:tc>
        <w:tc>
          <w:tcPr>
            <w:tcW w:type="dxa" w:w="1125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답변수 (3)</w:t>
            </w:r>
          </w:p>
        </w:tc>
        <w:tc>
          <w:tcPr>
            <w:tcW w:type="dxa" w:w="1125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답변속도 (4)</w:t>
            </w:r>
          </w:p>
        </w:tc>
        <w:tc>
          <w:tcPr>
            <w:tcW w:type="dxa" w:w="1125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고객평점하락 (5)</w:t>
            </w:r>
          </w:p>
        </w:tc>
        <w:tc>
          <w:tcPr>
            <w:tcW w:type="dxa" w:w="1125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누적리뷰수 (6)</w:t>
            </w:r>
          </w:p>
        </w:tc>
        <w:tc>
          <w:tcPr>
            <w:tcW w:type="dxa" w:w="1125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코로나확진자 (7)</w:t>
            </w:r>
          </w:p>
        </w:tc>
        <w:tc>
          <w:tcPr>
            <w:tcW w:type="dxa" w:w="1125"/>
            <w:shd w:fill="D9D9D9" w:color="auto" w:val="clear"/>
          </w:tcPr>
          <w:p>
            <w:pPr>
              <w:keepNext/>
              <w:jc w:val="center"/>
            </w:pPr>
            <w:r>
              <w:rPr>
                <w:rFonts w:ascii="Noto Sans CJK KR" w:cs="Noto Sans CJK KR" w:eastAsia="Noto Sans CJK KR" w:hAnsi="Noto Sans CJK KR"/>
                <w:b/>
                <w:bCs/>
                <w:i w:val="false"/>
                <w:iCs w:val="false"/>
                <w:sz w:val="22"/>
                <w:szCs w:val="22"/>
              </w:rPr>
              <w:t xml:space="preserve">VIF</w:t>
            </w:r>
          </w:p>
        </w:tc>
      </w:tr>
      <w:tr>
        <w:trPr>
          <w:cantSplit/>
        </w:trPr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리뷰수 (1)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답변수 (3)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0.603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1.49</w:t>
            </w:r>
          </w:p>
        </w:tc>
      </w:tr>
      <w:tr>
        <w:trPr>
          <w:cantSplit/>
        </w:trPr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답변속도 (4)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−0.150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−0.233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1.31</w:t>
            </w:r>
          </w:p>
        </w:tc>
      </w:tr>
      <w:tr>
        <w:trPr>
          <w:cantSplit/>
        </w:trPr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고객평점하락 (5)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0.033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0.069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−0.021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1.11</w:t>
            </w:r>
          </w:p>
        </w:tc>
      </w:tr>
      <w:tr>
        <w:trPr>
          <w:cantSplit/>
        </w:trPr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누적리뷰수 (6)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0.599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0.351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−0.120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0.048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1.08</w:t>
            </w:r>
          </w:p>
        </w:tc>
      </w:tr>
      <w:tr>
        <w:trPr>
          <w:cantSplit/>
        </w:trPr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코로나확진자 (7)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−0.305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−0.190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−0.031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0.002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0.066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  <w:tc>
          <w:tcPr>
            <w:tcW w:type="dxa" w:w="1125"/>
          </w:tcPr>
          <w:p>
            <w:pPr>
              <w:keepNext/>
            </w:pPr>
            <w:r>
              <w:rPr>
                <w:rFonts w:ascii="Noto Sans CJK KR" w:cs="Noto Sans CJK KR" w:eastAsia="Noto Sans CJK KR" w:hAnsi="Noto Sans CJK KR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1.03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spacing w:after="60" w:before="60" w:line="320"/>
      </w:pPr>
      <w:r>
        <w:rPr>
          <w:rFonts w:ascii="Noto Sans CJK KR" w:cs="Noto Sans CJK KR" w:eastAsia="Noto Sans CJK KR" w:hAnsi="Noto Sans CJK KR"/>
          <w:i/>
          <w:iCs/>
          <w:sz w:val="22"/>
          <w:szCs w:val="22"/>
        </w:rPr>
        <w:t xml:space="preserve">표 3의 행·열 번호(1, 3, 4, 5, 6, 7)는 원문 표기 그대로다.</w:t>
      </w:r>
    </w:p>
    <w:p>
      <w:pPr>
        <w:spacing w:after="40" w:before="40"/>
      </w:pPr>
      <w:r>
        <w:t xml:space="preserve"/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KR" w:cs="Noto Sans CJK KR" w:eastAsia="Noto Sans CJK KR" w:hAnsi="Noto Sans CJK KR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R2_EXHIBITS_KR</dc:title>
  <cp:revision>1</cp:revision>
  <dcterms:created xsi:type="dcterms:W3CDTF">2026-09-09T12:49:50.370Z</dcterms:created>
  <dcterms:modified xsi:type="dcterms:W3CDTF">2026-09-09T12:49:50.371Z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