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CDD88">
      <w:pPr>
        <w:pStyle w:val="2"/>
        <w:spacing w:before="101"/>
        <w:rPr>
          <w:rFonts w:hint="eastAsia"/>
          <w:spacing w:val="-2"/>
        </w:rPr>
      </w:pPr>
      <w:r>
        <w:rPr>
          <w:rFonts w:hint="eastAsia"/>
          <w:spacing w:val="-2"/>
        </w:rPr>
        <w:t>Reverse Parking Radar Project User Manual</w:t>
      </w:r>
    </w:p>
    <w:p w14:paraId="6275C0F7">
      <w:pPr>
        <w:pStyle w:val="2"/>
        <w:spacing w:before="101"/>
      </w:pPr>
      <w:r>
        <w:rPr>
          <w:spacing w:val="-4"/>
        </w:rPr>
        <w:t>V1.0</w:t>
      </w:r>
    </w:p>
    <w:p w14:paraId="3158B17A">
      <w:pPr>
        <w:pStyle w:val="3"/>
        <w:rPr>
          <w:sz w:val="20"/>
        </w:rPr>
      </w:pPr>
    </w:p>
    <w:p w14:paraId="19059961">
      <w:pPr>
        <w:pStyle w:val="3"/>
        <w:rPr>
          <w:sz w:val="20"/>
        </w:rPr>
      </w:pPr>
    </w:p>
    <w:p w14:paraId="1EBDCF31">
      <w:pPr>
        <w:pStyle w:val="3"/>
        <w:rPr>
          <w:sz w:val="20"/>
        </w:rPr>
      </w:pPr>
    </w:p>
    <w:p w14:paraId="61343FCD">
      <w:pPr>
        <w:pStyle w:val="3"/>
        <w:rPr>
          <w:sz w:val="20"/>
        </w:rPr>
      </w:pPr>
    </w:p>
    <w:p w14:paraId="487036E5">
      <w:pPr>
        <w:pStyle w:val="3"/>
        <w:rPr>
          <w:sz w:val="20"/>
        </w:rPr>
      </w:pPr>
    </w:p>
    <w:p w14:paraId="7EEF4775">
      <w:pPr>
        <w:pStyle w:val="3"/>
        <w:rPr>
          <w:sz w:val="20"/>
        </w:rPr>
      </w:pPr>
    </w:p>
    <w:p w14:paraId="4FC5B0A7">
      <w:pPr>
        <w:pStyle w:val="3"/>
        <w:rPr>
          <w:sz w:val="20"/>
        </w:rPr>
      </w:pPr>
    </w:p>
    <w:p w14:paraId="2175870D">
      <w:pPr>
        <w:pStyle w:val="3"/>
        <w:rPr>
          <w:sz w:val="20"/>
        </w:rPr>
      </w:pPr>
    </w:p>
    <w:p w14:paraId="257CAC39">
      <w:pPr>
        <w:pStyle w:val="3"/>
        <w:rPr>
          <w:sz w:val="20"/>
        </w:rPr>
      </w:pPr>
    </w:p>
    <w:p w14:paraId="688627AA">
      <w:pPr>
        <w:pStyle w:val="3"/>
        <w:rPr>
          <w:sz w:val="20"/>
        </w:rPr>
      </w:pPr>
    </w:p>
    <w:p w14:paraId="6614753E">
      <w:pPr>
        <w:pStyle w:val="3"/>
        <w:rPr>
          <w:sz w:val="20"/>
        </w:rPr>
      </w:pPr>
    </w:p>
    <w:p w14:paraId="48965439">
      <w:pPr>
        <w:pStyle w:val="3"/>
        <w:rPr>
          <w:sz w:val="20"/>
        </w:rPr>
      </w:pPr>
    </w:p>
    <w:p w14:paraId="3F0DC3B4">
      <w:pPr>
        <w:pStyle w:val="3"/>
        <w:rPr>
          <w:sz w:val="20"/>
        </w:rPr>
      </w:pPr>
    </w:p>
    <w:p w14:paraId="2C22F714">
      <w:pPr>
        <w:pStyle w:val="3"/>
        <w:rPr>
          <w:sz w:val="20"/>
        </w:rPr>
      </w:pPr>
    </w:p>
    <w:p w14:paraId="7BB166EB">
      <w:pPr>
        <w:pStyle w:val="3"/>
        <w:rPr>
          <w:sz w:val="20"/>
        </w:rPr>
      </w:pPr>
    </w:p>
    <w:p w14:paraId="0DA85C46">
      <w:pPr>
        <w:pStyle w:val="3"/>
        <w:rPr>
          <w:sz w:val="20"/>
        </w:rPr>
      </w:pPr>
    </w:p>
    <w:p w14:paraId="78320786">
      <w:pPr>
        <w:pStyle w:val="3"/>
        <w:rPr>
          <w:sz w:val="20"/>
        </w:rPr>
      </w:pPr>
    </w:p>
    <w:p w14:paraId="13A9D16A">
      <w:pPr>
        <w:pStyle w:val="3"/>
        <w:rPr>
          <w:sz w:val="20"/>
        </w:rPr>
      </w:pPr>
    </w:p>
    <w:p w14:paraId="7F39689F">
      <w:pPr>
        <w:pStyle w:val="3"/>
        <w:rPr>
          <w:sz w:val="20"/>
        </w:rPr>
      </w:pPr>
    </w:p>
    <w:p w14:paraId="5E3D4584">
      <w:pPr>
        <w:pStyle w:val="3"/>
        <w:rPr>
          <w:sz w:val="20"/>
        </w:rPr>
      </w:pPr>
    </w:p>
    <w:p w14:paraId="0D8FE529">
      <w:pPr>
        <w:pStyle w:val="3"/>
        <w:rPr>
          <w:sz w:val="20"/>
        </w:rPr>
      </w:pPr>
    </w:p>
    <w:p w14:paraId="271A11B8">
      <w:pPr>
        <w:pStyle w:val="3"/>
        <w:rPr>
          <w:sz w:val="20"/>
        </w:rPr>
      </w:pPr>
    </w:p>
    <w:p w14:paraId="0C878279">
      <w:pPr>
        <w:pStyle w:val="3"/>
        <w:rPr>
          <w:sz w:val="20"/>
        </w:rPr>
      </w:pPr>
    </w:p>
    <w:p w14:paraId="6AE80E29">
      <w:pPr>
        <w:pStyle w:val="9"/>
        <w:spacing w:after="0"/>
        <w:jc w:val="center"/>
        <w:rPr>
          <w:rFonts w:ascii="Calibri"/>
          <w:sz w:val="24"/>
        </w:rPr>
        <w:sectPr>
          <w:type w:val="continuous"/>
          <w:pgSz w:w="11910" w:h="16840"/>
          <w:pgMar w:top="1920" w:right="992" w:bottom="280" w:left="992" w:header="720" w:footer="720" w:gutter="0"/>
          <w:cols w:space="720" w:num="1"/>
        </w:sectPr>
      </w:pPr>
    </w:p>
    <w:p w14:paraId="3DB21436">
      <w:pPr>
        <w:pStyle w:val="8"/>
        <w:numPr>
          <w:numId w:val="0"/>
        </w:numPr>
        <w:tabs>
          <w:tab w:val="left" w:pos="926"/>
          <w:tab w:val="right" w:leader="dot" w:pos="9828"/>
        </w:tabs>
        <w:spacing w:before="199" w:after="0" w:line="240" w:lineRule="auto"/>
        <w:ind w:right="0" w:rightChars="0"/>
        <w:jc w:val="left"/>
        <w:rPr>
          <w:rFonts w:ascii="Calibri" w:eastAsia="Calibri"/>
          <w:sz w:val="21"/>
        </w:rPr>
      </w:pPr>
    </w:p>
    <w:p w14:paraId="7E2F015B">
      <w:pPr>
        <w:pStyle w:val="8"/>
        <w:spacing w:after="0" w:line="240" w:lineRule="auto"/>
        <w:jc w:val="left"/>
        <w:rPr>
          <w:rFonts w:ascii="Calibri" w:eastAsia="Calibri"/>
          <w:sz w:val="21"/>
        </w:rPr>
        <w:sectPr>
          <w:footerReference r:id="rId5" w:type="default"/>
          <w:pgSz w:w="11910" w:h="16840"/>
          <w:pgMar w:top="1660" w:right="992" w:bottom="1020" w:left="992" w:header="0" w:footer="835" w:gutter="0"/>
          <w:cols w:space="720" w:num="1"/>
        </w:sectPr>
      </w:pPr>
    </w:p>
    <w:p w14:paraId="3F285302">
      <w:pPr>
        <w:pStyle w:val="8"/>
        <w:numPr>
          <w:ilvl w:val="0"/>
          <w:numId w:val="1"/>
        </w:numPr>
        <w:tabs>
          <w:tab w:val="left" w:pos="325"/>
        </w:tabs>
        <w:spacing w:before="40" w:after="0" w:line="240" w:lineRule="auto"/>
        <w:ind w:left="325" w:right="0" w:hanging="240"/>
        <w:jc w:val="both"/>
        <w:rPr>
          <w:sz w:val="24"/>
        </w:rPr>
      </w:pPr>
      <w:bookmarkStart w:id="0" w:name="1 前言"/>
      <w:bookmarkEnd w:id="0"/>
      <w:bookmarkStart w:id="1" w:name="_bookmark0"/>
      <w:bookmarkEnd w:id="1"/>
      <w:r>
        <w:rPr>
          <w:rFonts w:hint="eastAsia"/>
          <w:spacing w:val="-5"/>
          <w:sz w:val="24"/>
        </w:rPr>
        <w:t>Introduction</w:t>
      </w:r>
    </w:p>
    <w:p w14:paraId="71E9EC49">
      <w:pPr>
        <w:pStyle w:val="3"/>
        <w:spacing w:before="208" w:line="357" w:lineRule="auto"/>
        <w:ind w:left="85" w:right="81" w:firstLine="480"/>
        <w:jc w:val="both"/>
      </w:pPr>
      <w:r>
        <w:rPr>
          <w:rFonts w:hint="eastAsia"/>
          <w:spacing w:val="-2"/>
        </w:rPr>
        <w:t>Proper use and maintenance of the product are the guarantees for its normal operation and full performance. This manual introduces the use and maintenance of the 60GHz millimeter-wave radar F302 from aspects such as its composition, installation method, usage procedure, and common problem troubleshooting. To better use and maintain this product, please read it carefully.</w:t>
      </w:r>
    </w:p>
    <w:p w14:paraId="1A9C6958">
      <w:pPr>
        <w:pStyle w:val="8"/>
        <w:numPr>
          <w:ilvl w:val="0"/>
          <w:numId w:val="1"/>
        </w:numPr>
        <w:tabs>
          <w:tab w:val="left" w:pos="325"/>
        </w:tabs>
        <w:spacing w:before="114" w:after="0" w:line="240" w:lineRule="auto"/>
        <w:ind w:left="325" w:right="0" w:hanging="240"/>
        <w:jc w:val="both"/>
        <w:rPr>
          <w:sz w:val="24"/>
        </w:rPr>
      </w:pPr>
      <w:bookmarkStart w:id="2" w:name="2 设备清单"/>
      <w:bookmarkEnd w:id="2"/>
      <w:bookmarkStart w:id="3" w:name="_bookmark1"/>
      <w:bookmarkEnd w:id="3"/>
      <w:r>
        <w:rPr>
          <w:rFonts w:hint="eastAsia"/>
          <w:spacing w:val="-3"/>
          <w:sz w:val="24"/>
        </w:rPr>
        <w:t>Equipment List</w:t>
      </w:r>
    </w:p>
    <w:p w14:paraId="4B41FDB3">
      <w:pPr>
        <w:pStyle w:val="8"/>
        <w:numPr>
          <w:ilvl w:val="1"/>
          <w:numId w:val="1"/>
        </w:numPr>
        <w:tabs>
          <w:tab w:val="left" w:pos="565"/>
        </w:tabs>
        <w:spacing w:before="160" w:after="0" w:line="240" w:lineRule="auto"/>
        <w:ind w:left="565" w:right="0" w:hanging="480"/>
        <w:jc w:val="left"/>
        <w:rPr>
          <w:sz w:val="24"/>
        </w:rPr>
      </w:pPr>
      <w:bookmarkStart w:id="4" w:name="_bookmark2"/>
      <w:bookmarkEnd w:id="4"/>
      <w:bookmarkStart w:id="5" w:name="2.1 硬件设备"/>
      <w:bookmarkEnd w:id="5"/>
      <w:r>
        <w:rPr>
          <w:rFonts w:hint="eastAsia"/>
          <w:spacing w:val="-3"/>
          <w:sz w:val="24"/>
        </w:rPr>
        <w:t>Hardware Equipment</w:t>
      </w:r>
    </w:p>
    <w:p w14:paraId="1C0D5B21">
      <w:pPr>
        <w:pStyle w:val="3"/>
        <w:spacing w:before="209" w:line="357" w:lineRule="auto"/>
        <w:ind w:left="85" w:right="83" w:firstLine="480"/>
        <w:jc w:val="both"/>
        <w:rPr>
          <w:rFonts w:hint="eastAsia"/>
          <w:spacing w:val="-4"/>
        </w:rPr>
      </w:pPr>
      <w:r>
        <w:rPr>
          <w:rFonts w:hint="eastAsia"/>
          <w:spacing w:val="-4"/>
        </w:rPr>
        <w:t>In this set of Demo demonstration tools, the hardware equipment uses the AT60L2AA12-1211 module (1T2R AIP). The physical diagram is shown in Figure 1.</w:t>
      </w:r>
    </w:p>
    <w:p w14:paraId="34B169BE">
      <w:pPr>
        <w:pStyle w:val="3"/>
        <w:spacing w:before="209" w:line="357" w:lineRule="auto"/>
        <w:ind w:left="85" w:right="83" w:firstLine="480"/>
        <w:jc w:val="both"/>
        <w:rPr>
          <w:rFonts w:hint="eastAsia"/>
          <w:spacing w:val="-4"/>
        </w:rPr>
      </w:pPr>
      <w:r>
        <w:drawing>
          <wp:anchor distT="0" distB="0" distL="0" distR="0" simplePos="0" relativeHeight="251659264" behindDoc="0" locked="0" layoutInCell="1" allowOverlap="1">
            <wp:simplePos x="0" y="0"/>
            <wp:positionH relativeFrom="page">
              <wp:posOffset>1818005</wp:posOffset>
            </wp:positionH>
            <wp:positionV relativeFrom="paragraph">
              <wp:posOffset>344805</wp:posOffset>
            </wp:positionV>
            <wp:extent cx="3829050" cy="175895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828844" cy="1758937"/>
                    </a:xfrm>
                    <a:prstGeom prst="rect">
                      <a:avLst/>
                    </a:prstGeom>
                  </pic:spPr>
                </pic:pic>
              </a:graphicData>
            </a:graphic>
          </wp:anchor>
        </w:drawing>
      </w:r>
    </w:p>
    <w:p w14:paraId="54C24CD6">
      <w:pPr>
        <w:pStyle w:val="3"/>
      </w:pPr>
    </w:p>
    <w:p w14:paraId="1D8027A0">
      <w:pPr>
        <w:pStyle w:val="3"/>
      </w:pPr>
    </w:p>
    <w:p w14:paraId="001198CB">
      <w:pPr>
        <w:pStyle w:val="3"/>
      </w:pPr>
    </w:p>
    <w:p w14:paraId="1CDF1234">
      <w:pPr>
        <w:pStyle w:val="3"/>
      </w:pPr>
    </w:p>
    <w:p w14:paraId="111EB3D3">
      <w:pPr>
        <w:pStyle w:val="3"/>
      </w:pPr>
    </w:p>
    <w:p w14:paraId="2066EA44">
      <w:pPr>
        <w:pStyle w:val="3"/>
      </w:pPr>
    </w:p>
    <w:p w14:paraId="4E058646">
      <w:pPr>
        <w:pStyle w:val="3"/>
      </w:pPr>
    </w:p>
    <w:p w14:paraId="695183D6">
      <w:pPr>
        <w:pStyle w:val="3"/>
      </w:pPr>
    </w:p>
    <w:p w14:paraId="6FC0F170">
      <w:pPr>
        <w:pStyle w:val="3"/>
        <w:spacing w:before="73"/>
      </w:pPr>
    </w:p>
    <w:p w14:paraId="39DE9132">
      <w:pPr>
        <w:spacing w:before="0"/>
        <w:ind w:left="-1" w:right="0" w:firstLine="0"/>
        <w:jc w:val="center"/>
        <w:rPr>
          <w:sz w:val="21"/>
        </w:rPr>
      </w:pPr>
      <w:r>
        <w:rPr>
          <w:rFonts w:hint="eastAsia"/>
          <w:spacing w:val="-5"/>
          <w:sz w:val="21"/>
        </w:rPr>
        <w:t>Figure 1 Hardware Physical Diagram</w:t>
      </w:r>
    </w:p>
    <w:p w14:paraId="5EA7BC77">
      <w:pPr>
        <w:pStyle w:val="3"/>
        <w:spacing w:before="1"/>
        <w:rPr>
          <w:sz w:val="21"/>
        </w:rPr>
      </w:pPr>
    </w:p>
    <w:p w14:paraId="18D61DE8">
      <w:pPr>
        <w:pStyle w:val="8"/>
        <w:numPr>
          <w:ilvl w:val="1"/>
          <w:numId w:val="1"/>
        </w:numPr>
        <w:tabs>
          <w:tab w:val="left" w:pos="565"/>
        </w:tabs>
        <w:spacing w:before="0" w:after="0" w:line="240" w:lineRule="auto"/>
        <w:ind w:left="565" w:right="0" w:hanging="480"/>
        <w:jc w:val="left"/>
        <w:rPr>
          <w:sz w:val="24"/>
        </w:rPr>
      </w:pPr>
      <w:bookmarkStart w:id="6" w:name="_bookmark3"/>
      <w:bookmarkEnd w:id="6"/>
      <w:bookmarkStart w:id="7" w:name="2.2 软件组成"/>
      <w:bookmarkEnd w:id="7"/>
      <w:r>
        <w:rPr>
          <w:rFonts w:hint="eastAsia"/>
          <w:spacing w:val="-3"/>
          <w:sz w:val="24"/>
        </w:rPr>
        <w:t>Software Composition</w:t>
      </w:r>
    </w:p>
    <w:p w14:paraId="63374E93">
      <w:pPr>
        <w:pStyle w:val="3"/>
        <w:spacing w:before="208"/>
        <w:ind w:left="565"/>
      </w:pPr>
      <w:r>
        <w:rPr>
          <w:rFonts w:hint="eastAsia"/>
          <w:spacing w:val="-18"/>
        </w:rPr>
        <w:t>The software materials mainly include the upper computer display software, as shown in Table 1.</w:t>
      </w:r>
    </w:p>
    <w:p w14:paraId="61595BB5">
      <w:pPr>
        <w:spacing w:before="181" w:after="33"/>
        <w:ind w:left="4" w:right="2" w:firstLine="0"/>
        <w:jc w:val="center"/>
        <w:rPr>
          <w:sz w:val="21"/>
        </w:rPr>
      </w:pPr>
      <w:r>
        <w:rPr>
          <w:rFonts w:hint="eastAsia"/>
          <w:spacing w:val="-4"/>
          <w:sz w:val="21"/>
        </w:rPr>
        <w:t>Table 1 Software List</w:t>
      </w:r>
    </w:p>
    <w:tbl>
      <w:tblPr>
        <w:tblStyle w:val="5"/>
        <w:tblW w:w="0" w:type="auto"/>
        <w:tblInd w:w="37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694"/>
        <w:gridCol w:w="2412"/>
        <w:gridCol w:w="1133"/>
        <w:gridCol w:w="4954"/>
      </w:tblGrid>
      <w:tr w14:paraId="06C4C06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67" w:hRule="atLeast"/>
        </w:trPr>
        <w:tc>
          <w:tcPr>
            <w:tcW w:w="694" w:type="dxa"/>
            <w:tcBorders>
              <w:bottom w:val="single" w:color="000000" w:sz="4" w:space="0"/>
              <w:right w:val="single" w:color="000000" w:sz="4" w:space="0"/>
            </w:tcBorders>
          </w:tcPr>
          <w:p w14:paraId="22AA80B8">
            <w:pPr>
              <w:pStyle w:val="9"/>
              <w:spacing w:before="151"/>
              <w:jc w:val="both"/>
              <w:rPr>
                <w:spacing w:val="-5"/>
                <w:sz w:val="21"/>
              </w:rPr>
            </w:pPr>
            <w:r>
              <w:rPr>
                <w:rFonts w:hint="eastAsia"/>
                <w:spacing w:val="-5"/>
                <w:sz w:val="21"/>
              </w:rPr>
              <w:t>Serial Number</w:t>
            </w:r>
          </w:p>
          <w:p w14:paraId="19C5F56B">
            <w:pPr>
              <w:pStyle w:val="9"/>
              <w:spacing w:before="151"/>
              <w:ind w:left="21"/>
              <w:jc w:val="both"/>
              <w:rPr>
                <w:rFonts w:hint="eastAsia" w:eastAsia="宋体"/>
                <w:spacing w:val="-5"/>
                <w:sz w:val="21"/>
                <w:lang w:val="en-US" w:eastAsia="zh-CN"/>
              </w:rPr>
            </w:pPr>
          </w:p>
        </w:tc>
        <w:tc>
          <w:tcPr>
            <w:tcW w:w="2412" w:type="dxa"/>
            <w:tcBorders>
              <w:left w:val="single" w:color="000000" w:sz="4" w:space="0"/>
              <w:bottom w:val="single" w:color="000000" w:sz="4" w:space="0"/>
              <w:right w:val="single" w:color="000000" w:sz="4" w:space="0"/>
            </w:tcBorders>
          </w:tcPr>
          <w:p w14:paraId="2F5B9406">
            <w:pPr>
              <w:pStyle w:val="9"/>
              <w:spacing w:before="151"/>
              <w:ind w:left="31"/>
              <w:jc w:val="center"/>
              <w:rPr>
                <w:rFonts w:hint="default" w:eastAsia="宋体"/>
                <w:sz w:val="21"/>
                <w:lang w:val="en-US" w:eastAsia="zh-CN"/>
              </w:rPr>
            </w:pPr>
            <w:r>
              <w:rPr>
                <w:rFonts w:hint="eastAsia"/>
                <w:spacing w:val="-5"/>
                <w:sz w:val="21"/>
                <w:lang w:val="en-US" w:eastAsia="zh-CN"/>
              </w:rPr>
              <w:t>Name</w:t>
            </w:r>
          </w:p>
        </w:tc>
        <w:tc>
          <w:tcPr>
            <w:tcW w:w="1133" w:type="dxa"/>
            <w:tcBorders>
              <w:left w:val="single" w:color="000000" w:sz="4" w:space="0"/>
              <w:bottom w:val="single" w:color="000000" w:sz="4" w:space="0"/>
              <w:right w:val="single" w:color="000000" w:sz="4" w:space="0"/>
            </w:tcBorders>
          </w:tcPr>
          <w:p w14:paraId="060CAE81">
            <w:pPr>
              <w:pStyle w:val="9"/>
              <w:spacing w:before="151"/>
              <w:ind w:left="28"/>
              <w:jc w:val="center"/>
              <w:rPr>
                <w:rFonts w:hint="default" w:eastAsia="宋体"/>
                <w:sz w:val="21"/>
                <w:lang w:val="en-US" w:eastAsia="zh-CN"/>
              </w:rPr>
            </w:pPr>
            <w:r>
              <w:rPr>
                <w:rFonts w:hint="eastAsia"/>
                <w:sz w:val="21"/>
                <w:lang w:val="en-US" w:eastAsia="zh-CN"/>
              </w:rPr>
              <w:t>Number</w:t>
            </w:r>
          </w:p>
        </w:tc>
        <w:tc>
          <w:tcPr>
            <w:tcW w:w="4954" w:type="dxa"/>
            <w:tcBorders>
              <w:left w:val="single" w:color="000000" w:sz="4" w:space="0"/>
              <w:bottom w:val="single" w:color="000000" w:sz="4" w:space="0"/>
            </w:tcBorders>
          </w:tcPr>
          <w:p w14:paraId="7EECD86E">
            <w:pPr>
              <w:pStyle w:val="9"/>
              <w:spacing w:before="151"/>
              <w:ind w:left="38"/>
              <w:jc w:val="center"/>
              <w:rPr>
                <w:rFonts w:hint="default" w:eastAsia="宋体"/>
                <w:sz w:val="21"/>
                <w:lang w:val="en-US" w:eastAsia="zh-CN"/>
              </w:rPr>
            </w:pPr>
            <w:r>
              <w:rPr>
                <w:rFonts w:hint="eastAsia"/>
                <w:spacing w:val="-4"/>
                <w:sz w:val="21"/>
                <w:lang w:val="en-US" w:eastAsia="zh-CN"/>
              </w:rPr>
              <w:t>Document name</w:t>
            </w:r>
          </w:p>
        </w:tc>
      </w:tr>
      <w:tr w14:paraId="478FD33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65" w:hRule="atLeast"/>
        </w:trPr>
        <w:tc>
          <w:tcPr>
            <w:tcW w:w="694" w:type="dxa"/>
            <w:tcBorders>
              <w:top w:val="single" w:color="000000" w:sz="4" w:space="0"/>
              <w:right w:val="single" w:color="000000" w:sz="4" w:space="0"/>
            </w:tcBorders>
          </w:tcPr>
          <w:p w14:paraId="60F240A0">
            <w:pPr>
              <w:pStyle w:val="9"/>
              <w:spacing w:before="150"/>
              <w:ind w:left="21" w:right="5"/>
              <w:jc w:val="center"/>
              <w:rPr>
                <w:sz w:val="21"/>
              </w:rPr>
            </w:pPr>
            <w:r>
              <w:rPr>
                <w:spacing w:val="-10"/>
                <w:sz w:val="21"/>
              </w:rPr>
              <w:t>1</w:t>
            </w:r>
          </w:p>
        </w:tc>
        <w:tc>
          <w:tcPr>
            <w:tcW w:w="2412" w:type="dxa"/>
            <w:tcBorders>
              <w:top w:val="single" w:color="000000" w:sz="4" w:space="0"/>
              <w:left w:val="single" w:color="000000" w:sz="4" w:space="0"/>
              <w:right w:val="single" w:color="000000" w:sz="4" w:space="0"/>
            </w:tcBorders>
          </w:tcPr>
          <w:p w14:paraId="01996E81">
            <w:pPr>
              <w:pStyle w:val="9"/>
              <w:spacing w:before="150"/>
              <w:ind w:left="31" w:right="1"/>
              <w:jc w:val="center"/>
              <w:rPr>
                <w:sz w:val="21"/>
              </w:rPr>
            </w:pPr>
            <w:r>
              <w:rPr>
                <w:rFonts w:hint="eastAsia"/>
                <w:spacing w:val="-4"/>
                <w:sz w:val="21"/>
              </w:rPr>
              <w:t>Upper computer display software</w:t>
            </w:r>
          </w:p>
        </w:tc>
        <w:tc>
          <w:tcPr>
            <w:tcW w:w="1133" w:type="dxa"/>
            <w:tcBorders>
              <w:top w:val="single" w:color="000000" w:sz="4" w:space="0"/>
              <w:left w:val="single" w:color="000000" w:sz="4" w:space="0"/>
              <w:right w:val="single" w:color="000000" w:sz="4" w:space="0"/>
            </w:tcBorders>
          </w:tcPr>
          <w:p w14:paraId="4A1645BD">
            <w:pPr>
              <w:pStyle w:val="9"/>
              <w:spacing w:before="150"/>
              <w:ind w:left="28" w:right="1"/>
              <w:jc w:val="center"/>
              <w:rPr>
                <w:sz w:val="21"/>
              </w:rPr>
            </w:pPr>
            <w:r>
              <w:rPr>
                <w:sz w:val="21"/>
              </w:rPr>
              <w:t>1</w:t>
            </w:r>
            <w:r>
              <w:rPr>
                <w:spacing w:val="-32"/>
                <w:sz w:val="21"/>
              </w:rPr>
              <w:t xml:space="preserve"> 份</w:t>
            </w:r>
          </w:p>
        </w:tc>
        <w:tc>
          <w:tcPr>
            <w:tcW w:w="4954" w:type="dxa"/>
            <w:tcBorders>
              <w:top w:val="single" w:color="000000" w:sz="4" w:space="0"/>
              <w:left w:val="single" w:color="000000" w:sz="4" w:space="0"/>
            </w:tcBorders>
          </w:tcPr>
          <w:p w14:paraId="094A004A">
            <w:pPr>
              <w:pStyle w:val="9"/>
              <w:spacing w:before="150"/>
              <w:ind w:left="38" w:right="1"/>
              <w:jc w:val="center"/>
              <w:rPr>
                <w:sz w:val="21"/>
              </w:rPr>
            </w:pPr>
            <w:r>
              <w:rPr>
                <w:rFonts w:hint="eastAsia"/>
                <w:spacing w:val="-7"/>
                <w:sz w:val="21"/>
              </w:rPr>
              <w:t>Rearview Radar Host Computer Software V2.0.rar</w:t>
            </w:r>
          </w:p>
        </w:tc>
      </w:tr>
    </w:tbl>
    <w:p w14:paraId="142F08F7">
      <w:pPr>
        <w:pStyle w:val="8"/>
        <w:numPr>
          <w:ilvl w:val="0"/>
          <w:numId w:val="1"/>
        </w:numPr>
        <w:tabs>
          <w:tab w:val="left" w:pos="325"/>
        </w:tabs>
        <w:spacing w:before="240" w:after="0" w:line="240" w:lineRule="auto"/>
        <w:ind w:left="325" w:right="0" w:hanging="240"/>
        <w:jc w:val="left"/>
        <w:rPr>
          <w:sz w:val="24"/>
        </w:rPr>
      </w:pPr>
      <w:bookmarkStart w:id="8" w:name="_bookmark4"/>
      <w:bookmarkEnd w:id="8"/>
      <w:bookmarkStart w:id="9" w:name="3 测试前准备工作"/>
      <w:bookmarkEnd w:id="9"/>
      <w:r>
        <w:rPr>
          <w:rFonts w:hint="eastAsia"/>
          <w:spacing w:val="-2"/>
          <w:sz w:val="24"/>
        </w:rPr>
        <w:t>Preparations Before Testing</w:t>
      </w:r>
    </w:p>
    <w:p w14:paraId="1D52E9ED">
      <w:pPr>
        <w:pStyle w:val="8"/>
        <w:numPr>
          <w:ilvl w:val="1"/>
          <w:numId w:val="1"/>
        </w:numPr>
        <w:tabs>
          <w:tab w:val="left" w:pos="565"/>
        </w:tabs>
        <w:spacing w:before="161" w:after="0" w:line="240" w:lineRule="auto"/>
        <w:ind w:left="565" w:right="0" w:hanging="480"/>
        <w:jc w:val="left"/>
        <w:rPr>
          <w:sz w:val="24"/>
        </w:rPr>
      </w:pPr>
      <w:bookmarkStart w:id="10" w:name="_bookmark5"/>
      <w:bookmarkEnd w:id="10"/>
      <w:bookmarkStart w:id="11" w:name="3.1 USB转串口模块端口号查看"/>
      <w:bookmarkEnd w:id="11"/>
      <w:r>
        <w:rPr>
          <w:rFonts w:hint="eastAsia"/>
          <w:spacing w:val="-9"/>
          <w:sz w:val="24"/>
        </w:rPr>
        <w:t>Viewing of Port Numbers of USB to Serial Port Conversion Module</w:t>
      </w:r>
    </w:p>
    <w:p w14:paraId="53EE170B">
      <w:pPr>
        <w:pStyle w:val="8"/>
        <w:numPr>
          <w:ilvl w:val="2"/>
          <w:numId w:val="1"/>
        </w:numPr>
        <w:tabs>
          <w:tab w:val="left" w:pos="805"/>
        </w:tabs>
        <w:spacing w:before="160" w:after="0" w:line="240" w:lineRule="auto"/>
        <w:ind w:left="805" w:right="0" w:hanging="720"/>
        <w:jc w:val="left"/>
        <w:rPr>
          <w:sz w:val="24"/>
        </w:rPr>
      </w:pPr>
      <w:bookmarkStart w:id="12" w:name="_bookmark6"/>
      <w:bookmarkEnd w:id="12"/>
      <w:bookmarkStart w:id="13" w:name="3.1.1 通信接口"/>
      <w:bookmarkEnd w:id="13"/>
      <w:r>
        <w:rPr>
          <w:rFonts w:hint="eastAsia"/>
          <w:spacing w:val="-3"/>
          <w:sz w:val="24"/>
        </w:rPr>
        <w:t>Communication Interface</w:t>
      </w:r>
    </w:p>
    <w:p w14:paraId="08062EE4">
      <w:pPr>
        <w:pStyle w:val="3"/>
        <w:spacing w:after="0" w:line="360" w:lineRule="auto"/>
        <w:rPr>
          <w:rFonts w:hint="eastAsia"/>
        </w:rPr>
      </w:pPr>
      <w:r>
        <w:rPr>
          <w:rFonts w:hint="eastAsia"/>
        </w:rPr>
        <w:t>The radar module communicates with the upper computer software via the serial port (UART) with a baud rate of 115200. The communication protocol can be found in "60GHz Millimeter Wave Radar F302 Serial Port Communication Protocol Specification V1.1".</w:t>
      </w:r>
    </w:p>
    <w:p w14:paraId="1C363517">
      <w:pPr>
        <w:pStyle w:val="3"/>
        <w:spacing w:after="0" w:line="360" w:lineRule="auto"/>
        <w:sectPr>
          <w:footerReference r:id="rId6" w:type="default"/>
          <w:pgSz w:w="11910" w:h="16840"/>
          <w:pgMar w:top="1540" w:right="992" w:bottom="1020" w:left="992" w:header="0" w:footer="835" w:gutter="0"/>
          <w:pgNumType w:start="1"/>
          <w:cols w:space="720" w:num="1"/>
        </w:sectPr>
      </w:pPr>
      <w:r>
        <w:rPr>
          <w:rFonts w:hint="eastAsia"/>
        </w:rPr>
        <w:t>On each side of the radar module, there is a row of half-hole interfaces with a spacing of 2mm. There are a total of five effective signal interfaces: +3.3V, GNG, I/O, RX, and TX, as shown in Figure 2 and Table 2 which provides the definitions and descriptions of each pin.</w:t>
      </w:r>
    </w:p>
    <w:p w14:paraId="3C721092">
      <w:pPr>
        <w:spacing w:line="240" w:lineRule="auto"/>
        <w:ind w:left="3855" w:right="0" w:firstLine="0"/>
        <w:rPr>
          <w:sz w:val="20"/>
        </w:rPr>
      </w:pPr>
      <w:r>
        <w:rPr>
          <w:sz w:val="20"/>
        </w:rPr>
        <w:drawing>
          <wp:inline distT="0" distB="0" distL="0" distR="0">
            <wp:extent cx="1444625" cy="15284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444643" cy="1528572"/>
                    </a:xfrm>
                    <a:prstGeom prst="rect">
                      <a:avLst/>
                    </a:prstGeom>
                  </pic:spPr>
                </pic:pic>
              </a:graphicData>
            </a:graphic>
          </wp:inline>
        </w:drawing>
      </w:r>
    </w:p>
    <w:p w14:paraId="28B1717F">
      <w:pPr>
        <w:spacing w:before="176"/>
        <w:ind w:left="4" w:right="2" w:firstLine="0"/>
        <w:jc w:val="center"/>
        <w:rPr>
          <w:sz w:val="21"/>
        </w:rPr>
      </w:pPr>
      <w:r>
        <w:rPr>
          <w:rFonts w:hint="eastAsia"/>
          <w:spacing w:val="-4"/>
          <w:sz w:val="21"/>
        </w:rPr>
        <w:t>Figure 2 Definition of Pins for Radar Module</w:t>
      </w:r>
    </w:p>
    <w:p w14:paraId="1CBB301F">
      <w:pPr>
        <w:spacing w:before="151"/>
        <w:ind w:left="2" w:right="4" w:firstLine="0"/>
        <w:jc w:val="center"/>
        <w:rPr>
          <w:rFonts w:hint="eastAsia"/>
          <w:spacing w:val="-5"/>
          <w:sz w:val="21"/>
        </w:rPr>
      </w:pPr>
      <w:r>
        <w:rPr>
          <w:rFonts w:hint="eastAsia"/>
          <w:spacing w:val="-5"/>
          <w:sz w:val="21"/>
        </w:rPr>
        <w:t>Table 2 Definition and Description of Module Pins</w:t>
      </w:r>
    </w:p>
    <w:p w14:paraId="3CD6C02D">
      <w:pPr>
        <w:spacing w:before="151"/>
        <w:ind w:left="2" w:right="4" w:firstLine="0"/>
        <w:jc w:val="center"/>
        <w:rPr>
          <w:rFonts w:hint="eastAsia"/>
          <w:spacing w:val="-5"/>
          <w:sz w:val="21"/>
        </w:rPr>
      </w:pPr>
    </w:p>
    <w:p w14:paraId="14E8F6CD">
      <w:pPr>
        <w:spacing w:before="151"/>
        <w:ind w:left="2" w:right="4" w:firstLine="0"/>
        <w:jc w:val="center"/>
        <w:rPr>
          <w:rFonts w:hint="eastAsia"/>
          <w:spacing w:val="-5"/>
          <w:sz w:val="21"/>
        </w:rPr>
      </w:pPr>
    </w:p>
    <w:p w14:paraId="2D1E4615">
      <w:pPr>
        <w:pStyle w:val="3"/>
        <w:spacing w:before="3"/>
        <w:rPr>
          <w:sz w:val="9"/>
        </w:rPr>
      </w:pPr>
    </w:p>
    <w:tbl>
      <w:tblPr>
        <w:tblStyle w:val="5"/>
        <w:tblW w:w="4998"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131"/>
        <w:gridCol w:w="1137"/>
        <w:gridCol w:w="1149"/>
        <w:gridCol w:w="1892"/>
        <w:gridCol w:w="4643"/>
      </w:tblGrid>
      <w:tr w14:paraId="0B260A4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5" w:hRule="atLeast"/>
        </w:trPr>
        <w:tc>
          <w:tcPr>
            <w:tcW w:w="568" w:type="pct"/>
            <w:tcBorders>
              <w:bottom w:val="single" w:color="000000" w:sz="6" w:space="0"/>
              <w:right w:val="single" w:color="000000" w:sz="6" w:space="0"/>
            </w:tcBorders>
          </w:tcPr>
          <w:p w14:paraId="1D1C3C25">
            <w:pPr>
              <w:pStyle w:val="9"/>
              <w:spacing w:before="94"/>
              <w:ind w:left="26"/>
              <w:jc w:val="center"/>
              <w:rPr>
                <w:sz w:val="21"/>
              </w:rPr>
            </w:pPr>
            <w:r>
              <w:rPr>
                <w:rFonts w:hint="eastAsia"/>
                <w:sz w:val="21"/>
              </w:rPr>
              <w:t>Pin number</w:t>
            </w:r>
          </w:p>
        </w:tc>
        <w:tc>
          <w:tcPr>
            <w:tcW w:w="571" w:type="pct"/>
            <w:tcBorders>
              <w:left w:val="single" w:color="000000" w:sz="6" w:space="0"/>
              <w:bottom w:val="single" w:color="000000" w:sz="6" w:space="0"/>
              <w:right w:val="single" w:color="000000" w:sz="6" w:space="0"/>
            </w:tcBorders>
          </w:tcPr>
          <w:p w14:paraId="03B915A4">
            <w:pPr>
              <w:pStyle w:val="9"/>
              <w:spacing w:before="94"/>
              <w:ind w:left="34"/>
              <w:jc w:val="center"/>
              <w:rPr>
                <w:sz w:val="21"/>
              </w:rPr>
            </w:pPr>
            <w:r>
              <w:rPr>
                <w:rFonts w:hint="eastAsia"/>
                <w:spacing w:val="-5"/>
                <w:sz w:val="21"/>
              </w:rPr>
              <w:t>Stencil printing</w:t>
            </w:r>
          </w:p>
        </w:tc>
        <w:tc>
          <w:tcPr>
            <w:tcW w:w="577" w:type="pct"/>
            <w:tcBorders>
              <w:left w:val="single" w:color="000000" w:sz="6" w:space="0"/>
              <w:bottom w:val="single" w:color="000000" w:sz="6" w:space="0"/>
              <w:right w:val="single" w:color="000000" w:sz="6" w:space="0"/>
            </w:tcBorders>
          </w:tcPr>
          <w:p w14:paraId="458FAB98">
            <w:pPr>
              <w:pStyle w:val="9"/>
              <w:spacing w:before="94"/>
              <w:ind w:left="29"/>
              <w:jc w:val="center"/>
              <w:rPr>
                <w:sz w:val="21"/>
              </w:rPr>
            </w:pPr>
            <w:r>
              <w:rPr>
                <w:rFonts w:hint="eastAsia"/>
                <w:spacing w:val="-5"/>
                <w:sz w:val="21"/>
              </w:rPr>
              <w:t>Attribute</w:t>
            </w:r>
          </w:p>
        </w:tc>
        <w:tc>
          <w:tcPr>
            <w:tcW w:w="950" w:type="pct"/>
            <w:tcBorders>
              <w:left w:val="single" w:color="000000" w:sz="6" w:space="0"/>
              <w:bottom w:val="single" w:color="000000" w:sz="6" w:space="0"/>
              <w:right w:val="single" w:color="000000" w:sz="6" w:space="0"/>
            </w:tcBorders>
          </w:tcPr>
          <w:p w14:paraId="292DD979">
            <w:pPr>
              <w:pStyle w:val="9"/>
              <w:spacing w:before="94"/>
              <w:ind w:left="30" w:right="2"/>
              <w:jc w:val="center"/>
              <w:rPr>
                <w:sz w:val="21"/>
              </w:rPr>
            </w:pPr>
            <w:r>
              <w:rPr>
                <w:rFonts w:hint="eastAsia"/>
                <w:spacing w:val="-4"/>
                <w:sz w:val="21"/>
              </w:rPr>
              <w:t>Pin Definition</w:t>
            </w:r>
          </w:p>
        </w:tc>
        <w:tc>
          <w:tcPr>
            <w:tcW w:w="2331" w:type="pct"/>
            <w:tcBorders>
              <w:left w:val="single" w:color="000000" w:sz="6" w:space="0"/>
              <w:bottom w:val="single" w:color="000000" w:sz="6" w:space="0"/>
            </w:tcBorders>
          </w:tcPr>
          <w:p w14:paraId="470A0510">
            <w:pPr>
              <w:pStyle w:val="9"/>
              <w:spacing w:before="94"/>
              <w:ind w:left="38"/>
              <w:jc w:val="center"/>
              <w:rPr>
                <w:sz w:val="21"/>
              </w:rPr>
            </w:pPr>
            <w:r>
              <w:rPr>
                <w:rFonts w:hint="eastAsia"/>
                <w:sz w:val="21"/>
              </w:rPr>
              <w:t>Description</w:t>
            </w:r>
          </w:p>
        </w:tc>
      </w:tr>
      <w:tr w14:paraId="488C946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7" w:hRule="atLeast"/>
        </w:trPr>
        <w:tc>
          <w:tcPr>
            <w:tcW w:w="568" w:type="pct"/>
            <w:tcBorders>
              <w:top w:val="single" w:color="000000" w:sz="6" w:space="0"/>
              <w:bottom w:val="single" w:color="000000" w:sz="6" w:space="0"/>
              <w:right w:val="single" w:color="000000" w:sz="6" w:space="0"/>
            </w:tcBorders>
          </w:tcPr>
          <w:p w14:paraId="5F798F6B">
            <w:pPr>
              <w:pStyle w:val="9"/>
              <w:spacing w:before="65"/>
              <w:ind w:left="26"/>
              <w:jc w:val="center"/>
              <w:rPr>
                <w:sz w:val="21"/>
              </w:rPr>
            </w:pPr>
            <w:r>
              <w:rPr>
                <w:spacing w:val="-10"/>
                <w:sz w:val="21"/>
              </w:rPr>
              <w:t>1</w:t>
            </w:r>
          </w:p>
        </w:tc>
        <w:tc>
          <w:tcPr>
            <w:tcW w:w="571" w:type="pct"/>
            <w:tcBorders>
              <w:top w:val="single" w:color="000000" w:sz="6" w:space="0"/>
              <w:left w:val="single" w:color="000000" w:sz="6" w:space="0"/>
              <w:bottom w:val="single" w:color="000000" w:sz="6" w:space="0"/>
              <w:right w:val="single" w:color="000000" w:sz="6" w:space="0"/>
            </w:tcBorders>
          </w:tcPr>
          <w:p w14:paraId="1AAD91BA">
            <w:pPr>
              <w:pStyle w:val="9"/>
              <w:spacing w:before="65"/>
              <w:ind w:left="34"/>
              <w:jc w:val="center"/>
              <w:rPr>
                <w:sz w:val="21"/>
              </w:rPr>
            </w:pPr>
            <w:r>
              <w:rPr>
                <w:spacing w:val="-5"/>
                <w:sz w:val="21"/>
              </w:rPr>
              <w:t>M7</w:t>
            </w:r>
          </w:p>
        </w:tc>
        <w:tc>
          <w:tcPr>
            <w:tcW w:w="577" w:type="pct"/>
            <w:tcBorders>
              <w:top w:val="single" w:color="000000" w:sz="6" w:space="0"/>
              <w:left w:val="single" w:color="000000" w:sz="6" w:space="0"/>
              <w:bottom w:val="single" w:color="000000" w:sz="6" w:space="0"/>
              <w:right w:val="single" w:color="000000" w:sz="6" w:space="0"/>
            </w:tcBorders>
          </w:tcPr>
          <w:p w14:paraId="4DAE437B">
            <w:pPr>
              <w:pStyle w:val="9"/>
              <w:spacing w:before="65"/>
              <w:ind w:left="29" w:right="1"/>
              <w:jc w:val="center"/>
              <w:rPr>
                <w:sz w:val="21"/>
              </w:rPr>
            </w:pPr>
            <w:r>
              <w:rPr>
                <w:spacing w:val="-5"/>
                <w:sz w:val="21"/>
              </w:rPr>
              <w:t>I/O</w:t>
            </w:r>
          </w:p>
        </w:tc>
        <w:tc>
          <w:tcPr>
            <w:tcW w:w="950" w:type="pct"/>
            <w:tcBorders>
              <w:top w:val="single" w:color="000000" w:sz="6" w:space="0"/>
              <w:left w:val="single" w:color="000000" w:sz="6" w:space="0"/>
              <w:bottom w:val="single" w:color="000000" w:sz="6" w:space="0"/>
              <w:right w:val="single" w:color="000000" w:sz="6" w:space="0"/>
            </w:tcBorders>
          </w:tcPr>
          <w:p w14:paraId="5303866F">
            <w:pPr>
              <w:pStyle w:val="9"/>
              <w:spacing w:before="65"/>
              <w:ind w:left="30" w:right="2"/>
              <w:jc w:val="center"/>
              <w:rPr>
                <w:sz w:val="21"/>
              </w:rPr>
            </w:pPr>
            <w:r>
              <w:rPr>
                <w:spacing w:val="-2"/>
                <w:sz w:val="21"/>
              </w:rPr>
              <w:t>Radar_Rx</w:t>
            </w:r>
          </w:p>
        </w:tc>
        <w:tc>
          <w:tcPr>
            <w:tcW w:w="2331" w:type="pct"/>
            <w:tcBorders>
              <w:top w:val="single" w:color="000000" w:sz="6" w:space="0"/>
              <w:left w:val="single" w:color="000000" w:sz="6" w:space="0"/>
              <w:bottom w:val="single" w:color="000000" w:sz="6" w:space="0"/>
            </w:tcBorders>
          </w:tcPr>
          <w:p w14:paraId="6E0AD782">
            <w:pPr>
              <w:pStyle w:val="9"/>
              <w:spacing w:before="65"/>
              <w:ind w:left="38" w:right="2"/>
              <w:jc w:val="center"/>
              <w:rPr>
                <w:sz w:val="21"/>
              </w:rPr>
            </w:pPr>
            <w:r>
              <w:rPr>
                <w:rFonts w:hint="eastAsia"/>
                <w:sz w:val="21"/>
              </w:rPr>
              <w:t>UART_Rx pin (download, communication port)</w:t>
            </w:r>
          </w:p>
        </w:tc>
      </w:tr>
      <w:tr w14:paraId="3896ADA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7" w:hRule="atLeast"/>
        </w:trPr>
        <w:tc>
          <w:tcPr>
            <w:tcW w:w="568" w:type="pct"/>
            <w:tcBorders>
              <w:top w:val="single" w:color="000000" w:sz="6" w:space="0"/>
              <w:bottom w:val="single" w:color="000000" w:sz="6" w:space="0"/>
              <w:right w:val="single" w:color="000000" w:sz="6" w:space="0"/>
            </w:tcBorders>
          </w:tcPr>
          <w:p w14:paraId="00421B38">
            <w:pPr>
              <w:pStyle w:val="9"/>
              <w:spacing w:before="65"/>
              <w:ind w:left="26"/>
              <w:jc w:val="center"/>
              <w:rPr>
                <w:sz w:val="21"/>
              </w:rPr>
            </w:pPr>
            <w:r>
              <w:rPr>
                <w:spacing w:val="-10"/>
                <w:sz w:val="21"/>
              </w:rPr>
              <w:t>2</w:t>
            </w:r>
          </w:p>
        </w:tc>
        <w:tc>
          <w:tcPr>
            <w:tcW w:w="571" w:type="pct"/>
            <w:tcBorders>
              <w:top w:val="single" w:color="000000" w:sz="6" w:space="0"/>
              <w:left w:val="single" w:color="000000" w:sz="6" w:space="0"/>
              <w:bottom w:val="single" w:color="000000" w:sz="6" w:space="0"/>
              <w:right w:val="single" w:color="000000" w:sz="6" w:space="0"/>
            </w:tcBorders>
          </w:tcPr>
          <w:p w14:paraId="710CE572">
            <w:pPr>
              <w:pStyle w:val="9"/>
              <w:spacing w:before="65"/>
              <w:ind w:left="34"/>
              <w:jc w:val="center"/>
              <w:rPr>
                <w:sz w:val="21"/>
              </w:rPr>
            </w:pPr>
            <w:r>
              <w:rPr>
                <w:spacing w:val="-5"/>
                <w:sz w:val="21"/>
              </w:rPr>
              <w:t>GND</w:t>
            </w:r>
          </w:p>
        </w:tc>
        <w:tc>
          <w:tcPr>
            <w:tcW w:w="577" w:type="pct"/>
            <w:tcBorders>
              <w:top w:val="single" w:color="000000" w:sz="6" w:space="0"/>
              <w:left w:val="single" w:color="000000" w:sz="6" w:space="0"/>
              <w:bottom w:val="single" w:color="000000" w:sz="6" w:space="0"/>
              <w:right w:val="single" w:color="000000" w:sz="6" w:space="0"/>
            </w:tcBorders>
          </w:tcPr>
          <w:p w14:paraId="293FEC90">
            <w:pPr>
              <w:pStyle w:val="9"/>
              <w:spacing w:before="65"/>
              <w:ind w:left="29" w:right="1"/>
              <w:jc w:val="center"/>
              <w:rPr>
                <w:sz w:val="21"/>
              </w:rPr>
            </w:pPr>
            <w:r>
              <w:rPr>
                <w:spacing w:val="-10"/>
                <w:sz w:val="21"/>
              </w:rPr>
              <w:t>P</w:t>
            </w:r>
          </w:p>
        </w:tc>
        <w:tc>
          <w:tcPr>
            <w:tcW w:w="950" w:type="pct"/>
            <w:tcBorders>
              <w:top w:val="single" w:color="000000" w:sz="6" w:space="0"/>
              <w:left w:val="single" w:color="000000" w:sz="6" w:space="0"/>
              <w:bottom w:val="single" w:color="000000" w:sz="6" w:space="0"/>
              <w:right w:val="single" w:color="000000" w:sz="6" w:space="0"/>
            </w:tcBorders>
          </w:tcPr>
          <w:p w14:paraId="1E0DDA48">
            <w:pPr>
              <w:pStyle w:val="9"/>
              <w:spacing w:before="65"/>
              <w:ind w:left="30"/>
              <w:jc w:val="center"/>
              <w:rPr>
                <w:sz w:val="21"/>
              </w:rPr>
            </w:pPr>
            <w:r>
              <w:rPr>
                <w:rFonts w:hint="eastAsia"/>
                <w:spacing w:val="-5"/>
                <w:sz w:val="21"/>
              </w:rPr>
              <w:t>Grounding</w:t>
            </w:r>
          </w:p>
        </w:tc>
        <w:tc>
          <w:tcPr>
            <w:tcW w:w="2331" w:type="pct"/>
            <w:tcBorders>
              <w:top w:val="single" w:color="000000" w:sz="6" w:space="0"/>
              <w:left w:val="single" w:color="000000" w:sz="6" w:space="0"/>
              <w:bottom w:val="single" w:color="000000" w:sz="6" w:space="0"/>
            </w:tcBorders>
          </w:tcPr>
          <w:p w14:paraId="2E59CC62">
            <w:pPr>
              <w:pStyle w:val="9"/>
              <w:spacing w:before="65"/>
              <w:ind w:left="38"/>
              <w:jc w:val="center"/>
              <w:rPr>
                <w:sz w:val="21"/>
              </w:rPr>
            </w:pPr>
            <w:r>
              <w:rPr>
                <w:rFonts w:hint="eastAsia"/>
                <w:spacing w:val="-4"/>
                <w:sz w:val="21"/>
              </w:rPr>
              <w:t>Workplace</w:t>
            </w:r>
          </w:p>
        </w:tc>
      </w:tr>
      <w:tr w14:paraId="34D5F5F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7" w:hRule="atLeast"/>
        </w:trPr>
        <w:tc>
          <w:tcPr>
            <w:tcW w:w="568" w:type="pct"/>
            <w:tcBorders>
              <w:top w:val="single" w:color="000000" w:sz="6" w:space="0"/>
              <w:bottom w:val="single" w:color="000000" w:sz="6" w:space="0"/>
              <w:right w:val="single" w:color="000000" w:sz="6" w:space="0"/>
            </w:tcBorders>
          </w:tcPr>
          <w:p w14:paraId="3D44FB94">
            <w:pPr>
              <w:pStyle w:val="9"/>
              <w:spacing w:before="65"/>
              <w:ind w:left="26"/>
              <w:jc w:val="center"/>
              <w:rPr>
                <w:sz w:val="21"/>
              </w:rPr>
            </w:pPr>
            <w:r>
              <w:rPr>
                <w:spacing w:val="-10"/>
                <w:sz w:val="21"/>
              </w:rPr>
              <w:t>3</w:t>
            </w:r>
          </w:p>
        </w:tc>
        <w:tc>
          <w:tcPr>
            <w:tcW w:w="571" w:type="pct"/>
            <w:tcBorders>
              <w:top w:val="single" w:color="000000" w:sz="6" w:space="0"/>
              <w:left w:val="single" w:color="000000" w:sz="6" w:space="0"/>
              <w:bottom w:val="single" w:color="000000" w:sz="6" w:space="0"/>
              <w:right w:val="single" w:color="000000" w:sz="6" w:space="0"/>
            </w:tcBorders>
          </w:tcPr>
          <w:p w14:paraId="06024F1D">
            <w:pPr>
              <w:pStyle w:val="9"/>
              <w:spacing w:before="65"/>
              <w:ind w:left="34"/>
              <w:jc w:val="center"/>
              <w:rPr>
                <w:sz w:val="21"/>
              </w:rPr>
            </w:pPr>
            <w:r>
              <w:rPr>
                <w:spacing w:val="-5"/>
                <w:sz w:val="21"/>
              </w:rPr>
              <w:t>M6</w:t>
            </w:r>
          </w:p>
        </w:tc>
        <w:tc>
          <w:tcPr>
            <w:tcW w:w="577" w:type="pct"/>
            <w:tcBorders>
              <w:top w:val="single" w:color="000000" w:sz="6" w:space="0"/>
              <w:left w:val="single" w:color="000000" w:sz="6" w:space="0"/>
              <w:bottom w:val="single" w:color="000000" w:sz="6" w:space="0"/>
              <w:right w:val="single" w:color="000000" w:sz="6" w:space="0"/>
            </w:tcBorders>
          </w:tcPr>
          <w:p w14:paraId="4B040F88">
            <w:pPr>
              <w:pStyle w:val="9"/>
              <w:spacing w:before="65"/>
              <w:ind w:left="29" w:right="1"/>
              <w:jc w:val="center"/>
              <w:rPr>
                <w:sz w:val="21"/>
              </w:rPr>
            </w:pPr>
            <w:r>
              <w:rPr>
                <w:spacing w:val="-5"/>
                <w:sz w:val="21"/>
              </w:rPr>
              <w:t>I/O</w:t>
            </w:r>
          </w:p>
        </w:tc>
        <w:tc>
          <w:tcPr>
            <w:tcW w:w="950" w:type="pct"/>
            <w:tcBorders>
              <w:top w:val="single" w:color="000000" w:sz="6" w:space="0"/>
              <w:left w:val="single" w:color="000000" w:sz="6" w:space="0"/>
              <w:bottom w:val="single" w:color="000000" w:sz="6" w:space="0"/>
              <w:right w:val="single" w:color="000000" w:sz="6" w:space="0"/>
            </w:tcBorders>
          </w:tcPr>
          <w:p w14:paraId="74B80345">
            <w:pPr>
              <w:pStyle w:val="9"/>
              <w:spacing w:before="65"/>
              <w:ind w:left="30" w:right="2"/>
              <w:jc w:val="center"/>
              <w:rPr>
                <w:sz w:val="21"/>
              </w:rPr>
            </w:pPr>
            <w:r>
              <w:rPr>
                <w:spacing w:val="-2"/>
                <w:sz w:val="21"/>
              </w:rPr>
              <w:t>Radar_Tx</w:t>
            </w:r>
          </w:p>
        </w:tc>
        <w:tc>
          <w:tcPr>
            <w:tcW w:w="2331" w:type="pct"/>
            <w:tcBorders>
              <w:top w:val="single" w:color="000000" w:sz="6" w:space="0"/>
              <w:left w:val="single" w:color="000000" w:sz="6" w:space="0"/>
              <w:bottom w:val="single" w:color="000000" w:sz="6" w:space="0"/>
            </w:tcBorders>
          </w:tcPr>
          <w:p w14:paraId="6F407DE6">
            <w:pPr>
              <w:pStyle w:val="9"/>
              <w:spacing w:before="65"/>
              <w:ind w:left="38" w:right="2"/>
              <w:jc w:val="center"/>
              <w:rPr>
                <w:sz w:val="21"/>
              </w:rPr>
            </w:pPr>
            <w:r>
              <w:rPr>
                <w:rFonts w:hint="eastAsia"/>
                <w:sz w:val="21"/>
              </w:rPr>
              <w:t>UART_Tx pin (download, communication port)</w:t>
            </w:r>
          </w:p>
        </w:tc>
      </w:tr>
      <w:tr w14:paraId="0E8BE70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3" w:hRule="atLeast"/>
        </w:trPr>
        <w:tc>
          <w:tcPr>
            <w:tcW w:w="568" w:type="pct"/>
            <w:tcBorders>
              <w:top w:val="single" w:color="000000" w:sz="6" w:space="0"/>
              <w:bottom w:val="single" w:color="000000" w:sz="6" w:space="0"/>
              <w:right w:val="single" w:color="000000" w:sz="6" w:space="0"/>
            </w:tcBorders>
          </w:tcPr>
          <w:p w14:paraId="426787C4">
            <w:pPr>
              <w:pStyle w:val="9"/>
              <w:spacing w:before="178"/>
              <w:ind w:left="26"/>
              <w:jc w:val="center"/>
              <w:rPr>
                <w:sz w:val="21"/>
              </w:rPr>
            </w:pPr>
            <w:r>
              <w:rPr>
                <w:spacing w:val="-10"/>
                <w:sz w:val="21"/>
              </w:rPr>
              <w:t>4</w:t>
            </w:r>
          </w:p>
        </w:tc>
        <w:tc>
          <w:tcPr>
            <w:tcW w:w="571" w:type="pct"/>
            <w:tcBorders>
              <w:top w:val="single" w:color="000000" w:sz="6" w:space="0"/>
              <w:left w:val="single" w:color="000000" w:sz="6" w:space="0"/>
              <w:bottom w:val="single" w:color="000000" w:sz="6" w:space="0"/>
              <w:right w:val="single" w:color="000000" w:sz="6" w:space="0"/>
            </w:tcBorders>
          </w:tcPr>
          <w:p w14:paraId="57E09E68">
            <w:pPr>
              <w:pStyle w:val="9"/>
              <w:spacing w:before="178"/>
              <w:ind w:left="34"/>
              <w:jc w:val="center"/>
              <w:rPr>
                <w:sz w:val="21"/>
              </w:rPr>
            </w:pPr>
            <w:r>
              <w:rPr>
                <w:spacing w:val="-5"/>
                <w:sz w:val="21"/>
              </w:rPr>
              <w:t>A3</w:t>
            </w:r>
          </w:p>
        </w:tc>
        <w:tc>
          <w:tcPr>
            <w:tcW w:w="577" w:type="pct"/>
            <w:tcBorders>
              <w:top w:val="single" w:color="000000" w:sz="6" w:space="0"/>
              <w:left w:val="single" w:color="000000" w:sz="6" w:space="0"/>
              <w:bottom w:val="single" w:color="000000" w:sz="6" w:space="0"/>
              <w:right w:val="single" w:color="000000" w:sz="6" w:space="0"/>
            </w:tcBorders>
          </w:tcPr>
          <w:p w14:paraId="484614F3">
            <w:pPr>
              <w:pStyle w:val="9"/>
              <w:spacing w:before="178"/>
              <w:ind w:left="29" w:right="1"/>
              <w:jc w:val="center"/>
              <w:rPr>
                <w:sz w:val="21"/>
              </w:rPr>
            </w:pPr>
            <w:r>
              <w:rPr>
                <w:spacing w:val="-5"/>
                <w:sz w:val="21"/>
              </w:rPr>
              <w:t>I/O</w:t>
            </w:r>
          </w:p>
        </w:tc>
        <w:tc>
          <w:tcPr>
            <w:tcW w:w="950" w:type="pct"/>
            <w:tcBorders>
              <w:top w:val="single" w:color="000000" w:sz="6" w:space="0"/>
              <w:left w:val="single" w:color="000000" w:sz="6" w:space="0"/>
              <w:bottom w:val="single" w:color="000000" w:sz="6" w:space="0"/>
              <w:right w:val="single" w:color="000000" w:sz="6" w:space="0"/>
            </w:tcBorders>
          </w:tcPr>
          <w:p w14:paraId="38C05D6C">
            <w:pPr>
              <w:pStyle w:val="9"/>
              <w:spacing w:before="178"/>
              <w:ind w:left="30" w:right="2"/>
              <w:jc w:val="center"/>
              <w:rPr>
                <w:sz w:val="21"/>
              </w:rPr>
            </w:pPr>
            <w:r>
              <w:rPr>
                <w:rFonts w:hint="eastAsia"/>
                <w:spacing w:val="-2"/>
                <w:sz w:val="21"/>
              </w:rPr>
              <w:t>GPIO output pin</w:t>
            </w:r>
          </w:p>
        </w:tc>
        <w:tc>
          <w:tcPr>
            <w:tcW w:w="2331" w:type="pct"/>
            <w:tcBorders>
              <w:top w:val="single" w:color="000000" w:sz="6" w:space="0"/>
              <w:left w:val="single" w:color="000000" w:sz="6" w:space="0"/>
              <w:bottom w:val="single" w:color="000000" w:sz="6" w:space="0"/>
            </w:tcBorders>
          </w:tcPr>
          <w:p w14:paraId="072EAC77">
            <w:pPr>
              <w:pStyle w:val="9"/>
              <w:spacing w:before="43"/>
              <w:ind w:left="38"/>
              <w:jc w:val="center"/>
              <w:rPr>
                <w:sz w:val="21"/>
              </w:rPr>
            </w:pPr>
            <w:r>
              <w:rPr>
                <w:rFonts w:hint="eastAsia"/>
                <w:spacing w:val="-3"/>
                <w:sz w:val="21"/>
              </w:rPr>
              <w:t>Radar sensing output pin: High level when an alarm occurs, low level when no alarm is triggered.</w:t>
            </w:r>
          </w:p>
        </w:tc>
      </w:tr>
      <w:tr w14:paraId="1605385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7" w:hRule="atLeast"/>
        </w:trPr>
        <w:tc>
          <w:tcPr>
            <w:tcW w:w="568" w:type="pct"/>
            <w:tcBorders>
              <w:top w:val="single" w:color="000000" w:sz="6" w:space="0"/>
              <w:bottom w:val="single" w:color="000000" w:sz="6" w:space="0"/>
              <w:right w:val="single" w:color="000000" w:sz="6" w:space="0"/>
            </w:tcBorders>
          </w:tcPr>
          <w:p w14:paraId="10B0B8BB">
            <w:pPr>
              <w:pStyle w:val="9"/>
              <w:spacing w:before="68"/>
              <w:ind w:left="26"/>
              <w:jc w:val="center"/>
              <w:rPr>
                <w:sz w:val="21"/>
              </w:rPr>
            </w:pPr>
            <w:r>
              <w:rPr>
                <w:spacing w:val="-10"/>
                <w:sz w:val="21"/>
              </w:rPr>
              <w:t>5</w:t>
            </w:r>
          </w:p>
        </w:tc>
        <w:tc>
          <w:tcPr>
            <w:tcW w:w="571" w:type="pct"/>
            <w:tcBorders>
              <w:top w:val="single" w:color="000000" w:sz="6" w:space="0"/>
              <w:left w:val="single" w:color="000000" w:sz="6" w:space="0"/>
              <w:bottom w:val="single" w:color="000000" w:sz="6" w:space="0"/>
              <w:right w:val="single" w:color="000000" w:sz="6" w:space="0"/>
            </w:tcBorders>
          </w:tcPr>
          <w:p w14:paraId="51C1DE30">
            <w:pPr>
              <w:pStyle w:val="9"/>
              <w:spacing w:before="68"/>
              <w:ind w:left="34"/>
              <w:jc w:val="center"/>
              <w:rPr>
                <w:sz w:val="21"/>
              </w:rPr>
            </w:pPr>
            <w:r>
              <w:rPr>
                <w:spacing w:val="-5"/>
                <w:sz w:val="21"/>
              </w:rPr>
              <w:t>GND</w:t>
            </w:r>
          </w:p>
        </w:tc>
        <w:tc>
          <w:tcPr>
            <w:tcW w:w="577" w:type="pct"/>
            <w:tcBorders>
              <w:top w:val="single" w:color="000000" w:sz="6" w:space="0"/>
              <w:left w:val="single" w:color="000000" w:sz="6" w:space="0"/>
              <w:bottom w:val="single" w:color="000000" w:sz="6" w:space="0"/>
              <w:right w:val="single" w:color="000000" w:sz="6" w:space="0"/>
            </w:tcBorders>
          </w:tcPr>
          <w:p w14:paraId="6D9695F1">
            <w:pPr>
              <w:pStyle w:val="9"/>
              <w:spacing w:before="68"/>
              <w:ind w:left="29" w:right="1"/>
              <w:jc w:val="center"/>
              <w:rPr>
                <w:sz w:val="21"/>
              </w:rPr>
            </w:pPr>
            <w:r>
              <w:rPr>
                <w:spacing w:val="-10"/>
                <w:sz w:val="21"/>
              </w:rPr>
              <w:t>P</w:t>
            </w:r>
          </w:p>
        </w:tc>
        <w:tc>
          <w:tcPr>
            <w:tcW w:w="950" w:type="pct"/>
            <w:tcBorders>
              <w:top w:val="single" w:color="000000" w:sz="6" w:space="0"/>
              <w:left w:val="single" w:color="000000" w:sz="6" w:space="0"/>
              <w:bottom w:val="single" w:color="000000" w:sz="6" w:space="0"/>
              <w:right w:val="single" w:color="000000" w:sz="6" w:space="0"/>
            </w:tcBorders>
          </w:tcPr>
          <w:p w14:paraId="60BE17E4">
            <w:pPr>
              <w:pStyle w:val="9"/>
              <w:spacing w:before="68"/>
              <w:ind w:left="30"/>
              <w:jc w:val="center"/>
              <w:rPr>
                <w:sz w:val="21"/>
              </w:rPr>
            </w:pPr>
            <w:r>
              <w:rPr>
                <w:rFonts w:hint="eastAsia"/>
                <w:spacing w:val="-5"/>
                <w:sz w:val="21"/>
              </w:rPr>
              <w:t>Grounding</w:t>
            </w:r>
          </w:p>
        </w:tc>
        <w:tc>
          <w:tcPr>
            <w:tcW w:w="2331" w:type="pct"/>
            <w:tcBorders>
              <w:top w:val="single" w:color="000000" w:sz="6" w:space="0"/>
              <w:left w:val="single" w:color="000000" w:sz="6" w:space="0"/>
              <w:bottom w:val="single" w:color="000000" w:sz="6" w:space="0"/>
            </w:tcBorders>
          </w:tcPr>
          <w:p w14:paraId="42DB1022">
            <w:pPr>
              <w:pStyle w:val="9"/>
              <w:spacing w:before="68"/>
              <w:ind w:left="38"/>
              <w:jc w:val="center"/>
              <w:rPr>
                <w:sz w:val="21"/>
              </w:rPr>
            </w:pPr>
            <w:r>
              <w:rPr>
                <w:rFonts w:hint="eastAsia"/>
                <w:spacing w:val="-4"/>
                <w:sz w:val="21"/>
              </w:rPr>
              <w:t>Workplace</w:t>
            </w:r>
          </w:p>
        </w:tc>
      </w:tr>
      <w:tr w14:paraId="19716BF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7" w:hRule="atLeast"/>
        </w:trPr>
        <w:tc>
          <w:tcPr>
            <w:tcW w:w="568" w:type="pct"/>
            <w:tcBorders>
              <w:top w:val="single" w:color="000000" w:sz="6" w:space="0"/>
              <w:right w:val="single" w:color="000000" w:sz="6" w:space="0"/>
            </w:tcBorders>
          </w:tcPr>
          <w:p w14:paraId="72721EA6">
            <w:pPr>
              <w:pStyle w:val="9"/>
              <w:spacing w:before="68"/>
              <w:ind w:left="26"/>
              <w:jc w:val="center"/>
              <w:rPr>
                <w:sz w:val="21"/>
              </w:rPr>
            </w:pPr>
            <w:r>
              <w:rPr>
                <w:spacing w:val="-10"/>
                <w:sz w:val="21"/>
              </w:rPr>
              <w:t>6</w:t>
            </w:r>
          </w:p>
        </w:tc>
        <w:tc>
          <w:tcPr>
            <w:tcW w:w="571" w:type="pct"/>
            <w:tcBorders>
              <w:top w:val="single" w:color="000000" w:sz="6" w:space="0"/>
              <w:left w:val="single" w:color="000000" w:sz="6" w:space="0"/>
              <w:right w:val="single" w:color="000000" w:sz="6" w:space="0"/>
            </w:tcBorders>
          </w:tcPr>
          <w:p w14:paraId="49F41352">
            <w:pPr>
              <w:pStyle w:val="9"/>
              <w:spacing w:before="68"/>
              <w:ind w:left="34"/>
              <w:jc w:val="center"/>
              <w:rPr>
                <w:sz w:val="21"/>
              </w:rPr>
            </w:pPr>
            <w:r>
              <w:rPr>
                <w:spacing w:val="-5"/>
                <w:sz w:val="21"/>
              </w:rPr>
              <w:t>VDD</w:t>
            </w:r>
          </w:p>
        </w:tc>
        <w:tc>
          <w:tcPr>
            <w:tcW w:w="577" w:type="pct"/>
            <w:tcBorders>
              <w:top w:val="single" w:color="000000" w:sz="6" w:space="0"/>
              <w:left w:val="single" w:color="000000" w:sz="6" w:space="0"/>
              <w:right w:val="single" w:color="000000" w:sz="6" w:space="0"/>
            </w:tcBorders>
          </w:tcPr>
          <w:p w14:paraId="3A6D2921">
            <w:pPr>
              <w:pStyle w:val="9"/>
              <w:spacing w:before="68"/>
              <w:ind w:left="29" w:right="1"/>
              <w:jc w:val="center"/>
              <w:rPr>
                <w:sz w:val="21"/>
              </w:rPr>
            </w:pPr>
            <w:r>
              <w:rPr>
                <w:spacing w:val="-10"/>
                <w:sz w:val="21"/>
              </w:rPr>
              <w:t>P</w:t>
            </w:r>
          </w:p>
        </w:tc>
        <w:tc>
          <w:tcPr>
            <w:tcW w:w="950" w:type="pct"/>
            <w:tcBorders>
              <w:top w:val="single" w:color="000000" w:sz="6" w:space="0"/>
              <w:left w:val="single" w:color="000000" w:sz="6" w:space="0"/>
              <w:right w:val="single" w:color="000000" w:sz="6" w:space="0"/>
            </w:tcBorders>
          </w:tcPr>
          <w:p w14:paraId="21C1D69E">
            <w:pPr>
              <w:pStyle w:val="9"/>
              <w:spacing w:before="68"/>
              <w:ind w:left="30" w:right="2"/>
              <w:jc w:val="center"/>
              <w:rPr>
                <w:sz w:val="21"/>
              </w:rPr>
            </w:pPr>
            <w:r>
              <w:rPr>
                <w:rFonts w:hint="eastAsia"/>
                <w:spacing w:val="-4"/>
                <w:sz w:val="21"/>
              </w:rPr>
              <w:t>Power supply pin</w:t>
            </w:r>
          </w:p>
        </w:tc>
        <w:tc>
          <w:tcPr>
            <w:tcW w:w="2331" w:type="pct"/>
            <w:tcBorders>
              <w:top w:val="single" w:color="000000" w:sz="6" w:space="0"/>
              <w:left w:val="single" w:color="000000" w:sz="6" w:space="0"/>
            </w:tcBorders>
          </w:tcPr>
          <w:p w14:paraId="59810C7A">
            <w:pPr>
              <w:pStyle w:val="9"/>
              <w:spacing w:before="68"/>
              <w:ind w:left="38"/>
              <w:jc w:val="center"/>
              <w:rPr>
                <w:sz w:val="21"/>
              </w:rPr>
            </w:pPr>
            <w:r>
              <w:rPr>
                <w:sz w:val="21"/>
              </w:rPr>
              <w:t>DC</w:t>
            </w:r>
            <w:r>
              <w:rPr>
                <w:spacing w:val="-3"/>
                <w:sz w:val="21"/>
              </w:rPr>
              <w:t xml:space="preserve"> </w:t>
            </w:r>
            <w:r>
              <w:rPr>
                <w:sz w:val="21"/>
              </w:rPr>
              <w:t>3.3V</w:t>
            </w:r>
            <w:r>
              <w:rPr>
                <w:spacing w:val="-37"/>
                <w:sz w:val="21"/>
              </w:rPr>
              <w:t xml:space="preserve"> </w:t>
            </w:r>
            <w:r>
              <w:rPr>
                <w:rFonts w:hint="eastAsia"/>
                <w:spacing w:val="-37"/>
                <w:sz w:val="21"/>
                <w:lang w:val="en-US" w:eastAsia="zh-CN"/>
              </w:rPr>
              <w:t xml:space="preserve">OR </w:t>
            </w:r>
            <w:r>
              <w:rPr>
                <w:spacing w:val="-37"/>
                <w:sz w:val="21"/>
              </w:rPr>
              <w:t xml:space="preserve"> </w:t>
            </w:r>
            <w:r>
              <w:rPr>
                <w:spacing w:val="-4"/>
                <w:sz w:val="21"/>
              </w:rPr>
              <w:t>5.0V</w:t>
            </w:r>
          </w:p>
        </w:tc>
      </w:tr>
    </w:tbl>
    <w:p w14:paraId="2FFBD0F7">
      <w:pPr>
        <w:pStyle w:val="3"/>
        <w:spacing w:before="3"/>
        <w:rPr>
          <w:rFonts w:hint="eastAsia"/>
          <w:spacing w:val="-2"/>
        </w:rPr>
      </w:pPr>
    </w:p>
    <w:p w14:paraId="5474F0F1">
      <w:pPr>
        <w:pStyle w:val="3"/>
        <w:spacing w:before="3"/>
        <w:rPr>
          <w:rFonts w:hint="eastAsia"/>
          <w:spacing w:val="-2"/>
        </w:rPr>
      </w:pPr>
    </w:p>
    <w:p w14:paraId="50F7605E">
      <w:pPr>
        <w:pStyle w:val="3"/>
        <w:spacing w:before="3"/>
        <w:rPr>
          <w:rFonts w:hint="eastAsia"/>
          <w:spacing w:val="-2"/>
        </w:rPr>
      </w:pPr>
      <w:r>
        <w:rPr>
          <w:rFonts w:hint="eastAsia"/>
          <w:spacing w:val="-2"/>
        </w:rPr>
        <w:t>Note: The maximum voltage for power supply is +5.5V. Operating beyond or equal to this limit voltage will damage the chip, and in severe cases, it may even destroy the chip.</w:t>
      </w:r>
    </w:p>
    <w:p w14:paraId="299BE23D">
      <w:pPr>
        <w:pStyle w:val="3"/>
        <w:spacing w:before="3"/>
        <w:rPr>
          <w:rFonts w:hint="eastAsia"/>
          <w:spacing w:val="-2"/>
        </w:rPr>
      </w:pPr>
      <w:r>
        <w:rPr>
          <w:rFonts w:hint="eastAsia"/>
          <w:spacing w:val="-2"/>
        </w:rPr>
        <w:t>When demonstrating this set of Demo, only the +3.3V, GNG, RX, and TX interfaces need to be used.</w:t>
      </w:r>
    </w:p>
    <w:p w14:paraId="65F781DA">
      <w:pPr>
        <w:pStyle w:val="3"/>
        <w:spacing w:before="3"/>
        <w:rPr>
          <w:rFonts w:hint="eastAsia"/>
          <w:spacing w:val="-2"/>
        </w:rPr>
      </w:pPr>
    </w:p>
    <w:p w14:paraId="52A882B6">
      <w:pPr>
        <w:pStyle w:val="3"/>
        <w:spacing w:before="3"/>
        <w:rPr>
          <w:rFonts w:hint="eastAsia"/>
          <w:spacing w:val="-2"/>
        </w:rPr>
      </w:pPr>
    </w:p>
    <w:p w14:paraId="06C2A0A3">
      <w:pPr>
        <w:pStyle w:val="8"/>
        <w:numPr>
          <w:ilvl w:val="2"/>
          <w:numId w:val="1"/>
        </w:numPr>
        <w:tabs>
          <w:tab w:val="left" w:pos="805"/>
        </w:tabs>
        <w:spacing w:before="105" w:after="0" w:line="240" w:lineRule="auto"/>
        <w:ind w:left="805" w:right="0" w:hanging="720"/>
        <w:jc w:val="left"/>
        <w:rPr>
          <w:sz w:val="24"/>
        </w:rPr>
      </w:pPr>
      <w:bookmarkStart w:id="14" w:name="3.1.2 端口号查看"/>
      <w:bookmarkEnd w:id="14"/>
      <w:bookmarkStart w:id="15" w:name="_bookmark7"/>
      <w:bookmarkEnd w:id="15"/>
      <w:r>
        <w:rPr>
          <w:rFonts w:hint="eastAsia"/>
          <w:spacing w:val="-2"/>
          <w:sz w:val="24"/>
        </w:rPr>
        <w:t>Port Number Check</w:t>
      </w:r>
    </w:p>
    <w:p w14:paraId="45286660">
      <w:pPr>
        <w:spacing w:line="240" w:lineRule="auto"/>
        <w:ind w:right="0"/>
        <w:rPr>
          <w:rFonts w:hint="eastAsia"/>
          <w:spacing w:val="-2"/>
        </w:rPr>
      </w:pPr>
      <w:r>
        <w:rPr>
          <w:rFonts w:hint="eastAsia"/>
          <w:spacing w:val="-2"/>
        </w:rPr>
        <w:t>Connect the USB to Serial Port module to the computer and install the driver. Then, open the Device Manager in the computer (on the desktop, in "This PC" or "Computer", right-click and select "Manage", and then select "Device Manager" from the left window). You can check the driver status as shown in Figure 3. The serial port port number is COM46 (note: you need to connect the USB to Serial Port module to the computer and install the driver correctly before the "USB Serial Port..." can be</w:t>
      </w:r>
      <w:r>
        <w:rPr>
          <w:rFonts w:hint="eastAsia"/>
          <w:spacing w:val="-2"/>
          <w:lang w:val="en-US" w:eastAsia="zh-CN"/>
        </w:rPr>
        <w:t xml:space="preserve"> </w:t>
      </w:r>
      <w:r>
        <w:rPr>
          <w:rFonts w:hint="eastAsia"/>
          <w:spacing w:val="-2"/>
        </w:rPr>
        <w:t>displayed).</w:t>
      </w:r>
    </w:p>
    <w:p w14:paraId="56F2859C">
      <w:pPr>
        <w:spacing w:line="240" w:lineRule="auto"/>
        <w:ind w:right="0"/>
        <w:rPr>
          <w:rFonts w:hint="eastAsia"/>
          <w:spacing w:val="-2"/>
        </w:rPr>
      </w:pPr>
    </w:p>
    <w:p w14:paraId="576FB88C">
      <w:pPr>
        <w:spacing w:line="240" w:lineRule="auto"/>
        <w:ind w:right="0"/>
        <w:rPr>
          <w:sz w:val="20"/>
        </w:rPr>
      </w:pPr>
      <w:r>
        <w:rPr>
          <w:sz w:val="20"/>
        </w:rPr>
        <w:drawing>
          <wp:inline distT="0" distB="0" distL="0" distR="0">
            <wp:extent cx="5081270" cy="2009140"/>
            <wp:effectExtent l="0" t="0" r="5080" b="1016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081393" cy="2009394"/>
                    </a:xfrm>
                    <a:prstGeom prst="rect">
                      <a:avLst/>
                    </a:prstGeom>
                  </pic:spPr>
                </pic:pic>
              </a:graphicData>
            </a:graphic>
          </wp:inline>
        </w:drawing>
      </w:r>
    </w:p>
    <w:p w14:paraId="348F0F57">
      <w:pPr>
        <w:spacing w:before="178"/>
        <w:ind w:left="420" w:right="0" w:firstLine="0"/>
        <w:jc w:val="center"/>
        <w:rPr>
          <w:rFonts w:hint="eastAsia"/>
          <w:spacing w:val="-5"/>
          <w:sz w:val="21"/>
        </w:rPr>
      </w:pPr>
    </w:p>
    <w:p w14:paraId="34FE2EEF">
      <w:pPr>
        <w:spacing w:before="178"/>
        <w:ind w:left="420" w:right="0" w:firstLine="0"/>
        <w:jc w:val="center"/>
        <w:rPr>
          <w:rFonts w:hint="eastAsia"/>
          <w:spacing w:val="-5"/>
          <w:sz w:val="21"/>
        </w:rPr>
      </w:pPr>
    </w:p>
    <w:p w14:paraId="7ADFD297">
      <w:pPr>
        <w:spacing w:before="178"/>
        <w:ind w:left="420" w:right="0" w:firstLine="0"/>
        <w:jc w:val="center"/>
        <w:rPr>
          <w:sz w:val="21"/>
        </w:rPr>
      </w:pPr>
      <w:r>
        <w:rPr>
          <w:rFonts w:hint="eastAsia"/>
          <w:spacing w:val="-5"/>
          <w:sz w:val="21"/>
        </w:rPr>
        <w:t>Figure 3 Device Manager</w:t>
      </w:r>
    </w:p>
    <w:p w14:paraId="29DBB389">
      <w:pPr>
        <w:spacing w:after="0"/>
        <w:jc w:val="center"/>
        <w:rPr>
          <w:sz w:val="21"/>
        </w:rPr>
        <w:sectPr>
          <w:pgSz w:w="11910" w:h="16840"/>
          <w:pgMar w:top="1380" w:right="992" w:bottom="1020" w:left="992" w:header="0" w:footer="835" w:gutter="0"/>
          <w:cols w:space="720" w:num="1"/>
        </w:sectPr>
      </w:pPr>
    </w:p>
    <w:p w14:paraId="1BE522B0">
      <w:pPr>
        <w:pStyle w:val="8"/>
        <w:numPr>
          <w:ilvl w:val="1"/>
          <w:numId w:val="1"/>
        </w:numPr>
        <w:tabs>
          <w:tab w:val="left" w:pos="565"/>
        </w:tabs>
        <w:spacing w:before="44" w:after="0" w:line="240" w:lineRule="auto"/>
        <w:ind w:left="565" w:right="0" w:hanging="480"/>
        <w:jc w:val="left"/>
        <w:rPr>
          <w:sz w:val="24"/>
        </w:rPr>
      </w:pPr>
      <w:bookmarkStart w:id="16" w:name="_bookmark8"/>
      <w:bookmarkEnd w:id="16"/>
      <w:bookmarkStart w:id="17" w:name="3.2 上位机显示软件安装"/>
      <w:bookmarkEnd w:id="17"/>
      <w:r>
        <w:rPr>
          <w:rFonts w:hint="eastAsia"/>
          <w:spacing w:val="-2"/>
          <w:sz w:val="24"/>
        </w:rPr>
        <w:t>Installation of Host Computer Display Software</w:t>
      </w:r>
    </w:p>
    <w:p w14:paraId="502B30BE">
      <w:pPr>
        <w:pStyle w:val="3"/>
        <w:spacing w:before="208" w:line="360" w:lineRule="auto"/>
        <w:ind w:left="85" w:right="81" w:firstLine="480"/>
      </w:pPr>
      <w:r>
        <w:rPr>
          <w:rFonts w:hint="eastAsia"/>
          <w:spacing w:val="-9"/>
        </w:rPr>
        <w:t>After decompressing the software package of the host computer using a decompression tool (such as WinRAR), open the folder of the host computer display software and locate the application "ms_ipc_rd_tool_V2.0.exe", as shown in Figure 4.</w:t>
      </w:r>
    </w:p>
    <w:p w14:paraId="30A76368">
      <w:pPr>
        <w:spacing w:before="153"/>
        <w:ind w:left="88" w:right="88" w:firstLine="0"/>
        <w:jc w:val="center"/>
        <w:rPr>
          <w:spacing w:val="-28"/>
          <w:sz w:val="21"/>
        </w:rPr>
      </w:pPr>
    </w:p>
    <w:p w14:paraId="6C813688">
      <w:pPr>
        <w:spacing w:before="153"/>
        <w:ind w:left="88" w:right="88" w:firstLine="0"/>
        <w:jc w:val="center"/>
        <w:rPr>
          <w:spacing w:val="-28"/>
          <w:sz w:val="21"/>
        </w:rPr>
      </w:pPr>
      <w:r>
        <w:drawing>
          <wp:anchor distT="0" distB="0" distL="0" distR="0" simplePos="0" relativeHeight="251663360" behindDoc="1" locked="0" layoutInCell="1" allowOverlap="1">
            <wp:simplePos x="0" y="0"/>
            <wp:positionH relativeFrom="page">
              <wp:posOffset>674370</wp:posOffset>
            </wp:positionH>
            <wp:positionV relativeFrom="paragraph">
              <wp:posOffset>17780</wp:posOffset>
            </wp:positionV>
            <wp:extent cx="6175375" cy="393827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175203" cy="3938016"/>
                    </a:xfrm>
                    <a:prstGeom prst="rect">
                      <a:avLst/>
                    </a:prstGeom>
                  </pic:spPr>
                </pic:pic>
              </a:graphicData>
            </a:graphic>
          </wp:anchor>
        </w:drawing>
      </w:r>
    </w:p>
    <w:p w14:paraId="5D6A1179">
      <w:pPr>
        <w:spacing w:before="153"/>
        <w:ind w:left="88" w:right="88" w:firstLine="0"/>
        <w:jc w:val="center"/>
        <w:rPr>
          <w:rFonts w:hint="eastAsia"/>
          <w:spacing w:val="-6"/>
          <w:sz w:val="21"/>
        </w:rPr>
      </w:pPr>
      <w:r>
        <w:rPr>
          <w:rFonts w:hint="eastAsia"/>
          <w:spacing w:val="-6"/>
          <w:sz w:val="21"/>
        </w:rPr>
        <w:t>Figure 4 "Upper Computer Software of Reverse Parking Radar" folder</w:t>
      </w:r>
    </w:p>
    <w:p w14:paraId="324C36E5">
      <w:pPr>
        <w:spacing w:before="153"/>
        <w:ind w:left="88" w:right="88" w:firstLine="0"/>
        <w:jc w:val="center"/>
        <w:rPr>
          <w:rFonts w:hint="eastAsia"/>
          <w:spacing w:val="-6"/>
          <w:sz w:val="21"/>
        </w:rPr>
      </w:pPr>
    </w:p>
    <w:p w14:paraId="2346C145">
      <w:pPr>
        <w:pStyle w:val="3"/>
        <w:spacing w:before="6"/>
        <w:rPr>
          <w:rFonts w:hint="eastAsia"/>
          <w:spacing w:val="-4"/>
        </w:rPr>
      </w:pPr>
      <w:r>
        <w:rPr>
          <w:rFonts w:hint="eastAsia"/>
          <w:spacing w:val="-4"/>
        </w:rPr>
        <w:t>Double-click to run "ms_ipc_rd_tool_V2.0.exe", and the upper computer software will display as shown in Figure 5.</w:t>
      </w:r>
    </w:p>
    <w:p w14:paraId="479B0147">
      <w:pPr>
        <w:pStyle w:val="3"/>
        <w:spacing w:before="6"/>
        <w:rPr>
          <w:sz w:val="12"/>
        </w:rPr>
      </w:pPr>
      <w:bookmarkStart w:id="48" w:name="_GoBack"/>
      <w:bookmarkEnd w:id="48"/>
      <w:r>
        <w:rPr>
          <w:sz w:val="12"/>
        </w:rPr>
        <w:drawing>
          <wp:anchor distT="0" distB="0" distL="0" distR="0" simplePos="0" relativeHeight="251664384" behindDoc="1" locked="0" layoutInCell="1" allowOverlap="1">
            <wp:simplePos x="0" y="0"/>
            <wp:positionH relativeFrom="page">
              <wp:posOffset>1313180</wp:posOffset>
            </wp:positionH>
            <wp:positionV relativeFrom="paragraph">
              <wp:posOffset>116840</wp:posOffset>
            </wp:positionV>
            <wp:extent cx="4964430" cy="318770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964196" cy="3187636"/>
                    </a:xfrm>
                    <a:prstGeom prst="rect">
                      <a:avLst/>
                    </a:prstGeom>
                  </pic:spPr>
                </pic:pic>
              </a:graphicData>
            </a:graphic>
          </wp:anchor>
        </w:drawing>
      </w:r>
    </w:p>
    <w:p w14:paraId="49265FC6">
      <w:pPr>
        <w:spacing w:after="0"/>
        <w:jc w:val="center"/>
        <w:rPr>
          <w:sz w:val="22"/>
          <w:szCs w:val="24"/>
        </w:rPr>
        <w:sectPr>
          <w:pgSz w:w="11910" w:h="16840"/>
          <w:pgMar w:top="1380" w:right="992" w:bottom="1020" w:left="992" w:header="0" w:footer="835" w:gutter="0"/>
          <w:cols w:space="720" w:num="1"/>
        </w:sectPr>
      </w:pPr>
      <w:r>
        <w:rPr>
          <w:rFonts w:hint="eastAsia"/>
          <w:spacing w:val="-27"/>
          <w:sz w:val="22"/>
          <w:szCs w:val="24"/>
        </w:rPr>
        <w:t>Figure 5: Main interface of the upper computer software after it is running</w:t>
      </w:r>
    </w:p>
    <w:p w14:paraId="012B34AE">
      <w:pPr>
        <w:pStyle w:val="8"/>
        <w:numPr>
          <w:ilvl w:val="0"/>
          <w:numId w:val="1"/>
        </w:numPr>
        <w:tabs>
          <w:tab w:val="left" w:pos="325"/>
        </w:tabs>
        <w:spacing w:before="44" w:after="0" w:line="240" w:lineRule="auto"/>
        <w:ind w:left="325" w:right="0" w:hanging="240"/>
        <w:jc w:val="left"/>
        <w:rPr>
          <w:sz w:val="24"/>
        </w:rPr>
      </w:pPr>
      <w:bookmarkStart w:id="18" w:name="_bookmark9"/>
      <w:bookmarkEnd w:id="18"/>
      <w:bookmarkStart w:id="19" w:name="4 雷达安装说明"/>
      <w:bookmarkEnd w:id="19"/>
      <w:r>
        <w:rPr>
          <w:rFonts w:hint="eastAsia"/>
          <w:spacing w:val="-2"/>
          <w:sz w:val="24"/>
        </w:rPr>
        <w:t>Radar Installation Instructions</w:t>
      </w:r>
    </w:p>
    <w:p w14:paraId="18982C7E">
      <w:pPr>
        <w:pStyle w:val="8"/>
        <w:numPr>
          <w:ilvl w:val="1"/>
          <w:numId w:val="1"/>
        </w:numPr>
        <w:tabs>
          <w:tab w:val="left" w:pos="565"/>
        </w:tabs>
        <w:spacing w:before="160" w:after="0" w:line="240" w:lineRule="auto"/>
        <w:ind w:left="565" w:right="0" w:hanging="480"/>
        <w:jc w:val="left"/>
        <w:rPr>
          <w:sz w:val="24"/>
        </w:rPr>
      </w:pPr>
      <w:bookmarkStart w:id="20" w:name="4.1 雷达模组外形/FOV"/>
      <w:bookmarkEnd w:id="20"/>
      <w:bookmarkStart w:id="21" w:name="_bookmark10"/>
      <w:bookmarkEnd w:id="21"/>
      <w:r>
        <w:rPr>
          <w:rFonts w:hint="eastAsia"/>
          <w:spacing w:val="-4"/>
          <w:sz w:val="24"/>
        </w:rPr>
        <w:t>Radar Module Shape/Field of View</w:t>
      </w:r>
    </w:p>
    <w:p w14:paraId="41762083">
      <w:pPr>
        <w:pStyle w:val="3"/>
        <w:spacing w:before="3" w:line="360" w:lineRule="auto"/>
        <w:ind w:left="85" w:right="83" w:firstLine="482"/>
        <w:rPr>
          <w:rFonts w:hint="eastAsia"/>
          <w:spacing w:val="-2"/>
        </w:rPr>
      </w:pPr>
      <w:r>
        <w:rPr>
          <w:rFonts w:hint="eastAsia"/>
          <w:spacing w:val="-2"/>
        </w:rPr>
        <w:t>This set of Demo adds the angle measurement function, which is used to obtain the pitch (vertical) angle information. Therefore, when installing the radar, attention should be paid to the direction of the radar module. The radar can be installed horizontally or slightly tilted upwards according to the vehicle model. As shown in Figure 6.</w:t>
      </w:r>
    </w:p>
    <w:p w14:paraId="4D0B4C05">
      <w:pPr>
        <w:pStyle w:val="3"/>
        <w:spacing w:before="3" w:line="360" w:lineRule="auto"/>
        <w:ind w:left="85" w:right="83" w:firstLine="482"/>
      </w:pPr>
      <w:r>
        <w:rPr>
          <w:rFonts w:hint="eastAsia"/>
          <w:spacing w:val="-2"/>
        </w:rPr>
        <w:t>Note: It is recommended that the angle measurement be used for ground interference elimination. The radar can also be rotated 90 degrees, and the angle measurement is used to distinguish the left and right of the target, but ground interference cannot be completely filtered out, and false alarms may occur.</w:t>
      </w:r>
    </w:p>
    <w:p w14:paraId="6D60B356">
      <w:pPr>
        <w:pStyle w:val="3"/>
        <w:spacing w:before="5"/>
        <w:rPr>
          <w:sz w:val="9"/>
        </w:rPr>
      </w:pPr>
      <w:r>
        <w:rPr>
          <w:sz w:val="9"/>
        </w:rPr>
        <w:drawing>
          <wp:anchor distT="0" distB="0" distL="0" distR="0" simplePos="0" relativeHeight="251665408" behindDoc="1" locked="0" layoutInCell="1" allowOverlap="1">
            <wp:simplePos x="0" y="0"/>
            <wp:positionH relativeFrom="page">
              <wp:posOffset>2090420</wp:posOffset>
            </wp:positionH>
            <wp:positionV relativeFrom="paragraph">
              <wp:posOffset>91440</wp:posOffset>
            </wp:positionV>
            <wp:extent cx="3392805" cy="143891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392716" cy="1438655"/>
                    </a:xfrm>
                    <a:prstGeom prst="rect">
                      <a:avLst/>
                    </a:prstGeom>
                  </pic:spPr>
                </pic:pic>
              </a:graphicData>
            </a:graphic>
          </wp:anchor>
        </w:drawing>
      </w:r>
    </w:p>
    <w:p w14:paraId="20C4843B">
      <w:pPr>
        <w:spacing w:before="237"/>
        <w:ind w:right="0"/>
        <w:jc w:val="center"/>
        <w:rPr>
          <w:sz w:val="21"/>
        </w:rPr>
      </w:pPr>
      <w:r>
        <w:rPr>
          <w:rFonts w:hint="eastAsia"/>
          <w:spacing w:val="-5"/>
          <w:sz w:val="21"/>
        </w:rPr>
        <w:t>Figure 6: Schematic diagram of the shape of the radar module</w:t>
      </w:r>
    </w:p>
    <w:p w14:paraId="26423613">
      <w:pPr>
        <w:pStyle w:val="3"/>
        <w:spacing w:before="152" w:line="360" w:lineRule="auto"/>
        <w:ind w:left="85" w:right="81" w:firstLine="480"/>
      </w:pPr>
      <w:r>
        <w:rPr>
          <w:rFonts w:hint="eastAsia"/>
          <w:spacing w:val="-2"/>
        </w:rPr>
        <w:t>The front of the radar module is the antenna surface. There should be no obstructions or any items (especially metal objects) attached to it. Otherwise, it will affect the radar's FOV detection and angle measurement performance.</w:t>
      </w:r>
    </w:p>
    <w:p w14:paraId="63DFCFA2">
      <w:pPr>
        <w:pStyle w:val="3"/>
        <w:spacing w:line="307" w:lineRule="exact"/>
        <w:ind w:left="565"/>
      </w:pPr>
      <w:r>
        <w:drawing>
          <wp:anchor distT="0" distB="0" distL="0" distR="0" simplePos="0" relativeHeight="251665408" behindDoc="1" locked="0" layoutInCell="1" allowOverlap="1">
            <wp:simplePos x="0" y="0"/>
            <wp:positionH relativeFrom="page">
              <wp:posOffset>683895</wp:posOffset>
            </wp:positionH>
            <wp:positionV relativeFrom="paragraph">
              <wp:posOffset>216535</wp:posOffset>
            </wp:positionV>
            <wp:extent cx="6210300" cy="236220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210165" cy="2362200"/>
                    </a:xfrm>
                    <a:prstGeom prst="rect">
                      <a:avLst/>
                    </a:prstGeom>
                  </pic:spPr>
                </pic:pic>
              </a:graphicData>
            </a:graphic>
          </wp:anchor>
        </w:drawing>
      </w:r>
      <w:r>
        <w:rPr>
          <w:rFonts w:hint="eastAsia"/>
          <w:spacing w:val="-18"/>
        </w:rPr>
        <w:t>The FOV performance of the radar module is shown in Figure 7.</w:t>
      </w:r>
    </w:p>
    <w:p w14:paraId="10E35C82">
      <w:pPr>
        <w:spacing w:before="138"/>
        <w:ind w:right="0"/>
        <w:jc w:val="center"/>
        <w:rPr>
          <w:rFonts w:hint="eastAsia"/>
          <w:spacing w:val="-10"/>
          <w:sz w:val="21"/>
        </w:rPr>
      </w:pPr>
      <w:r>
        <w:rPr>
          <w:rFonts w:hint="eastAsia"/>
          <w:spacing w:val="-10"/>
          <w:sz w:val="21"/>
        </w:rPr>
        <w:t>Figure 7 FOV of the radar module (left: azimuth dimension, right: elevation dimension)</w:t>
      </w:r>
    </w:p>
    <w:p w14:paraId="3638B0E0">
      <w:pPr>
        <w:spacing w:before="138"/>
        <w:ind w:right="0"/>
        <w:jc w:val="center"/>
        <w:rPr>
          <w:rFonts w:hint="eastAsia"/>
          <w:spacing w:val="-10"/>
          <w:sz w:val="21"/>
        </w:rPr>
      </w:pPr>
    </w:p>
    <w:p w14:paraId="0E0432FD">
      <w:pPr>
        <w:pStyle w:val="8"/>
        <w:numPr>
          <w:ilvl w:val="1"/>
          <w:numId w:val="1"/>
        </w:numPr>
        <w:tabs>
          <w:tab w:val="left" w:pos="565"/>
        </w:tabs>
        <w:spacing w:before="107" w:after="0" w:line="240" w:lineRule="auto"/>
        <w:ind w:left="565" w:right="0" w:hanging="480"/>
        <w:jc w:val="left"/>
        <w:rPr>
          <w:sz w:val="24"/>
        </w:rPr>
      </w:pPr>
      <w:bookmarkStart w:id="22" w:name="4.2 安装说明"/>
      <w:bookmarkEnd w:id="22"/>
      <w:bookmarkStart w:id="23" w:name="_bookmark11"/>
      <w:bookmarkEnd w:id="23"/>
      <w:r>
        <w:rPr>
          <w:rFonts w:hint="eastAsia"/>
          <w:spacing w:val="-3"/>
          <w:sz w:val="24"/>
        </w:rPr>
        <w:t>Installation Instructions</w:t>
      </w:r>
    </w:p>
    <w:p w14:paraId="53B741C8">
      <w:pPr>
        <w:pStyle w:val="8"/>
        <w:numPr>
          <w:numId w:val="0"/>
        </w:numPr>
        <w:tabs>
          <w:tab w:val="left" w:pos="987"/>
        </w:tabs>
        <w:spacing w:before="153" w:after="0" w:line="240" w:lineRule="auto"/>
        <w:ind w:right="0" w:rightChars="0"/>
        <w:jc w:val="left"/>
        <w:rPr>
          <w:rFonts w:hint="eastAsia"/>
          <w:sz w:val="24"/>
        </w:rPr>
      </w:pPr>
      <w:r>
        <w:rPr>
          <w:rFonts w:hint="eastAsia"/>
          <w:sz w:val="24"/>
        </w:rPr>
        <w:t>Just fix the radar module to the installation position using double-sided adhesive tape or the housing. When installing the radar in the rear of the vehicle for use, please note:</w:t>
      </w:r>
    </w:p>
    <w:p w14:paraId="487DE0EC">
      <w:pPr>
        <w:pStyle w:val="8"/>
        <w:numPr>
          <w:ilvl w:val="0"/>
          <w:numId w:val="2"/>
        </w:numPr>
        <w:tabs>
          <w:tab w:val="left" w:pos="987"/>
        </w:tabs>
        <w:spacing w:before="153" w:after="0" w:line="240" w:lineRule="auto"/>
        <w:ind w:left="987" w:right="0" w:hanging="419"/>
        <w:jc w:val="left"/>
        <w:rPr>
          <w:rFonts w:hint="eastAsia"/>
          <w:sz w:val="24"/>
        </w:rPr>
      </w:pPr>
      <w:r>
        <w:rPr>
          <w:rFonts w:hint="eastAsia"/>
          <w:sz w:val="24"/>
        </w:rPr>
        <w:t>Place the radar flat, or tilt it slightly upwards according to the vehicle model;</w:t>
      </w:r>
    </w:p>
    <w:p w14:paraId="04BF461F">
      <w:pPr>
        <w:pStyle w:val="8"/>
        <w:numPr>
          <w:ilvl w:val="0"/>
          <w:numId w:val="2"/>
        </w:numPr>
        <w:tabs>
          <w:tab w:val="left" w:pos="987"/>
        </w:tabs>
        <w:spacing w:before="153" w:after="0" w:line="240" w:lineRule="auto"/>
        <w:ind w:left="987" w:right="0" w:hanging="419"/>
        <w:jc w:val="left"/>
        <w:rPr>
          <w:sz w:val="24"/>
        </w:rPr>
      </w:pPr>
      <w:r>
        <w:rPr>
          <w:rFonts w:hint="eastAsia"/>
          <w:sz w:val="24"/>
        </w:rPr>
        <w:t>The installation height (distance from the ground) should be &gt; 0.45m;</w:t>
      </w:r>
    </w:p>
    <w:p w14:paraId="4E0483A2">
      <w:pPr>
        <w:pStyle w:val="8"/>
        <w:numPr>
          <w:ilvl w:val="0"/>
          <w:numId w:val="2"/>
        </w:numPr>
        <w:tabs>
          <w:tab w:val="left" w:pos="987"/>
        </w:tabs>
        <w:spacing w:before="153" w:after="0" w:line="240" w:lineRule="auto"/>
        <w:ind w:left="987" w:right="0" w:hanging="419"/>
        <w:jc w:val="left"/>
        <w:rPr>
          <w:sz w:val="24"/>
        </w:rPr>
        <w:sectPr>
          <w:pgSz w:w="11910" w:h="16840"/>
          <w:pgMar w:top="1380" w:right="992" w:bottom="1020" w:left="992" w:header="0" w:footer="835" w:gutter="0"/>
          <w:cols w:space="720" w:num="1"/>
        </w:sectPr>
      </w:pPr>
      <w:r>
        <w:rPr>
          <w:rFonts w:hint="eastAsia"/>
          <w:sz w:val="24"/>
        </w:rPr>
        <w:t>The radar needs to be rotated 90° so that Rx1 and Rx2 are perpendicular to the ground, for angle measurement in the elevation dimension, as shown in Figure 6.</w:t>
      </w:r>
    </w:p>
    <w:p w14:paraId="783511BF">
      <w:pPr>
        <w:pStyle w:val="8"/>
        <w:numPr>
          <w:ilvl w:val="0"/>
          <w:numId w:val="1"/>
        </w:numPr>
        <w:tabs>
          <w:tab w:val="left" w:pos="325"/>
        </w:tabs>
        <w:spacing w:before="44" w:after="0" w:line="240" w:lineRule="auto"/>
        <w:ind w:left="325" w:right="0" w:hanging="240"/>
        <w:jc w:val="left"/>
        <w:rPr>
          <w:sz w:val="24"/>
        </w:rPr>
      </w:pPr>
      <w:bookmarkStart w:id="24" w:name="5 上位机显示软件使用"/>
      <w:bookmarkEnd w:id="24"/>
      <w:bookmarkStart w:id="25" w:name="_bookmark12"/>
      <w:bookmarkEnd w:id="25"/>
      <w:r>
        <w:rPr>
          <w:rFonts w:hint="eastAsia"/>
          <w:spacing w:val="-2"/>
          <w:sz w:val="24"/>
        </w:rPr>
        <w:t>Upper Computer Display Software Usage</w:t>
      </w:r>
    </w:p>
    <w:p w14:paraId="4260ED05">
      <w:pPr>
        <w:pStyle w:val="3"/>
        <w:spacing w:before="208"/>
        <w:ind w:left="565"/>
      </w:pPr>
      <w:r>
        <w:rPr>
          <w:rFonts w:hint="eastAsia"/>
          <w:spacing w:val="-1"/>
        </w:rPr>
        <w:t>This section describes the usage of the upper computer software.</w:t>
      </w:r>
    </w:p>
    <w:p w14:paraId="5AC7AE7B">
      <w:pPr>
        <w:pStyle w:val="8"/>
        <w:numPr>
          <w:ilvl w:val="1"/>
          <w:numId w:val="1"/>
        </w:numPr>
        <w:tabs>
          <w:tab w:val="left" w:pos="565"/>
        </w:tabs>
        <w:spacing w:before="106" w:after="0" w:line="240" w:lineRule="auto"/>
        <w:ind w:left="565" w:right="0" w:hanging="480"/>
        <w:jc w:val="left"/>
        <w:rPr>
          <w:sz w:val="24"/>
        </w:rPr>
      </w:pPr>
      <w:bookmarkStart w:id="26" w:name="_bookmark13"/>
      <w:bookmarkEnd w:id="26"/>
      <w:bookmarkStart w:id="27" w:name="5.1 界面显示说明"/>
      <w:bookmarkEnd w:id="27"/>
      <w:r>
        <w:rPr>
          <w:rFonts w:hint="eastAsia"/>
          <w:spacing w:val="-2"/>
          <w:sz w:val="24"/>
        </w:rPr>
        <w:t>Interface Display Instructions</w:t>
      </w:r>
    </w:p>
    <w:p w14:paraId="6280A6D1">
      <w:pPr>
        <w:pStyle w:val="8"/>
        <w:numPr>
          <w:ilvl w:val="2"/>
          <w:numId w:val="1"/>
        </w:numPr>
        <w:tabs>
          <w:tab w:val="left" w:pos="805"/>
        </w:tabs>
        <w:spacing w:before="160" w:after="0" w:line="240" w:lineRule="auto"/>
        <w:ind w:left="805" w:right="0" w:hanging="720"/>
        <w:jc w:val="left"/>
        <w:rPr>
          <w:sz w:val="24"/>
        </w:rPr>
      </w:pPr>
      <w:bookmarkStart w:id="28" w:name="5.1.1 主界面"/>
      <w:bookmarkEnd w:id="28"/>
      <w:bookmarkStart w:id="29" w:name="_bookmark14"/>
      <w:bookmarkEnd w:id="29"/>
      <w:r>
        <w:rPr>
          <w:rFonts w:hint="eastAsia"/>
          <w:spacing w:val="-4"/>
          <w:sz w:val="24"/>
        </w:rPr>
        <w:t>Main Interface</w:t>
      </w:r>
    </w:p>
    <w:p w14:paraId="2ED48F6A">
      <w:pPr>
        <w:pStyle w:val="3"/>
        <w:spacing w:before="153"/>
        <w:ind w:left="85" w:firstLine="612" w:firstLineChars="300"/>
        <w:rPr>
          <w:spacing w:val="-18"/>
        </w:rPr>
      </w:pPr>
      <w:r>
        <w:rPr>
          <w:rFonts w:hint="eastAsia"/>
          <w:spacing w:val="-18"/>
        </w:rPr>
        <w:t>After completing the deployment of the upper computer software as described in Chapter 3.2, run the "Cheng_Tech_Tool_V1.3.0.exe" program. The upper computer display software interface is shown in Figure 8.</w:t>
      </w:r>
    </w:p>
    <w:p w14:paraId="064BEED6">
      <w:pPr>
        <w:pStyle w:val="3"/>
        <w:spacing w:before="153"/>
        <w:ind w:left="85"/>
        <w:rPr>
          <w:spacing w:val="-18"/>
        </w:rPr>
      </w:pPr>
    </w:p>
    <w:p w14:paraId="6CA24D66">
      <w:pPr>
        <w:pStyle w:val="3"/>
        <w:spacing w:before="153"/>
        <w:ind w:left="85"/>
        <w:rPr>
          <w:spacing w:val="-18"/>
        </w:rPr>
      </w:pPr>
      <w:r>
        <w:drawing>
          <wp:anchor distT="0" distB="0" distL="0" distR="0" simplePos="0" relativeHeight="251666432" behindDoc="1" locked="0" layoutInCell="1" allowOverlap="1">
            <wp:simplePos x="0" y="0"/>
            <wp:positionH relativeFrom="page">
              <wp:posOffset>1208405</wp:posOffset>
            </wp:positionH>
            <wp:positionV relativeFrom="paragraph">
              <wp:posOffset>1905</wp:posOffset>
            </wp:positionV>
            <wp:extent cx="5135245" cy="329755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135377" cy="3297554"/>
                    </a:xfrm>
                    <a:prstGeom prst="rect">
                      <a:avLst/>
                    </a:prstGeom>
                  </pic:spPr>
                </pic:pic>
              </a:graphicData>
            </a:graphic>
          </wp:anchor>
        </w:drawing>
      </w:r>
    </w:p>
    <w:p w14:paraId="55EA63A6">
      <w:pPr>
        <w:spacing w:before="258"/>
        <w:ind w:left="3520" w:right="3520" w:firstLine="0"/>
        <w:jc w:val="center"/>
        <w:rPr>
          <w:sz w:val="21"/>
        </w:rPr>
      </w:pPr>
      <w:r>
        <w:rPr>
          <w:rFonts w:hint="eastAsia"/>
          <w:spacing w:val="-4"/>
          <w:sz w:val="21"/>
        </w:rPr>
        <w:t>Figure 8 Main Interface</w:t>
      </w:r>
    </w:p>
    <w:p w14:paraId="107D6EA9">
      <w:pPr>
        <w:pStyle w:val="3"/>
        <w:spacing w:before="159"/>
        <w:ind w:left="565"/>
        <w:rPr>
          <w:spacing w:val="-10"/>
        </w:rPr>
      </w:pPr>
    </w:p>
    <w:p w14:paraId="79095CFC">
      <w:pPr>
        <w:pStyle w:val="3"/>
        <w:spacing w:before="159"/>
        <w:ind w:left="565"/>
      </w:pPr>
      <w:r>
        <w:rPr>
          <w:rFonts w:hint="eastAsia"/>
          <w:spacing w:val="-18"/>
        </w:rPr>
        <w:t>There are 5 display areas in the interface, and the contents and purposes of each area are shown in Table 3 as follows.</w:t>
      </w:r>
    </w:p>
    <w:p w14:paraId="63261506">
      <w:pPr>
        <w:spacing w:before="124"/>
        <w:ind w:left="-1" w:right="2" w:firstLine="0"/>
        <w:jc w:val="center"/>
        <w:rPr>
          <w:sz w:val="21"/>
        </w:rPr>
      </w:pPr>
      <w:r>
        <w:rPr>
          <w:rFonts w:hint="eastAsia"/>
          <w:spacing w:val="-5"/>
          <w:sz w:val="21"/>
        </w:rPr>
        <w:t>Table 3 Display Contents and Purposes of the Main Interface</w:t>
      </w:r>
    </w:p>
    <w:p w14:paraId="19E8CE5B">
      <w:pPr>
        <w:pStyle w:val="3"/>
        <w:spacing w:before="9"/>
        <w:rPr>
          <w:sz w:val="7"/>
        </w:rPr>
      </w:pPr>
    </w:p>
    <w:tbl>
      <w:tblPr>
        <w:tblStyle w:val="5"/>
        <w:tblW w:w="5043"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13"/>
        <w:gridCol w:w="1733"/>
        <w:gridCol w:w="6996"/>
      </w:tblGrid>
      <w:tr w14:paraId="262A7D5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5" w:hRule="atLeast"/>
        </w:trPr>
        <w:tc>
          <w:tcPr>
            <w:tcW w:w="653" w:type="pct"/>
            <w:tcBorders>
              <w:bottom w:val="single" w:color="000000" w:sz="4" w:space="0"/>
              <w:right w:val="single" w:color="000000" w:sz="4" w:space="0"/>
            </w:tcBorders>
          </w:tcPr>
          <w:p w14:paraId="601D24E5">
            <w:pPr>
              <w:pStyle w:val="9"/>
              <w:spacing w:before="99"/>
              <w:ind w:left="18" w:right="2"/>
              <w:jc w:val="center"/>
              <w:rPr>
                <w:sz w:val="20"/>
              </w:rPr>
            </w:pPr>
            <w:r>
              <w:rPr>
                <w:rFonts w:hint="eastAsia"/>
                <w:spacing w:val="-6"/>
                <w:sz w:val="20"/>
              </w:rPr>
              <w:t>Serial Number</w:t>
            </w:r>
          </w:p>
        </w:tc>
        <w:tc>
          <w:tcPr>
            <w:tcW w:w="862" w:type="pct"/>
            <w:tcBorders>
              <w:left w:val="single" w:color="000000" w:sz="4" w:space="0"/>
              <w:bottom w:val="single" w:color="000000" w:sz="4" w:space="0"/>
              <w:right w:val="single" w:color="000000" w:sz="4" w:space="0"/>
            </w:tcBorders>
          </w:tcPr>
          <w:p w14:paraId="03831BB3">
            <w:pPr>
              <w:pStyle w:val="9"/>
              <w:spacing w:before="99"/>
              <w:ind w:left="23"/>
              <w:jc w:val="center"/>
              <w:rPr>
                <w:sz w:val="20"/>
              </w:rPr>
            </w:pPr>
            <w:r>
              <w:rPr>
                <w:rFonts w:hint="eastAsia"/>
                <w:spacing w:val="-6"/>
                <w:sz w:val="20"/>
              </w:rPr>
              <w:t>Content</w:t>
            </w:r>
          </w:p>
        </w:tc>
        <w:tc>
          <w:tcPr>
            <w:tcW w:w="3483" w:type="pct"/>
            <w:tcBorders>
              <w:left w:val="single" w:color="000000" w:sz="4" w:space="0"/>
              <w:bottom w:val="single" w:color="000000" w:sz="4" w:space="0"/>
            </w:tcBorders>
          </w:tcPr>
          <w:p w14:paraId="2508D67F">
            <w:pPr>
              <w:pStyle w:val="9"/>
              <w:spacing w:before="99"/>
              <w:ind w:left="34"/>
              <w:jc w:val="center"/>
              <w:rPr>
                <w:sz w:val="20"/>
              </w:rPr>
            </w:pPr>
            <w:r>
              <w:rPr>
                <w:rFonts w:hint="eastAsia"/>
                <w:spacing w:val="-6"/>
                <w:sz w:val="20"/>
              </w:rPr>
              <w:t>Explanation</w:t>
            </w:r>
          </w:p>
        </w:tc>
      </w:tr>
      <w:tr w14:paraId="7BD6CF0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189" w:hRule="atLeast"/>
        </w:trPr>
        <w:tc>
          <w:tcPr>
            <w:tcW w:w="653" w:type="pct"/>
            <w:tcBorders>
              <w:top w:val="single" w:color="000000" w:sz="4" w:space="0"/>
              <w:bottom w:val="single" w:color="000000" w:sz="4" w:space="0"/>
              <w:right w:val="single" w:color="000000" w:sz="4" w:space="0"/>
            </w:tcBorders>
          </w:tcPr>
          <w:p w14:paraId="3A30CD52">
            <w:pPr>
              <w:pStyle w:val="9"/>
              <w:spacing w:before="210"/>
              <w:rPr>
                <w:sz w:val="20"/>
              </w:rPr>
            </w:pPr>
          </w:p>
          <w:p w14:paraId="301042BE">
            <w:pPr>
              <w:pStyle w:val="9"/>
              <w:ind w:left="18"/>
              <w:jc w:val="center"/>
              <w:rPr>
                <w:sz w:val="20"/>
              </w:rPr>
            </w:pPr>
            <w:r>
              <w:rPr>
                <w:spacing w:val="-10"/>
                <w:sz w:val="20"/>
              </w:rPr>
              <w:t>①</w:t>
            </w:r>
          </w:p>
        </w:tc>
        <w:tc>
          <w:tcPr>
            <w:tcW w:w="862" w:type="pct"/>
            <w:tcBorders>
              <w:top w:val="single" w:color="000000" w:sz="4" w:space="0"/>
              <w:left w:val="single" w:color="000000" w:sz="4" w:space="0"/>
              <w:bottom w:val="single" w:color="000000" w:sz="4" w:space="0"/>
              <w:right w:val="single" w:color="000000" w:sz="4" w:space="0"/>
            </w:tcBorders>
          </w:tcPr>
          <w:p w14:paraId="1C24D561">
            <w:pPr>
              <w:pStyle w:val="9"/>
              <w:spacing w:before="210"/>
              <w:rPr>
                <w:sz w:val="20"/>
              </w:rPr>
            </w:pPr>
          </w:p>
          <w:p w14:paraId="36BAA2D8">
            <w:pPr>
              <w:pStyle w:val="9"/>
              <w:ind w:left="117"/>
              <w:rPr>
                <w:sz w:val="20"/>
              </w:rPr>
            </w:pPr>
            <w:r>
              <w:rPr>
                <w:rFonts w:hint="eastAsia"/>
                <w:spacing w:val="-4"/>
                <w:sz w:val="20"/>
              </w:rPr>
              <w:t xml:space="preserve">Port Selection Area </w:t>
            </w:r>
          </w:p>
        </w:tc>
        <w:tc>
          <w:tcPr>
            <w:tcW w:w="3483" w:type="pct"/>
            <w:tcBorders>
              <w:top w:val="single" w:color="000000" w:sz="4" w:space="0"/>
              <w:left w:val="single" w:color="000000" w:sz="4" w:space="0"/>
              <w:bottom w:val="single" w:color="000000" w:sz="4" w:space="0"/>
            </w:tcBorders>
            <w:vAlign w:val="center"/>
          </w:tcPr>
          <w:p w14:paraId="2492C82B">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right="0" w:firstLine="368" w:firstLineChars="200"/>
              <w:jc w:val="both"/>
              <w:textAlignment w:val="auto"/>
              <w:rPr>
                <w:sz w:val="20"/>
              </w:rPr>
            </w:pPr>
            <w:r>
              <w:rPr>
                <w:rFonts w:hint="eastAsia"/>
                <w:spacing w:val="-8"/>
                <w:sz w:val="20"/>
              </w:rPr>
              <w:t>According to the serial port, select the</w:t>
            </w:r>
            <w:r>
              <w:rPr>
                <w:rFonts w:hint="eastAsia"/>
                <w:spacing w:val="-8"/>
                <w:sz w:val="20"/>
                <w:lang w:val="en-US" w:eastAsia="zh-CN"/>
              </w:rPr>
              <w:t xml:space="preserve"> </w:t>
            </w:r>
            <w:r>
              <w:rPr>
                <w:rFonts w:hint="eastAsia"/>
                <w:spacing w:val="-8"/>
                <w:sz w:val="20"/>
              </w:rPr>
              <w:t>corresponding COM port to open: Open the COM connection for communication; Clear the screen: Clear the data displayed on the screen</w:t>
            </w:r>
          </w:p>
        </w:tc>
      </w:tr>
      <w:tr w14:paraId="264D134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701" w:hRule="atLeast"/>
        </w:trPr>
        <w:tc>
          <w:tcPr>
            <w:tcW w:w="653" w:type="pct"/>
            <w:tcBorders>
              <w:top w:val="single" w:color="000000" w:sz="4" w:space="0"/>
              <w:bottom w:val="single" w:color="000000" w:sz="4" w:space="0"/>
              <w:right w:val="single" w:color="000000" w:sz="4" w:space="0"/>
            </w:tcBorders>
          </w:tcPr>
          <w:p w14:paraId="5BEE7EDF">
            <w:pPr>
              <w:pStyle w:val="9"/>
              <w:rPr>
                <w:sz w:val="20"/>
              </w:rPr>
            </w:pPr>
          </w:p>
          <w:p w14:paraId="3C66D7B7">
            <w:pPr>
              <w:pStyle w:val="9"/>
              <w:spacing w:before="211"/>
              <w:rPr>
                <w:sz w:val="20"/>
              </w:rPr>
            </w:pPr>
          </w:p>
          <w:p w14:paraId="5BB88675">
            <w:pPr>
              <w:pStyle w:val="9"/>
              <w:ind w:left="18"/>
              <w:jc w:val="center"/>
              <w:rPr>
                <w:sz w:val="20"/>
              </w:rPr>
            </w:pPr>
            <w:r>
              <w:rPr>
                <w:spacing w:val="-10"/>
                <w:sz w:val="20"/>
              </w:rPr>
              <w:t>②</w:t>
            </w:r>
          </w:p>
        </w:tc>
        <w:tc>
          <w:tcPr>
            <w:tcW w:w="862" w:type="pct"/>
            <w:tcBorders>
              <w:top w:val="single" w:color="000000" w:sz="4" w:space="0"/>
              <w:left w:val="single" w:color="000000" w:sz="4" w:space="0"/>
              <w:bottom w:val="single" w:color="000000" w:sz="4" w:space="0"/>
              <w:right w:val="single" w:color="000000" w:sz="4" w:space="0"/>
            </w:tcBorders>
          </w:tcPr>
          <w:p w14:paraId="5A61E8AE">
            <w:pPr>
              <w:pStyle w:val="9"/>
              <w:rPr>
                <w:sz w:val="20"/>
              </w:rPr>
            </w:pPr>
          </w:p>
          <w:p w14:paraId="0ADE1EED">
            <w:pPr>
              <w:pStyle w:val="9"/>
              <w:spacing w:before="211"/>
              <w:rPr>
                <w:sz w:val="20"/>
              </w:rPr>
            </w:pPr>
          </w:p>
          <w:p w14:paraId="3F79A4CF">
            <w:pPr>
              <w:pStyle w:val="9"/>
              <w:ind w:left="117"/>
              <w:rPr>
                <w:sz w:val="20"/>
              </w:rPr>
            </w:pPr>
            <w:r>
              <w:rPr>
                <w:rFonts w:hint="eastAsia"/>
                <w:spacing w:val="-4"/>
                <w:sz w:val="20"/>
              </w:rPr>
              <w:t xml:space="preserve">Status indicator area </w:t>
            </w:r>
          </w:p>
        </w:tc>
        <w:tc>
          <w:tcPr>
            <w:tcW w:w="3483" w:type="pct"/>
            <w:tcBorders>
              <w:top w:val="single" w:color="000000" w:sz="4" w:space="0"/>
              <w:left w:val="single" w:color="000000" w:sz="4" w:space="0"/>
              <w:bottom w:val="single" w:color="000000" w:sz="4" w:space="0"/>
            </w:tcBorders>
            <w:shd w:val="clear"/>
            <w:vAlign w:val="top"/>
          </w:tcPr>
          <w:p w14:paraId="70C73881">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leftChars="0" w:right="0" w:rightChars="0" w:firstLine="368" w:firstLineChars="200"/>
              <w:jc w:val="both"/>
              <w:textAlignment w:val="auto"/>
              <w:rPr>
                <w:rFonts w:hint="eastAsia"/>
                <w:spacing w:val="-8"/>
                <w:sz w:val="20"/>
              </w:rPr>
            </w:pPr>
            <w:r>
              <w:rPr>
                <w:rFonts w:hint="eastAsia"/>
                <w:spacing w:val="-8"/>
                <w:sz w:val="20"/>
              </w:rPr>
              <w:t>Target distance: When no target is detected, it displays "---"; when a target is detected, the target distance is displayed in real time (for multiple targets, only the distance of the nearest target is shown), in units of "meters"; Working status: "Not running" or "Running";</w:t>
            </w:r>
          </w:p>
          <w:p w14:paraId="73AE3840">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leftChars="0" w:right="0" w:rightChars="0" w:firstLine="368" w:firstLineChars="200"/>
              <w:jc w:val="both"/>
              <w:textAlignment w:val="auto"/>
              <w:rPr>
                <w:rFonts w:hint="eastAsia" w:ascii="宋体" w:hAnsi="宋体" w:eastAsia="宋体" w:cs="宋体"/>
                <w:spacing w:val="-8"/>
                <w:sz w:val="20"/>
                <w:szCs w:val="22"/>
                <w:lang w:val="en-US" w:eastAsia="zh-CN" w:bidi="ar-SA"/>
              </w:rPr>
            </w:pPr>
            <w:r>
              <w:rPr>
                <w:rFonts w:hint="eastAsia"/>
                <w:spacing w:val="-8"/>
                <w:sz w:val="20"/>
              </w:rPr>
              <w:t>Status indication: When there is no alarm, it shows green; when there is an alarm, it shows red.</w:t>
            </w:r>
          </w:p>
        </w:tc>
      </w:tr>
      <w:tr w14:paraId="051E32F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415" w:hRule="atLeast"/>
        </w:trPr>
        <w:tc>
          <w:tcPr>
            <w:tcW w:w="653" w:type="pct"/>
            <w:tcBorders>
              <w:top w:val="single" w:color="000000" w:sz="4" w:space="0"/>
              <w:right w:val="single" w:color="000000" w:sz="4" w:space="0"/>
            </w:tcBorders>
          </w:tcPr>
          <w:p w14:paraId="19EECA3A">
            <w:pPr>
              <w:pStyle w:val="9"/>
              <w:rPr>
                <w:sz w:val="20"/>
              </w:rPr>
            </w:pPr>
          </w:p>
          <w:p w14:paraId="15879513">
            <w:pPr>
              <w:pStyle w:val="9"/>
              <w:spacing w:before="69"/>
              <w:rPr>
                <w:sz w:val="20"/>
              </w:rPr>
            </w:pPr>
          </w:p>
          <w:p w14:paraId="70FDBDA2">
            <w:pPr>
              <w:pStyle w:val="9"/>
              <w:ind w:left="18"/>
              <w:jc w:val="center"/>
              <w:rPr>
                <w:sz w:val="20"/>
              </w:rPr>
            </w:pPr>
            <w:r>
              <w:rPr>
                <w:spacing w:val="-10"/>
                <w:sz w:val="20"/>
              </w:rPr>
              <w:t>③</w:t>
            </w:r>
          </w:p>
        </w:tc>
        <w:tc>
          <w:tcPr>
            <w:tcW w:w="862" w:type="pct"/>
            <w:tcBorders>
              <w:top w:val="single" w:color="000000" w:sz="4" w:space="0"/>
              <w:left w:val="single" w:color="000000" w:sz="4" w:space="0"/>
              <w:right w:val="single" w:color="000000" w:sz="4" w:space="0"/>
            </w:tcBorders>
          </w:tcPr>
          <w:p w14:paraId="3799583D">
            <w:pPr>
              <w:pStyle w:val="9"/>
              <w:rPr>
                <w:sz w:val="20"/>
              </w:rPr>
            </w:pPr>
          </w:p>
          <w:p w14:paraId="011A570E">
            <w:pPr>
              <w:pStyle w:val="9"/>
              <w:spacing w:before="69"/>
              <w:rPr>
                <w:sz w:val="20"/>
              </w:rPr>
            </w:pPr>
          </w:p>
          <w:p w14:paraId="4617895D">
            <w:pPr>
              <w:pStyle w:val="9"/>
              <w:ind w:left="117"/>
              <w:rPr>
                <w:sz w:val="20"/>
              </w:rPr>
            </w:pPr>
            <w:r>
              <w:rPr>
                <w:rFonts w:hint="eastAsia"/>
                <w:spacing w:val="-12"/>
                <w:sz w:val="20"/>
              </w:rPr>
              <w:t>Target distance R display area</w:t>
            </w:r>
          </w:p>
        </w:tc>
        <w:tc>
          <w:tcPr>
            <w:tcW w:w="3483" w:type="pct"/>
            <w:tcBorders>
              <w:top w:val="single" w:color="000000" w:sz="4" w:space="0"/>
              <w:left w:val="single" w:color="000000" w:sz="4" w:space="0"/>
            </w:tcBorders>
          </w:tcPr>
          <w:p w14:paraId="741B8A89">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right="0" w:firstLine="368" w:firstLineChars="200"/>
              <w:jc w:val="both"/>
              <w:textAlignment w:val="auto"/>
              <w:rPr>
                <w:rFonts w:hint="eastAsia"/>
                <w:spacing w:val="-8"/>
                <w:sz w:val="20"/>
              </w:rPr>
            </w:pPr>
            <w:r>
              <w:rPr>
                <w:rFonts w:hint="eastAsia"/>
                <w:spacing w:val="-8"/>
                <w:sz w:val="20"/>
              </w:rPr>
              <w:t>Real-time display of target distance (radial distance from the target to the radar), in units of "meters", displays 0 when no target is detected;</w:t>
            </w:r>
          </w:p>
          <w:p w14:paraId="5FE53D07">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right="0" w:firstLine="368" w:firstLineChars="200"/>
              <w:jc w:val="both"/>
              <w:textAlignment w:val="auto"/>
              <w:rPr>
                <w:rFonts w:hint="eastAsia"/>
                <w:spacing w:val="-8"/>
                <w:sz w:val="20"/>
              </w:rPr>
            </w:pPr>
            <w:r>
              <w:rPr>
                <w:rFonts w:hint="eastAsia"/>
                <w:spacing w:val="-8"/>
                <w:sz w:val="20"/>
              </w:rPr>
              <w:t>X-axis: Frame number (for sliding window display of historical multiple frame results);</w:t>
            </w:r>
          </w:p>
          <w:p w14:paraId="206E25B7">
            <w:pPr>
              <w:pStyle w:val="9"/>
              <w:keepNext w:val="0"/>
              <w:keepLines w:val="0"/>
              <w:pageBreakBefore w:val="0"/>
              <w:widowControl w:val="0"/>
              <w:kinsoku/>
              <w:wordWrap/>
              <w:overflowPunct/>
              <w:topLinePunct w:val="0"/>
              <w:autoSpaceDE w:val="0"/>
              <w:autoSpaceDN w:val="0"/>
              <w:bidi w:val="0"/>
              <w:adjustRightInd/>
              <w:snapToGrid/>
              <w:spacing w:before="155" w:line="293" w:lineRule="auto"/>
              <w:ind w:left="0" w:right="0" w:firstLine="368" w:firstLineChars="200"/>
              <w:jc w:val="both"/>
              <w:textAlignment w:val="auto"/>
              <w:rPr>
                <w:rFonts w:hint="eastAsia"/>
                <w:spacing w:val="-8"/>
                <w:sz w:val="20"/>
              </w:rPr>
            </w:pPr>
            <w:r>
              <w:rPr>
                <w:rFonts w:hint="eastAsia"/>
                <w:spacing w:val="-8"/>
                <w:sz w:val="20"/>
              </w:rPr>
              <w:t>Y-axis: Target distance (meters), shows the nearest target distance.</w:t>
            </w:r>
          </w:p>
        </w:tc>
      </w:tr>
    </w:tbl>
    <w:p w14:paraId="70B30694">
      <w:pPr>
        <w:pStyle w:val="9"/>
        <w:spacing w:after="0"/>
        <w:rPr>
          <w:sz w:val="20"/>
        </w:rPr>
        <w:sectPr>
          <w:pgSz w:w="11910" w:h="16840"/>
          <w:pgMar w:top="1380" w:right="992" w:bottom="1020" w:left="992" w:header="0" w:footer="835" w:gutter="0"/>
          <w:cols w:space="720" w:num="1"/>
        </w:sectPr>
      </w:pPr>
    </w:p>
    <w:p w14:paraId="4F8CE490">
      <w:pPr>
        <w:pStyle w:val="8"/>
        <w:numPr>
          <w:ilvl w:val="2"/>
          <w:numId w:val="1"/>
        </w:numPr>
        <w:tabs>
          <w:tab w:val="left" w:pos="805"/>
        </w:tabs>
        <w:spacing w:before="44" w:after="0" w:line="240" w:lineRule="auto"/>
        <w:ind w:left="805" w:right="0" w:hanging="720"/>
        <w:jc w:val="left"/>
        <w:rPr>
          <w:sz w:val="24"/>
        </w:rPr>
      </w:pPr>
      <w:bookmarkStart w:id="30" w:name="_bookmark15"/>
      <w:bookmarkEnd w:id="30"/>
      <w:bookmarkStart w:id="31" w:name="5.1.2 二级菜单"/>
      <w:bookmarkEnd w:id="31"/>
      <w:r>
        <w:rPr>
          <w:rFonts w:hint="eastAsia"/>
          <w:spacing w:val="-3"/>
          <w:sz w:val="24"/>
        </w:rPr>
        <w:t>Secondary Menu</w:t>
      </w:r>
    </w:p>
    <w:p w14:paraId="4CC70A97">
      <w:pPr>
        <w:pStyle w:val="3"/>
        <w:spacing w:before="208"/>
        <w:ind w:left="88"/>
        <w:jc w:val="center"/>
      </w:pPr>
      <w:r>
        <w:rPr>
          <w:rFonts w:hint="eastAsia"/>
          <w:spacing w:val="-18"/>
        </w:rPr>
        <w:t>On the menu bar at the top of the main interface, click the "Menu" and "View" buttons to enable the expansion function, as shown in Figure 9.</w:t>
      </w:r>
    </w:p>
    <w:p w14:paraId="7FAE2560">
      <w:pPr>
        <w:pStyle w:val="3"/>
        <w:spacing w:before="6"/>
        <w:rPr>
          <w:sz w:val="5"/>
        </w:rPr>
      </w:pPr>
      <w:r>
        <w:rPr>
          <w:sz w:val="5"/>
        </w:rPr>
        <w:drawing>
          <wp:anchor distT="0" distB="0" distL="0" distR="0" simplePos="0" relativeHeight="251667456" behindDoc="1" locked="0" layoutInCell="1" allowOverlap="1">
            <wp:simplePos x="0" y="0"/>
            <wp:positionH relativeFrom="page">
              <wp:posOffset>2345690</wp:posOffset>
            </wp:positionH>
            <wp:positionV relativeFrom="paragraph">
              <wp:posOffset>59690</wp:posOffset>
            </wp:positionV>
            <wp:extent cx="1278890" cy="8959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1278830" cy="896112"/>
                    </a:xfrm>
                    <a:prstGeom prst="rect">
                      <a:avLst/>
                    </a:prstGeom>
                  </pic:spPr>
                </pic:pic>
              </a:graphicData>
            </a:graphic>
          </wp:anchor>
        </w:drawing>
      </w:r>
      <w:r>
        <w:rPr>
          <w:sz w:val="5"/>
        </w:rPr>
        <w:drawing>
          <wp:anchor distT="0" distB="0" distL="0" distR="0" simplePos="0" relativeHeight="251668480" behindDoc="1" locked="0" layoutInCell="1" allowOverlap="1">
            <wp:simplePos x="0" y="0"/>
            <wp:positionH relativeFrom="page">
              <wp:posOffset>3707130</wp:posOffset>
            </wp:positionH>
            <wp:positionV relativeFrom="paragraph">
              <wp:posOffset>64770</wp:posOffset>
            </wp:positionV>
            <wp:extent cx="1517650" cy="89916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1517926" cy="899159"/>
                    </a:xfrm>
                    <a:prstGeom prst="rect">
                      <a:avLst/>
                    </a:prstGeom>
                  </pic:spPr>
                </pic:pic>
              </a:graphicData>
            </a:graphic>
          </wp:anchor>
        </w:drawing>
      </w:r>
    </w:p>
    <w:p w14:paraId="3C5B7216">
      <w:pPr>
        <w:spacing w:before="143"/>
        <w:ind w:left="4" w:right="2" w:firstLine="0"/>
        <w:jc w:val="center"/>
        <w:rPr>
          <w:sz w:val="21"/>
        </w:rPr>
      </w:pPr>
      <w:r>
        <w:rPr>
          <w:rFonts w:hint="eastAsia"/>
          <w:spacing w:val="-4"/>
          <w:sz w:val="21"/>
        </w:rPr>
        <w:t>Figure 9 Secondary Menu</w:t>
      </w:r>
    </w:p>
    <w:p w14:paraId="6E1F38B6">
      <w:pPr>
        <w:pStyle w:val="3"/>
        <w:keepNext w:val="0"/>
        <w:keepLines w:val="0"/>
        <w:pageBreakBefore w:val="0"/>
        <w:widowControl w:val="0"/>
        <w:kinsoku/>
        <w:wordWrap/>
        <w:overflowPunct/>
        <w:topLinePunct w:val="0"/>
        <w:autoSpaceDE w:val="0"/>
        <w:autoSpaceDN w:val="0"/>
        <w:bidi w:val="0"/>
        <w:adjustRightInd/>
        <w:snapToGrid/>
        <w:spacing w:before="140"/>
        <w:ind w:left="480" w:right="0" w:hanging="480" w:hangingChars="200"/>
        <w:jc w:val="center"/>
        <w:textAlignment w:val="auto"/>
        <w:rPr>
          <w:rFonts w:hint="eastAsia"/>
        </w:rPr>
      </w:pPr>
      <w:r>
        <w:rPr>
          <w:rFonts w:hint="eastAsia"/>
        </w:rPr>
        <w:t>The purposes of the 5 options corresponding to the secondary menu are shown in Table 4 as follows.</w:t>
      </w:r>
    </w:p>
    <w:p w14:paraId="5770CCDE">
      <w:pPr>
        <w:pStyle w:val="3"/>
        <w:spacing w:before="140"/>
        <w:ind w:left="88" w:right="4077"/>
        <w:jc w:val="center"/>
        <w:rPr>
          <w:sz w:val="21"/>
        </w:rPr>
      </w:pPr>
      <w:r>
        <w:rPr>
          <w:rFonts w:hint="eastAsia"/>
          <w:spacing w:val="-4"/>
          <w:sz w:val="21"/>
        </w:rPr>
        <w:t>Table 4 Functions of the Secondary Menu</w:t>
      </w:r>
    </w:p>
    <w:p w14:paraId="3A1B2FB6">
      <w:pPr>
        <w:pStyle w:val="3"/>
        <w:spacing w:before="9"/>
        <w:rPr>
          <w:sz w:val="7"/>
        </w:rPr>
      </w:pPr>
    </w:p>
    <w:tbl>
      <w:tblPr>
        <w:tblStyle w:val="5"/>
        <w:tblW w:w="4998"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127"/>
        <w:gridCol w:w="1794"/>
        <w:gridCol w:w="7031"/>
      </w:tblGrid>
      <w:tr w14:paraId="2365263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566" w:type="pct"/>
            <w:tcBorders>
              <w:bottom w:val="single" w:color="000000" w:sz="4" w:space="0"/>
              <w:right w:val="single" w:color="000000" w:sz="4" w:space="0"/>
            </w:tcBorders>
          </w:tcPr>
          <w:p w14:paraId="4AB2B8DB">
            <w:pPr>
              <w:pStyle w:val="9"/>
              <w:spacing w:before="123"/>
              <w:ind w:left="277"/>
              <w:rPr>
                <w:sz w:val="21"/>
              </w:rPr>
            </w:pPr>
            <w:r>
              <w:rPr>
                <w:rFonts w:hint="eastAsia"/>
                <w:spacing w:val="-5"/>
                <w:sz w:val="21"/>
              </w:rPr>
              <w:t>Category</w:t>
            </w:r>
          </w:p>
        </w:tc>
        <w:tc>
          <w:tcPr>
            <w:tcW w:w="901" w:type="pct"/>
            <w:tcBorders>
              <w:left w:val="single" w:color="000000" w:sz="4" w:space="0"/>
              <w:bottom w:val="single" w:color="000000" w:sz="4" w:space="0"/>
              <w:right w:val="single" w:color="000000" w:sz="4" w:space="0"/>
            </w:tcBorders>
          </w:tcPr>
          <w:p w14:paraId="397B4DB6">
            <w:pPr>
              <w:pStyle w:val="9"/>
              <w:spacing w:before="123"/>
              <w:ind w:left="32"/>
              <w:jc w:val="center"/>
              <w:rPr>
                <w:rFonts w:hint="default" w:eastAsia="宋体"/>
                <w:sz w:val="21"/>
                <w:lang w:val="en-US" w:eastAsia="zh-CN"/>
              </w:rPr>
            </w:pPr>
            <w:r>
              <w:rPr>
                <w:rFonts w:hint="eastAsia"/>
                <w:sz w:val="21"/>
                <w:lang w:val="en-US" w:eastAsia="zh-CN"/>
              </w:rPr>
              <w:t>Name</w:t>
            </w:r>
          </w:p>
        </w:tc>
        <w:tc>
          <w:tcPr>
            <w:tcW w:w="3531" w:type="pct"/>
            <w:tcBorders>
              <w:left w:val="single" w:color="000000" w:sz="4" w:space="0"/>
              <w:bottom w:val="single" w:color="000000" w:sz="4" w:space="0"/>
            </w:tcBorders>
          </w:tcPr>
          <w:p w14:paraId="6CFD845F">
            <w:pPr>
              <w:pStyle w:val="9"/>
              <w:spacing w:before="123"/>
              <w:ind w:left="41"/>
              <w:jc w:val="center"/>
              <w:rPr>
                <w:rFonts w:hint="default" w:eastAsia="宋体"/>
                <w:sz w:val="21"/>
                <w:lang w:val="en-US" w:eastAsia="zh-CN"/>
              </w:rPr>
            </w:pPr>
            <w:r>
              <w:rPr>
                <w:rFonts w:hint="eastAsia"/>
                <w:spacing w:val="-5"/>
                <w:sz w:val="21"/>
                <w:lang w:val="en-US" w:eastAsia="zh-CN"/>
              </w:rPr>
              <w:t>Explanation</w:t>
            </w:r>
          </w:p>
        </w:tc>
      </w:tr>
      <w:tr w14:paraId="0828212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5" w:hRule="atLeast"/>
        </w:trPr>
        <w:tc>
          <w:tcPr>
            <w:tcW w:w="566" w:type="pct"/>
            <w:vMerge w:val="restart"/>
            <w:tcBorders>
              <w:top w:val="single" w:color="000000" w:sz="4" w:space="0"/>
              <w:bottom w:val="single" w:color="000000" w:sz="4" w:space="0"/>
              <w:right w:val="single" w:color="000000" w:sz="4" w:space="0"/>
            </w:tcBorders>
          </w:tcPr>
          <w:p w14:paraId="4165F724">
            <w:pPr>
              <w:pStyle w:val="9"/>
              <w:rPr>
                <w:sz w:val="21"/>
              </w:rPr>
            </w:pPr>
          </w:p>
          <w:p w14:paraId="7CB31428">
            <w:pPr>
              <w:pStyle w:val="9"/>
              <w:rPr>
                <w:sz w:val="21"/>
              </w:rPr>
            </w:pPr>
          </w:p>
          <w:p w14:paraId="6C064095">
            <w:pPr>
              <w:pStyle w:val="9"/>
              <w:spacing w:before="7"/>
              <w:rPr>
                <w:sz w:val="21"/>
              </w:rPr>
            </w:pPr>
          </w:p>
          <w:p w14:paraId="046DE9E6">
            <w:pPr>
              <w:pStyle w:val="9"/>
              <w:ind w:left="277"/>
              <w:rPr>
                <w:rFonts w:hint="eastAsia"/>
                <w:spacing w:val="-5"/>
                <w:sz w:val="21"/>
              </w:rPr>
            </w:pPr>
            <w:r>
              <w:rPr>
                <w:rFonts w:hint="eastAsia"/>
                <w:spacing w:val="-5"/>
                <w:sz w:val="21"/>
              </w:rPr>
              <w:t>Menu</w:t>
            </w:r>
          </w:p>
          <w:p w14:paraId="0B734632">
            <w:pPr>
              <w:pStyle w:val="9"/>
              <w:ind w:left="277"/>
              <w:rPr>
                <w:sz w:val="21"/>
              </w:rPr>
            </w:pPr>
          </w:p>
        </w:tc>
        <w:tc>
          <w:tcPr>
            <w:tcW w:w="901" w:type="pct"/>
            <w:tcBorders>
              <w:top w:val="single" w:color="000000" w:sz="4" w:space="0"/>
              <w:left w:val="single" w:color="000000" w:sz="4" w:space="0"/>
              <w:bottom w:val="single" w:color="000000" w:sz="4" w:space="0"/>
              <w:right w:val="single" w:color="000000" w:sz="4" w:space="0"/>
            </w:tcBorders>
          </w:tcPr>
          <w:p w14:paraId="4A709215">
            <w:pPr>
              <w:pStyle w:val="9"/>
              <w:spacing w:before="181"/>
              <w:ind w:left="117"/>
              <w:rPr>
                <w:sz w:val="21"/>
              </w:rPr>
            </w:pPr>
            <w:r>
              <w:rPr>
                <w:rFonts w:hint="eastAsia"/>
                <w:spacing w:val="-4"/>
                <w:sz w:val="21"/>
              </w:rPr>
              <w:t>Algorithm parameters</w:t>
            </w:r>
          </w:p>
        </w:tc>
        <w:tc>
          <w:tcPr>
            <w:tcW w:w="3531" w:type="pct"/>
            <w:tcBorders>
              <w:top w:val="single" w:color="000000" w:sz="4" w:space="0"/>
              <w:left w:val="single" w:color="000000" w:sz="4" w:space="0"/>
              <w:bottom w:val="single" w:color="000000" w:sz="4" w:space="0"/>
            </w:tcBorders>
          </w:tcPr>
          <w:p w14:paraId="337BD2E6">
            <w:pPr>
              <w:pStyle w:val="9"/>
              <w:spacing w:before="181"/>
              <w:ind w:left="118"/>
              <w:rPr>
                <w:sz w:val="21"/>
              </w:rPr>
            </w:pPr>
            <w:r>
              <w:rPr>
                <w:rFonts w:hint="eastAsia"/>
                <w:spacing w:val="-3"/>
                <w:sz w:val="21"/>
              </w:rPr>
              <w:t>Open the sub-interface for algorithm parameter configuration, and configure the parameters of the lower-level software online.</w:t>
            </w:r>
          </w:p>
        </w:tc>
      </w:tr>
      <w:tr w14:paraId="1194AA3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3" w:hRule="atLeast"/>
        </w:trPr>
        <w:tc>
          <w:tcPr>
            <w:tcW w:w="566" w:type="pct"/>
            <w:vMerge w:val="continue"/>
            <w:tcBorders>
              <w:top w:val="nil"/>
              <w:bottom w:val="single" w:color="000000" w:sz="4" w:space="0"/>
              <w:right w:val="single" w:color="000000" w:sz="4" w:space="0"/>
            </w:tcBorders>
          </w:tcPr>
          <w:p w14:paraId="6C838D82">
            <w:pPr>
              <w:rPr>
                <w:sz w:val="2"/>
                <w:szCs w:val="2"/>
              </w:rPr>
            </w:pPr>
          </w:p>
        </w:tc>
        <w:tc>
          <w:tcPr>
            <w:tcW w:w="901" w:type="pct"/>
            <w:tcBorders>
              <w:top w:val="single" w:color="000000" w:sz="4" w:space="0"/>
              <w:left w:val="single" w:color="000000" w:sz="4" w:space="0"/>
              <w:bottom w:val="single" w:color="000000" w:sz="4" w:space="0"/>
              <w:right w:val="single" w:color="000000" w:sz="4" w:space="0"/>
            </w:tcBorders>
          </w:tcPr>
          <w:p w14:paraId="3B2AF972">
            <w:pPr>
              <w:pStyle w:val="9"/>
              <w:spacing w:before="178"/>
              <w:ind w:left="117"/>
              <w:rPr>
                <w:sz w:val="21"/>
              </w:rPr>
            </w:pPr>
            <w:r>
              <w:rPr>
                <w:rFonts w:hint="eastAsia"/>
                <w:spacing w:val="-4"/>
                <w:sz w:val="21"/>
              </w:rPr>
              <w:t>Alarm count</w:t>
            </w:r>
          </w:p>
        </w:tc>
        <w:tc>
          <w:tcPr>
            <w:tcW w:w="3531" w:type="pct"/>
            <w:tcBorders>
              <w:top w:val="single" w:color="000000" w:sz="4" w:space="0"/>
              <w:left w:val="single" w:color="000000" w:sz="4" w:space="0"/>
              <w:bottom w:val="single" w:color="000000" w:sz="4" w:space="0"/>
            </w:tcBorders>
          </w:tcPr>
          <w:p w14:paraId="26937FDC">
            <w:pPr>
              <w:pStyle w:val="9"/>
              <w:spacing w:before="178"/>
              <w:ind w:left="118"/>
              <w:rPr>
                <w:sz w:val="21"/>
              </w:rPr>
            </w:pPr>
            <w:r>
              <w:rPr>
                <w:rFonts w:hint="eastAsia"/>
                <w:spacing w:val="-3"/>
                <w:sz w:val="21"/>
              </w:rPr>
              <w:t>Open the alarm count sub-interface, which can count the number of alarms and the duration during the radar operation process.</w:t>
            </w:r>
          </w:p>
        </w:tc>
      </w:tr>
      <w:tr w14:paraId="4390B54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3" w:hRule="atLeast"/>
        </w:trPr>
        <w:tc>
          <w:tcPr>
            <w:tcW w:w="566" w:type="pct"/>
            <w:vMerge w:val="continue"/>
            <w:tcBorders>
              <w:top w:val="nil"/>
              <w:bottom w:val="single" w:color="000000" w:sz="4" w:space="0"/>
              <w:right w:val="single" w:color="000000" w:sz="4" w:space="0"/>
            </w:tcBorders>
          </w:tcPr>
          <w:p w14:paraId="0C917A72">
            <w:pPr>
              <w:rPr>
                <w:sz w:val="2"/>
                <w:szCs w:val="2"/>
              </w:rPr>
            </w:pPr>
          </w:p>
        </w:tc>
        <w:tc>
          <w:tcPr>
            <w:tcW w:w="901" w:type="pct"/>
            <w:tcBorders>
              <w:top w:val="single" w:color="000000" w:sz="4" w:space="0"/>
              <w:left w:val="single" w:color="000000" w:sz="4" w:space="0"/>
              <w:bottom w:val="single" w:color="000000" w:sz="4" w:space="0"/>
              <w:right w:val="single" w:color="000000" w:sz="4" w:space="0"/>
            </w:tcBorders>
          </w:tcPr>
          <w:p w14:paraId="4D340234">
            <w:pPr>
              <w:pStyle w:val="9"/>
              <w:spacing w:before="178"/>
              <w:ind w:left="117"/>
              <w:rPr>
                <w:sz w:val="21"/>
              </w:rPr>
            </w:pPr>
            <w:r>
              <w:rPr>
                <w:rFonts w:hint="eastAsia"/>
                <w:spacing w:val="-4"/>
                <w:sz w:val="21"/>
              </w:rPr>
              <w:t>Target information area</w:t>
            </w:r>
          </w:p>
        </w:tc>
        <w:tc>
          <w:tcPr>
            <w:tcW w:w="3531" w:type="pct"/>
            <w:tcBorders>
              <w:top w:val="single" w:color="000000" w:sz="4" w:space="0"/>
              <w:left w:val="single" w:color="000000" w:sz="4" w:space="0"/>
              <w:bottom w:val="single" w:color="000000" w:sz="4" w:space="0"/>
            </w:tcBorders>
          </w:tcPr>
          <w:p w14:paraId="356319DF">
            <w:pPr>
              <w:pStyle w:val="9"/>
              <w:spacing w:before="178"/>
              <w:ind w:left="118"/>
              <w:rPr>
                <w:sz w:val="21"/>
              </w:rPr>
            </w:pPr>
            <w:r>
              <w:rPr>
                <w:rFonts w:hint="eastAsia"/>
                <w:spacing w:val="-3"/>
                <w:sz w:val="21"/>
              </w:rPr>
              <w:t>Open/Close the "Alarm Information Area" at the lower left corner of the main interface.</w:t>
            </w:r>
          </w:p>
        </w:tc>
      </w:tr>
      <w:tr w14:paraId="55D4A65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26" w:hRule="atLeast"/>
        </w:trPr>
        <w:tc>
          <w:tcPr>
            <w:tcW w:w="566" w:type="pct"/>
            <w:vMerge w:val="restart"/>
            <w:tcBorders>
              <w:top w:val="single" w:color="000000" w:sz="4" w:space="0"/>
              <w:right w:val="single" w:color="000000" w:sz="4" w:space="0"/>
            </w:tcBorders>
          </w:tcPr>
          <w:p w14:paraId="2293DBD9">
            <w:pPr>
              <w:pStyle w:val="9"/>
              <w:rPr>
                <w:sz w:val="21"/>
              </w:rPr>
            </w:pPr>
          </w:p>
          <w:p w14:paraId="2580051F">
            <w:pPr>
              <w:pStyle w:val="9"/>
              <w:spacing w:before="240"/>
              <w:rPr>
                <w:sz w:val="21"/>
              </w:rPr>
            </w:pPr>
          </w:p>
          <w:p w14:paraId="29FEC32D">
            <w:pPr>
              <w:pStyle w:val="9"/>
              <w:ind w:left="277"/>
              <w:rPr>
                <w:sz w:val="21"/>
              </w:rPr>
            </w:pPr>
            <w:r>
              <w:rPr>
                <w:rFonts w:hint="eastAsia"/>
                <w:spacing w:val="-5"/>
                <w:sz w:val="21"/>
              </w:rPr>
              <w:t>View</w:t>
            </w:r>
          </w:p>
        </w:tc>
        <w:tc>
          <w:tcPr>
            <w:tcW w:w="901" w:type="pct"/>
            <w:tcBorders>
              <w:top w:val="single" w:color="000000" w:sz="4" w:space="0"/>
              <w:left w:val="single" w:color="000000" w:sz="4" w:space="0"/>
              <w:bottom w:val="single" w:color="000000" w:sz="4" w:space="0"/>
              <w:right w:val="single" w:color="000000" w:sz="4" w:space="0"/>
            </w:tcBorders>
          </w:tcPr>
          <w:p w14:paraId="58242A4A">
            <w:pPr>
              <w:pStyle w:val="9"/>
              <w:spacing w:before="236"/>
              <w:ind w:left="117"/>
              <w:rPr>
                <w:sz w:val="21"/>
              </w:rPr>
            </w:pPr>
            <w:r>
              <w:rPr>
                <w:rFonts w:hint="eastAsia"/>
                <w:spacing w:val="-4"/>
                <w:sz w:val="21"/>
              </w:rPr>
              <w:t xml:space="preserve">Custom window </w:t>
            </w:r>
          </w:p>
        </w:tc>
        <w:tc>
          <w:tcPr>
            <w:tcW w:w="3531" w:type="pct"/>
            <w:tcBorders>
              <w:top w:val="single" w:color="000000" w:sz="4" w:space="0"/>
              <w:left w:val="single" w:color="000000" w:sz="4" w:space="0"/>
              <w:bottom w:val="single" w:color="000000" w:sz="4" w:space="0"/>
            </w:tcBorders>
          </w:tcPr>
          <w:p w14:paraId="3C939FF4">
            <w:pPr>
              <w:pStyle w:val="9"/>
              <w:spacing w:before="80" w:line="278" w:lineRule="auto"/>
              <w:ind w:left="118" w:right="74"/>
              <w:rPr>
                <w:sz w:val="21"/>
              </w:rPr>
            </w:pPr>
            <w:r>
              <w:rPr>
                <w:rFonts w:hint="eastAsia"/>
                <w:spacing w:val="-7"/>
                <w:sz w:val="21"/>
              </w:rPr>
              <w:t>Open the custom window to adjust the display range of the "Target Position XY Display Area" and the "Target Distance R Display Area" on the main interface.</w:t>
            </w:r>
          </w:p>
        </w:tc>
      </w:tr>
      <w:tr w14:paraId="448FB50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066" w:hRule="atLeast"/>
        </w:trPr>
        <w:tc>
          <w:tcPr>
            <w:tcW w:w="566" w:type="pct"/>
            <w:vMerge w:val="continue"/>
            <w:tcBorders>
              <w:top w:val="nil"/>
              <w:right w:val="single" w:color="000000" w:sz="4" w:space="0"/>
            </w:tcBorders>
          </w:tcPr>
          <w:p w14:paraId="2B92D7E6">
            <w:pPr>
              <w:rPr>
                <w:sz w:val="2"/>
                <w:szCs w:val="2"/>
              </w:rPr>
            </w:pPr>
          </w:p>
        </w:tc>
        <w:tc>
          <w:tcPr>
            <w:tcW w:w="901" w:type="pct"/>
            <w:tcBorders>
              <w:top w:val="single" w:color="000000" w:sz="4" w:space="0"/>
              <w:left w:val="single" w:color="000000" w:sz="4" w:space="0"/>
              <w:right w:val="single" w:color="000000" w:sz="4" w:space="0"/>
            </w:tcBorders>
          </w:tcPr>
          <w:p w14:paraId="0D152AF7">
            <w:pPr>
              <w:pStyle w:val="9"/>
              <w:spacing w:before="127"/>
              <w:rPr>
                <w:sz w:val="21"/>
              </w:rPr>
            </w:pPr>
          </w:p>
          <w:p w14:paraId="13D713DD">
            <w:pPr>
              <w:pStyle w:val="9"/>
              <w:ind w:left="117"/>
              <w:rPr>
                <w:sz w:val="21"/>
              </w:rPr>
            </w:pPr>
            <w:r>
              <w:rPr>
                <w:rFonts w:hint="eastAsia"/>
                <w:spacing w:val="-4"/>
                <w:sz w:val="21"/>
              </w:rPr>
              <w:t>Alarm on standby</w:t>
            </w:r>
          </w:p>
        </w:tc>
        <w:tc>
          <w:tcPr>
            <w:tcW w:w="3531" w:type="pct"/>
            <w:tcBorders>
              <w:top w:val="single" w:color="000000" w:sz="4" w:space="0"/>
              <w:left w:val="single" w:color="000000" w:sz="4" w:space="0"/>
            </w:tcBorders>
          </w:tcPr>
          <w:p w14:paraId="53B72492">
            <w:pPr>
              <w:pStyle w:val="9"/>
              <w:spacing w:before="84" w:line="278" w:lineRule="auto"/>
              <w:ind w:left="118" w:right="-44"/>
              <w:rPr>
                <w:sz w:val="21"/>
              </w:rPr>
            </w:pPr>
            <w:r>
              <w:rPr>
                <w:rFonts w:hint="eastAsia"/>
                <w:spacing w:val="-10"/>
                <w:sz w:val="21"/>
              </w:rPr>
              <w:t>Open/Close the "Alarm Hold" function. When the "Alarm Hold" function is enabled, for an already alarmed target, if it remains stationary, the "Status Indication Area" will retain the last distance. On the algorithm parameter configuration page, you can set the holding distance and holding time.</w:t>
            </w:r>
          </w:p>
        </w:tc>
      </w:tr>
    </w:tbl>
    <w:p w14:paraId="023E703D">
      <w:pPr>
        <w:pStyle w:val="8"/>
        <w:numPr>
          <w:ilvl w:val="3"/>
          <w:numId w:val="1"/>
        </w:numPr>
        <w:tabs>
          <w:tab w:val="left" w:pos="925"/>
        </w:tabs>
        <w:spacing w:before="132" w:after="0" w:line="240" w:lineRule="auto"/>
        <w:ind w:left="925" w:right="0" w:hanging="360"/>
        <w:jc w:val="left"/>
        <w:rPr>
          <w:sz w:val="24"/>
        </w:rPr>
      </w:pPr>
      <w:r>
        <w:rPr>
          <w:rFonts w:hint="eastAsia"/>
          <w:spacing w:val="-2"/>
          <w:sz w:val="24"/>
        </w:rPr>
        <w:t>Algorithm Parameter Configuration</w:t>
      </w:r>
    </w:p>
    <w:p w14:paraId="3A7F4C67">
      <w:pPr>
        <w:pStyle w:val="3"/>
        <w:spacing w:before="153" w:line="360" w:lineRule="auto"/>
        <w:ind w:left="85" w:right="81" w:firstLine="480"/>
      </w:pPr>
      <w:r>
        <w:rPr>
          <w:rFonts w:hint="eastAsia"/>
          <w:spacing w:val="-6"/>
        </w:rPr>
        <w:t>By opening the secondary menu, the "Algorithm Parameter Configuration" sub-interface can be accessed. Two sub-pages, "Function" and "Sensitivity", can be selected to set different parameters, as shown in Figures 10 and 11.</w:t>
      </w:r>
    </w:p>
    <w:p w14:paraId="4EC5028E">
      <w:pPr>
        <w:pStyle w:val="3"/>
      </w:pPr>
    </w:p>
    <w:p w14:paraId="320FBA8B">
      <w:pPr>
        <w:pStyle w:val="3"/>
      </w:pPr>
    </w:p>
    <w:p w14:paraId="6B3FAC6E">
      <w:pPr>
        <w:pStyle w:val="3"/>
      </w:pPr>
    </w:p>
    <w:p w14:paraId="3B981BE2">
      <w:pPr>
        <w:pStyle w:val="3"/>
      </w:pPr>
    </w:p>
    <w:p w14:paraId="4458F9F9">
      <w:pPr>
        <w:pStyle w:val="3"/>
      </w:pPr>
    </w:p>
    <w:p w14:paraId="63EAAC69">
      <w:pPr>
        <w:pStyle w:val="3"/>
      </w:pPr>
    </w:p>
    <w:p w14:paraId="71FDE012">
      <w:pPr>
        <w:pStyle w:val="3"/>
      </w:pPr>
    </w:p>
    <w:p w14:paraId="79397F4F">
      <w:pPr>
        <w:pStyle w:val="3"/>
      </w:pPr>
    </w:p>
    <w:p w14:paraId="249E78ED">
      <w:pPr>
        <w:pStyle w:val="3"/>
      </w:pPr>
    </w:p>
    <w:p w14:paraId="5018FAD2">
      <w:pPr>
        <w:pStyle w:val="3"/>
      </w:pPr>
    </w:p>
    <w:p w14:paraId="1A776A99">
      <w:pPr>
        <w:pStyle w:val="3"/>
      </w:pPr>
      <w:r>
        <w:drawing>
          <wp:anchor distT="0" distB="0" distL="0" distR="0" simplePos="0" relativeHeight="251662336" behindDoc="1" locked="0" layoutInCell="1" allowOverlap="1">
            <wp:simplePos x="0" y="0"/>
            <wp:positionH relativeFrom="page">
              <wp:posOffset>1818005</wp:posOffset>
            </wp:positionH>
            <wp:positionV relativeFrom="paragraph">
              <wp:posOffset>48895</wp:posOffset>
            </wp:positionV>
            <wp:extent cx="4073525" cy="270192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4073523" cy="2701780"/>
                    </a:xfrm>
                    <a:prstGeom prst="rect">
                      <a:avLst/>
                    </a:prstGeom>
                  </pic:spPr>
                </pic:pic>
              </a:graphicData>
            </a:graphic>
          </wp:anchor>
        </w:drawing>
      </w:r>
    </w:p>
    <w:p w14:paraId="7B133B04">
      <w:pPr>
        <w:pStyle w:val="3"/>
      </w:pPr>
    </w:p>
    <w:p w14:paraId="7E0AAD61">
      <w:pPr>
        <w:pStyle w:val="3"/>
      </w:pPr>
    </w:p>
    <w:p w14:paraId="36B7AD93">
      <w:pPr>
        <w:pStyle w:val="3"/>
      </w:pPr>
    </w:p>
    <w:p w14:paraId="11A0A644">
      <w:pPr>
        <w:pStyle w:val="3"/>
      </w:pPr>
    </w:p>
    <w:p w14:paraId="3132717C">
      <w:pPr>
        <w:pStyle w:val="3"/>
        <w:spacing w:before="11"/>
      </w:pPr>
    </w:p>
    <w:p w14:paraId="01D54F3E">
      <w:pPr>
        <w:spacing w:before="0"/>
        <w:ind w:left="3520" w:right="3520" w:firstLine="0"/>
        <w:jc w:val="center"/>
        <w:rPr>
          <w:spacing w:val="-27"/>
          <w:sz w:val="21"/>
        </w:rPr>
      </w:pPr>
    </w:p>
    <w:p w14:paraId="0CCFEEB4">
      <w:pPr>
        <w:spacing w:before="0"/>
        <w:ind w:left="3520" w:right="3520" w:firstLine="0"/>
        <w:jc w:val="center"/>
        <w:rPr>
          <w:spacing w:val="-27"/>
          <w:sz w:val="21"/>
        </w:rPr>
      </w:pPr>
    </w:p>
    <w:p w14:paraId="15FAEEA1">
      <w:pPr>
        <w:spacing w:before="0"/>
        <w:ind w:left="3520" w:right="3520" w:firstLine="0"/>
        <w:jc w:val="center"/>
        <w:rPr>
          <w:spacing w:val="-27"/>
          <w:sz w:val="21"/>
        </w:rPr>
      </w:pPr>
    </w:p>
    <w:p w14:paraId="19BD8209">
      <w:pPr>
        <w:spacing w:before="0"/>
        <w:ind w:left="3520" w:right="3520" w:firstLine="0"/>
        <w:jc w:val="center"/>
        <w:rPr>
          <w:spacing w:val="-27"/>
          <w:sz w:val="21"/>
        </w:rPr>
      </w:pPr>
    </w:p>
    <w:p w14:paraId="72CC439C">
      <w:pPr>
        <w:spacing w:before="0"/>
        <w:ind w:left="3520" w:right="3520" w:firstLine="0"/>
        <w:jc w:val="center"/>
        <w:rPr>
          <w:spacing w:val="-27"/>
          <w:sz w:val="21"/>
        </w:rPr>
      </w:pPr>
    </w:p>
    <w:p w14:paraId="47EC1ECC">
      <w:pPr>
        <w:spacing w:before="0"/>
        <w:ind w:left="3520" w:right="3520" w:firstLine="0"/>
        <w:jc w:val="center"/>
        <w:rPr>
          <w:spacing w:val="-27"/>
          <w:sz w:val="21"/>
        </w:rPr>
      </w:pPr>
    </w:p>
    <w:p w14:paraId="697AA132">
      <w:pPr>
        <w:spacing w:before="0"/>
        <w:ind w:left="3520" w:right="3520" w:firstLine="0"/>
        <w:jc w:val="center"/>
        <w:rPr>
          <w:spacing w:val="-27"/>
          <w:sz w:val="21"/>
        </w:rPr>
      </w:pPr>
    </w:p>
    <w:p w14:paraId="05D2E1D9">
      <w:pPr>
        <w:spacing w:before="0"/>
        <w:ind w:left="3520" w:right="3520" w:firstLine="0"/>
        <w:jc w:val="center"/>
        <w:rPr>
          <w:spacing w:val="-27"/>
          <w:sz w:val="21"/>
        </w:rPr>
      </w:pPr>
    </w:p>
    <w:p w14:paraId="2AFCE68E">
      <w:pPr>
        <w:spacing w:before="0"/>
        <w:ind w:left="3520" w:right="3520" w:firstLine="0"/>
        <w:jc w:val="center"/>
        <w:rPr>
          <w:spacing w:val="-27"/>
          <w:sz w:val="21"/>
        </w:rPr>
      </w:pPr>
    </w:p>
    <w:p w14:paraId="5610F0EB">
      <w:pPr>
        <w:spacing w:before="0"/>
        <w:ind w:left="3520" w:right="3520" w:firstLine="0"/>
        <w:jc w:val="center"/>
        <w:rPr>
          <w:spacing w:val="-27"/>
          <w:sz w:val="21"/>
        </w:rPr>
      </w:pPr>
    </w:p>
    <w:p w14:paraId="1CC6AD0F">
      <w:pPr>
        <w:spacing w:before="0"/>
        <w:ind w:right="3520"/>
        <w:jc w:val="center"/>
        <w:rPr>
          <w:sz w:val="21"/>
        </w:rPr>
      </w:pPr>
      <w:r>
        <w:rPr>
          <w:rFonts w:hint="eastAsia"/>
          <w:spacing w:val="-4"/>
          <w:sz w:val="21"/>
        </w:rPr>
        <w:t>Figure 10 "Function" sub-interface</w:t>
      </w:r>
    </w:p>
    <w:p w14:paraId="67E339EC">
      <w:pPr>
        <w:spacing w:after="0"/>
        <w:jc w:val="center"/>
        <w:rPr>
          <w:sz w:val="21"/>
        </w:rPr>
        <w:sectPr>
          <w:pgSz w:w="11910" w:h="16840"/>
          <w:pgMar w:top="1380" w:right="992" w:bottom="1020" w:left="992" w:header="0" w:footer="835" w:gutter="0"/>
          <w:cols w:space="720" w:num="1"/>
        </w:sectPr>
      </w:pPr>
    </w:p>
    <w:p w14:paraId="7270AE28">
      <w:pPr>
        <w:spacing w:line="240" w:lineRule="auto"/>
        <w:ind w:left="1735" w:right="0" w:firstLine="0"/>
        <w:rPr>
          <w:sz w:val="20"/>
        </w:rPr>
      </w:pPr>
      <w:r>
        <w:rPr>
          <w:sz w:val="20"/>
        </w:rPr>
        <w:drawing>
          <wp:inline distT="0" distB="0" distL="0" distR="0">
            <wp:extent cx="4094480" cy="271526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094611" cy="2715768"/>
                    </a:xfrm>
                    <a:prstGeom prst="rect">
                      <a:avLst/>
                    </a:prstGeom>
                  </pic:spPr>
                </pic:pic>
              </a:graphicData>
            </a:graphic>
          </wp:inline>
        </w:drawing>
      </w:r>
    </w:p>
    <w:p w14:paraId="44CF2831">
      <w:pPr>
        <w:pStyle w:val="3"/>
        <w:spacing w:before="5"/>
        <w:rPr>
          <w:sz w:val="5"/>
        </w:rPr>
      </w:pPr>
    </w:p>
    <w:p w14:paraId="541FF967">
      <w:pPr>
        <w:pStyle w:val="3"/>
        <w:spacing w:after="0"/>
        <w:rPr>
          <w:sz w:val="5"/>
        </w:rPr>
        <w:sectPr>
          <w:pgSz w:w="11910" w:h="16840"/>
          <w:pgMar w:top="1380" w:right="992" w:bottom="1279" w:left="992" w:header="0" w:footer="835" w:gutter="0"/>
          <w:cols w:space="720" w:num="1"/>
        </w:sectPr>
      </w:pPr>
    </w:p>
    <w:p w14:paraId="5A8045CF">
      <w:pPr>
        <w:pStyle w:val="3"/>
        <w:spacing w:before="164"/>
      </w:pPr>
    </w:p>
    <w:p w14:paraId="46398430">
      <w:pPr>
        <w:pStyle w:val="3"/>
        <w:keepNext w:val="0"/>
        <w:keepLines w:val="0"/>
        <w:pageBreakBefore w:val="0"/>
        <w:widowControl w:val="0"/>
        <w:kinsoku/>
        <w:wordWrap/>
        <w:overflowPunct/>
        <w:topLinePunct w:val="0"/>
        <w:autoSpaceDE w:val="0"/>
        <w:autoSpaceDN w:val="0"/>
        <w:bidi w:val="0"/>
        <w:adjustRightInd/>
        <w:snapToGrid/>
        <w:spacing w:before="1"/>
        <w:jc w:val="both"/>
        <w:textAlignment w:val="auto"/>
      </w:pPr>
      <w:r>
        <w:rPr>
          <w:rFonts w:hint="eastAsia"/>
          <w:spacing w:val="-18"/>
        </w:rPr>
        <w:t>The functions of the buttons are</w:t>
      </w:r>
      <w:r>
        <w:rPr>
          <w:rFonts w:hint="eastAsia"/>
          <w:spacing w:val="-18"/>
          <w:lang w:val="en-US" w:eastAsia="zh-CN"/>
        </w:rPr>
        <w:t xml:space="preserve"> </w:t>
      </w:r>
      <w:r>
        <w:rPr>
          <w:rFonts w:hint="eastAsia"/>
          <w:spacing w:val="-18"/>
        </w:rPr>
        <w:t>shown in Table 5.</w:t>
      </w:r>
    </w:p>
    <w:p w14:paraId="28758782">
      <w:pPr>
        <w:spacing w:before="60"/>
        <w:ind w:right="0"/>
        <w:jc w:val="left"/>
        <w:rPr>
          <w:sz w:val="21"/>
        </w:rPr>
      </w:pPr>
      <w:r>
        <w:rPr>
          <w:rFonts w:hint="eastAsia"/>
          <w:spacing w:val="-4"/>
          <w:sz w:val="21"/>
        </w:rPr>
        <w:t xml:space="preserve">Figure 11 "Sensitivity" sub-interface </w:t>
      </w:r>
    </w:p>
    <w:p w14:paraId="780241C3">
      <w:pPr>
        <w:pStyle w:val="3"/>
        <w:rPr>
          <w:sz w:val="21"/>
        </w:rPr>
      </w:pPr>
    </w:p>
    <w:p w14:paraId="2B4D6BE7">
      <w:pPr>
        <w:pStyle w:val="3"/>
        <w:spacing w:before="35"/>
        <w:rPr>
          <w:sz w:val="21"/>
        </w:rPr>
      </w:pPr>
    </w:p>
    <w:p w14:paraId="12FE1A29">
      <w:pPr>
        <w:spacing w:after="0"/>
        <w:jc w:val="left"/>
        <w:rPr>
          <w:sz w:val="21"/>
        </w:rPr>
        <w:sectPr>
          <w:type w:val="continuous"/>
          <w:pgSz w:w="11910" w:h="16840"/>
          <w:pgMar w:top="1920" w:right="992" w:bottom="280" w:left="992" w:header="0" w:footer="835" w:gutter="0"/>
          <w:cols w:equalWidth="0" w:num="2">
            <w:col w:w="3686" w:space="40"/>
            <w:col w:w="6200"/>
          </w:cols>
        </w:sectPr>
      </w:pPr>
      <w:r>
        <w:rPr>
          <w:rFonts w:hint="eastAsia"/>
          <w:sz w:val="21"/>
        </w:rPr>
        <w:t>Table 5 Algorithm Parameter Configuration Function</w:t>
      </w:r>
    </w:p>
    <w:p w14:paraId="7BBF341D">
      <w:pPr>
        <w:pStyle w:val="3"/>
        <w:spacing w:before="9"/>
        <w:rPr>
          <w:sz w:val="7"/>
        </w:rPr>
      </w:pPr>
    </w:p>
    <w:tbl>
      <w:tblPr>
        <w:tblStyle w:val="5"/>
        <w:tblW w:w="4998"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597"/>
        <w:gridCol w:w="2138"/>
        <w:gridCol w:w="6217"/>
      </w:tblGrid>
      <w:tr w14:paraId="57A5ACE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2" w:hRule="atLeast"/>
        </w:trPr>
        <w:tc>
          <w:tcPr>
            <w:tcW w:w="584" w:type="pct"/>
            <w:tcBorders>
              <w:bottom w:val="single" w:color="000000" w:sz="4" w:space="0"/>
              <w:right w:val="single" w:color="000000" w:sz="4" w:space="0"/>
            </w:tcBorders>
          </w:tcPr>
          <w:p w14:paraId="2EE528F8">
            <w:pPr>
              <w:pStyle w:val="9"/>
              <w:spacing w:before="94"/>
              <w:ind w:left="278"/>
              <w:rPr>
                <w:sz w:val="21"/>
              </w:rPr>
            </w:pPr>
            <w:r>
              <w:rPr>
                <w:rFonts w:hint="eastAsia"/>
                <w:spacing w:val="-5"/>
                <w:sz w:val="21"/>
              </w:rPr>
              <w:t>Category</w:t>
            </w:r>
          </w:p>
        </w:tc>
        <w:tc>
          <w:tcPr>
            <w:tcW w:w="1183" w:type="pct"/>
            <w:tcBorders>
              <w:left w:val="single" w:color="000000" w:sz="4" w:space="0"/>
              <w:bottom w:val="single" w:color="000000" w:sz="4" w:space="0"/>
              <w:right w:val="single" w:color="000000" w:sz="4" w:space="0"/>
            </w:tcBorders>
          </w:tcPr>
          <w:p w14:paraId="60A84806">
            <w:pPr>
              <w:pStyle w:val="9"/>
              <w:spacing w:before="94"/>
              <w:ind w:left="30"/>
              <w:jc w:val="center"/>
              <w:rPr>
                <w:rFonts w:hint="default" w:eastAsia="宋体"/>
                <w:sz w:val="21"/>
                <w:lang w:val="en-US" w:eastAsia="zh-CN"/>
              </w:rPr>
            </w:pPr>
            <w:r>
              <w:rPr>
                <w:rFonts w:hint="eastAsia"/>
                <w:sz w:val="21"/>
                <w:lang w:val="en-US" w:eastAsia="zh-CN"/>
              </w:rPr>
              <w:t>Name</w:t>
            </w:r>
          </w:p>
        </w:tc>
        <w:tc>
          <w:tcPr>
            <w:tcW w:w="3232" w:type="pct"/>
            <w:tcBorders>
              <w:left w:val="single" w:color="000000" w:sz="4" w:space="0"/>
              <w:bottom w:val="single" w:color="000000" w:sz="4" w:space="0"/>
            </w:tcBorders>
          </w:tcPr>
          <w:p w14:paraId="64AC2062">
            <w:pPr>
              <w:pStyle w:val="9"/>
              <w:spacing w:before="94"/>
              <w:ind w:left="43"/>
              <w:jc w:val="center"/>
              <w:rPr>
                <w:rFonts w:hint="default" w:eastAsia="宋体"/>
                <w:sz w:val="21"/>
                <w:lang w:val="en-US" w:eastAsia="zh-CN"/>
              </w:rPr>
            </w:pPr>
            <w:r>
              <w:rPr>
                <w:rFonts w:hint="eastAsia"/>
                <w:sz w:val="21"/>
                <w:lang w:val="en-US" w:eastAsia="zh-CN"/>
              </w:rPr>
              <w:t>Explanation</w:t>
            </w:r>
          </w:p>
        </w:tc>
      </w:tr>
      <w:tr w14:paraId="1CEFEFE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38" w:hRule="atLeast"/>
        </w:trPr>
        <w:tc>
          <w:tcPr>
            <w:tcW w:w="584" w:type="pct"/>
            <w:vMerge w:val="restart"/>
            <w:tcBorders>
              <w:top w:val="single" w:color="000000" w:sz="4" w:space="0"/>
              <w:bottom w:val="single" w:color="000000" w:sz="4" w:space="0"/>
              <w:right w:val="single" w:color="000000" w:sz="4" w:space="0"/>
            </w:tcBorders>
          </w:tcPr>
          <w:p w14:paraId="32ED4094">
            <w:pPr>
              <w:pStyle w:val="9"/>
              <w:rPr>
                <w:sz w:val="21"/>
              </w:rPr>
            </w:pPr>
          </w:p>
          <w:p w14:paraId="4E8CAFA6">
            <w:pPr>
              <w:pStyle w:val="9"/>
              <w:spacing w:before="72"/>
              <w:rPr>
                <w:sz w:val="21"/>
              </w:rPr>
            </w:pPr>
          </w:p>
          <w:p w14:paraId="0D5C4F17">
            <w:pPr>
              <w:pStyle w:val="9"/>
              <w:ind w:left="277"/>
              <w:rPr>
                <w:sz w:val="21"/>
              </w:rPr>
            </w:pPr>
            <w:r>
              <w:rPr>
                <w:rFonts w:hint="eastAsia"/>
                <w:spacing w:val="-5"/>
                <w:sz w:val="21"/>
              </w:rPr>
              <w:t>Configuration</w:t>
            </w:r>
          </w:p>
        </w:tc>
        <w:tc>
          <w:tcPr>
            <w:tcW w:w="1183" w:type="pct"/>
            <w:tcBorders>
              <w:top w:val="single" w:color="000000" w:sz="4" w:space="0"/>
              <w:left w:val="single" w:color="000000" w:sz="4" w:space="0"/>
              <w:bottom w:val="single" w:color="000000" w:sz="4" w:space="0"/>
              <w:right w:val="single" w:color="000000" w:sz="4" w:space="0"/>
            </w:tcBorders>
          </w:tcPr>
          <w:p w14:paraId="186A4EEC">
            <w:pPr>
              <w:pStyle w:val="9"/>
              <w:spacing w:before="236"/>
              <w:ind w:left="115"/>
              <w:rPr>
                <w:sz w:val="21"/>
              </w:rPr>
            </w:pPr>
            <w:r>
              <w:rPr>
                <w:rFonts w:hint="eastAsia"/>
                <w:sz w:val="21"/>
              </w:rPr>
              <w:t>Read</w:t>
            </w:r>
          </w:p>
        </w:tc>
        <w:tc>
          <w:tcPr>
            <w:tcW w:w="3232" w:type="pct"/>
            <w:tcBorders>
              <w:top w:val="single" w:color="000000" w:sz="4" w:space="0"/>
              <w:left w:val="single" w:color="000000" w:sz="4" w:space="0"/>
              <w:bottom w:val="single" w:color="000000" w:sz="4" w:space="0"/>
            </w:tcBorders>
          </w:tcPr>
          <w:p w14:paraId="6805BC27">
            <w:pPr>
              <w:pStyle w:val="9"/>
              <w:spacing w:before="99" w:line="266" w:lineRule="auto"/>
              <w:ind w:left="118" w:right="226"/>
              <w:rPr>
                <w:sz w:val="21"/>
              </w:rPr>
            </w:pPr>
            <w:r>
              <w:rPr>
                <w:rFonts w:hint="eastAsia"/>
                <w:spacing w:val="-2"/>
                <w:sz w:val="21"/>
              </w:rPr>
              <w:t>Read the algorithm parameter values in the current lower-level machine software. When opening the "Algorithm Parameter Configuration" sub-interface for the first time, this operation needs to be performed.</w:t>
            </w:r>
          </w:p>
        </w:tc>
      </w:tr>
      <w:tr w14:paraId="7EAD67B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36" w:hRule="atLeast"/>
        </w:trPr>
        <w:tc>
          <w:tcPr>
            <w:tcW w:w="584" w:type="pct"/>
            <w:vMerge w:val="continue"/>
            <w:tcBorders>
              <w:top w:val="nil"/>
              <w:bottom w:val="single" w:color="000000" w:sz="4" w:space="0"/>
              <w:right w:val="single" w:color="000000" w:sz="4" w:space="0"/>
            </w:tcBorders>
          </w:tcPr>
          <w:p w14:paraId="6DD9F8D4">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468B48D1">
            <w:pPr>
              <w:pStyle w:val="9"/>
              <w:spacing w:before="234"/>
              <w:ind w:left="115"/>
              <w:rPr>
                <w:sz w:val="21"/>
              </w:rPr>
            </w:pPr>
            <w:r>
              <w:rPr>
                <w:rFonts w:hint="eastAsia"/>
                <w:spacing w:val="-5"/>
                <w:sz w:val="21"/>
                <w:lang w:val="en-US" w:eastAsia="zh-CN"/>
              </w:rPr>
              <w:t>S</w:t>
            </w:r>
            <w:r>
              <w:rPr>
                <w:rFonts w:hint="eastAsia"/>
                <w:spacing w:val="-5"/>
                <w:sz w:val="21"/>
              </w:rPr>
              <w:t>ettings</w:t>
            </w:r>
          </w:p>
        </w:tc>
        <w:tc>
          <w:tcPr>
            <w:tcW w:w="3232" w:type="pct"/>
            <w:tcBorders>
              <w:top w:val="single" w:color="000000" w:sz="4" w:space="0"/>
              <w:left w:val="single" w:color="000000" w:sz="4" w:space="0"/>
              <w:bottom w:val="single" w:color="000000" w:sz="4" w:space="0"/>
            </w:tcBorders>
          </w:tcPr>
          <w:p w14:paraId="700EA5B2">
            <w:pPr>
              <w:pStyle w:val="9"/>
              <w:spacing w:before="97" w:line="266" w:lineRule="auto"/>
              <w:ind w:left="118" w:right="227"/>
              <w:rPr>
                <w:sz w:val="21"/>
              </w:rPr>
            </w:pPr>
            <w:r>
              <w:rPr>
                <w:rFonts w:hint="eastAsia"/>
                <w:spacing w:val="-2"/>
                <w:sz w:val="21"/>
              </w:rPr>
              <w:t>Send the algorithm parameter values online to the lower-level machine software. When modifying the algorithm parameter values, this operation must be carried out; only then will the lower-level machine software update the parameters.</w:t>
            </w:r>
          </w:p>
        </w:tc>
      </w:tr>
      <w:tr w14:paraId="2A46F6B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489" w:hRule="atLeast"/>
        </w:trPr>
        <w:tc>
          <w:tcPr>
            <w:tcW w:w="584" w:type="pct"/>
            <w:vMerge w:val="restart"/>
            <w:tcBorders>
              <w:top w:val="single" w:color="000000" w:sz="4" w:space="0"/>
              <w:right w:val="single" w:color="000000" w:sz="4" w:space="0"/>
            </w:tcBorders>
          </w:tcPr>
          <w:p w14:paraId="77C8A555">
            <w:pPr>
              <w:pStyle w:val="9"/>
              <w:rPr>
                <w:sz w:val="21"/>
              </w:rPr>
            </w:pPr>
          </w:p>
          <w:p w14:paraId="0C737007">
            <w:pPr>
              <w:pStyle w:val="9"/>
              <w:rPr>
                <w:sz w:val="21"/>
              </w:rPr>
            </w:pPr>
          </w:p>
          <w:p w14:paraId="33C23292">
            <w:pPr>
              <w:pStyle w:val="9"/>
              <w:rPr>
                <w:sz w:val="21"/>
              </w:rPr>
            </w:pPr>
          </w:p>
          <w:p w14:paraId="7BFC6943">
            <w:pPr>
              <w:pStyle w:val="9"/>
              <w:rPr>
                <w:sz w:val="21"/>
              </w:rPr>
            </w:pPr>
          </w:p>
          <w:p w14:paraId="1E7D3A91">
            <w:pPr>
              <w:pStyle w:val="9"/>
              <w:rPr>
                <w:sz w:val="21"/>
              </w:rPr>
            </w:pPr>
          </w:p>
          <w:p w14:paraId="0B6A62F0">
            <w:pPr>
              <w:pStyle w:val="9"/>
              <w:rPr>
                <w:sz w:val="21"/>
              </w:rPr>
            </w:pPr>
          </w:p>
          <w:p w14:paraId="2ED66899">
            <w:pPr>
              <w:pStyle w:val="9"/>
              <w:rPr>
                <w:sz w:val="21"/>
              </w:rPr>
            </w:pPr>
          </w:p>
          <w:p w14:paraId="54AC4449">
            <w:pPr>
              <w:pStyle w:val="9"/>
              <w:rPr>
                <w:sz w:val="21"/>
              </w:rPr>
            </w:pPr>
          </w:p>
          <w:p w14:paraId="54A2AEBF">
            <w:pPr>
              <w:pStyle w:val="9"/>
              <w:rPr>
                <w:sz w:val="21"/>
              </w:rPr>
            </w:pPr>
          </w:p>
          <w:p w14:paraId="3CBBCA4C">
            <w:pPr>
              <w:pStyle w:val="9"/>
              <w:rPr>
                <w:sz w:val="21"/>
              </w:rPr>
            </w:pPr>
          </w:p>
          <w:p w14:paraId="6B3402B1">
            <w:pPr>
              <w:pStyle w:val="9"/>
              <w:spacing w:before="67"/>
              <w:rPr>
                <w:sz w:val="21"/>
              </w:rPr>
            </w:pPr>
          </w:p>
          <w:p w14:paraId="7AC4E13A">
            <w:pPr>
              <w:pStyle w:val="9"/>
              <w:ind w:left="277"/>
              <w:rPr>
                <w:sz w:val="21"/>
              </w:rPr>
            </w:pPr>
            <w:r>
              <w:rPr>
                <w:rFonts w:hint="eastAsia"/>
                <w:spacing w:val="-5"/>
                <w:sz w:val="21"/>
              </w:rPr>
              <w:t>Function</w:t>
            </w:r>
          </w:p>
        </w:tc>
        <w:tc>
          <w:tcPr>
            <w:tcW w:w="1183" w:type="pct"/>
            <w:tcBorders>
              <w:top w:val="single" w:color="000000" w:sz="4" w:space="0"/>
              <w:left w:val="single" w:color="000000" w:sz="4" w:space="0"/>
              <w:bottom w:val="single" w:color="000000" w:sz="4" w:space="0"/>
              <w:right w:val="single" w:color="000000" w:sz="4" w:space="0"/>
            </w:tcBorders>
          </w:tcPr>
          <w:p w14:paraId="194C6CDF">
            <w:pPr>
              <w:pStyle w:val="9"/>
              <w:rPr>
                <w:sz w:val="21"/>
              </w:rPr>
            </w:pPr>
          </w:p>
          <w:p w14:paraId="3825AC63">
            <w:pPr>
              <w:pStyle w:val="9"/>
              <w:spacing w:before="79"/>
              <w:rPr>
                <w:sz w:val="21"/>
              </w:rPr>
            </w:pPr>
          </w:p>
          <w:p w14:paraId="73A8D725">
            <w:pPr>
              <w:pStyle w:val="9"/>
              <w:ind w:left="115"/>
              <w:rPr>
                <w:sz w:val="21"/>
              </w:rPr>
            </w:pPr>
            <w:r>
              <w:rPr>
                <w:rFonts w:hint="eastAsia"/>
                <w:spacing w:val="-4"/>
                <w:sz w:val="21"/>
              </w:rPr>
              <w:t>Alarm distance</w:t>
            </w:r>
          </w:p>
        </w:tc>
        <w:tc>
          <w:tcPr>
            <w:tcW w:w="3232" w:type="pct"/>
            <w:tcBorders>
              <w:top w:val="single" w:color="000000" w:sz="4" w:space="0"/>
              <w:left w:val="single" w:color="000000" w:sz="4" w:space="0"/>
              <w:bottom w:val="single" w:color="000000" w:sz="4" w:space="0"/>
            </w:tcBorders>
          </w:tcPr>
          <w:p w14:paraId="21336237">
            <w:pPr>
              <w:pStyle w:val="9"/>
              <w:spacing w:line="300" w:lineRule="atLeast"/>
              <w:ind w:left="118" w:right="72"/>
              <w:rPr>
                <w:rFonts w:hint="eastAsia"/>
                <w:spacing w:val="-4"/>
                <w:sz w:val="21"/>
              </w:rPr>
            </w:pPr>
            <w:r>
              <w:rPr>
                <w:rFonts w:hint="eastAsia"/>
                <w:spacing w:val="-4"/>
                <w:sz w:val="21"/>
              </w:rPr>
              <w:t>Radar alarm distance: When the target distance is less than the alarm distance parameter, it will be displayed as an alarm (red light).</w:t>
            </w:r>
          </w:p>
          <w:p w14:paraId="3C67A46D">
            <w:pPr>
              <w:pStyle w:val="9"/>
              <w:spacing w:line="300" w:lineRule="atLeast"/>
              <w:ind w:left="118" w:right="72"/>
              <w:rPr>
                <w:rFonts w:hint="eastAsia"/>
                <w:spacing w:val="-4"/>
                <w:sz w:val="21"/>
              </w:rPr>
            </w:pPr>
            <w:r>
              <w:rPr>
                <w:rFonts w:hint="eastAsia"/>
                <w:spacing w:val="-4"/>
                <w:sz w:val="21"/>
              </w:rPr>
              <w:t>Range: 0.01 - 4.50 meters. Default value: 0.50 meters.</w:t>
            </w:r>
          </w:p>
          <w:p w14:paraId="1CFC40D1">
            <w:pPr>
              <w:pStyle w:val="9"/>
              <w:spacing w:line="300" w:lineRule="atLeast"/>
              <w:ind w:left="118" w:right="72"/>
              <w:rPr>
                <w:sz w:val="21"/>
              </w:rPr>
            </w:pPr>
            <w:r>
              <w:rPr>
                <w:rFonts w:hint="eastAsia"/>
                <w:spacing w:val="-4"/>
                <w:sz w:val="21"/>
              </w:rPr>
              <w:t>Note: This parameter only affects the color of the indicator light displayed by the upper-level machine software, and has no effect on the lower-level machine.</w:t>
            </w:r>
          </w:p>
        </w:tc>
      </w:tr>
      <w:tr w14:paraId="6BB1DA5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52" w:hRule="atLeast"/>
        </w:trPr>
        <w:tc>
          <w:tcPr>
            <w:tcW w:w="584" w:type="pct"/>
            <w:vMerge w:val="continue"/>
            <w:tcBorders>
              <w:top w:val="nil"/>
              <w:right w:val="single" w:color="000000" w:sz="4" w:space="0"/>
            </w:tcBorders>
          </w:tcPr>
          <w:p w14:paraId="563157EA">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7C843CE0">
            <w:pPr>
              <w:pStyle w:val="9"/>
              <w:spacing w:before="188"/>
              <w:ind w:left="115"/>
              <w:rPr>
                <w:sz w:val="21"/>
              </w:rPr>
            </w:pPr>
            <w:r>
              <w:rPr>
                <w:rFonts w:hint="eastAsia"/>
                <w:spacing w:val="-4"/>
                <w:sz w:val="21"/>
              </w:rPr>
              <w:t xml:space="preserve">Target retention function </w:t>
            </w:r>
          </w:p>
        </w:tc>
        <w:tc>
          <w:tcPr>
            <w:tcW w:w="3232" w:type="pct"/>
            <w:tcBorders>
              <w:top w:val="single" w:color="000000" w:sz="4" w:space="0"/>
              <w:left w:val="single" w:color="000000" w:sz="4" w:space="0"/>
              <w:bottom w:val="single" w:color="000000" w:sz="4" w:space="0"/>
            </w:tcBorders>
          </w:tcPr>
          <w:p w14:paraId="6B2DD23C">
            <w:pPr>
              <w:pStyle w:val="9"/>
              <w:spacing w:before="200"/>
              <w:ind w:left="118"/>
              <w:rPr>
                <w:sz w:val="21"/>
              </w:rPr>
            </w:pPr>
            <w:r>
              <w:rPr>
                <w:rFonts w:hint="eastAsia"/>
                <w:spacing w:val="-3"/>
                <w:sz w:val="21"/>
              </w:rPr>
              <w:t>Enable or disable the target retention function</w:t>
            </w:r>
          </w:p>
        </w:tc>
      </w:tr>
      <w:tr w14:paraId="2F42F40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41" w:hRule="atLeast"/>
        </w:trPr>
        <w:tc>
          <w:tcPr>
            <w:tcW w:w="584" w:type="pct"/>
            <w:vMerge w:val="continue"/>
            <w:tcBorders>
              <w:top w:val="nil"/>
              <w:right w:val="single" w:color="000000" w:sz="4" w:space="0"/>
            </w:tcBorders>
          </w:tcPr>
          <w:p w14:paraId="7D454AFF">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29665450">
            <w:pPr>
              <w:pStyle w:val="9"/>
              <w:spacing w:before="69"/>
              <w:rPr>
                <w:sz w:val="21"/>
              </w:rPr>
            </w:pPr>
          </w:p>
          <w:p w14:paraId="06D23120">
            <w:pPr>
              <w:pStyle w:val="9"/>
              <w:spacing w:before="1"/>
              <w:ind w:left="115"/>
              <w:rPr>
                <w:sz w:val="21"/>
              </w:rPr>
            </w:pPr>
            <w:r>
              <w:rPr>
                <w:rFonts w:hint="eastAsia"/>
                <w:spacing w:val="-4"/>
                <w:sz w:val="21"/>
              </w:rPr>
              <w:t>Keep a distance</w:t>
            </w:r>
          </w:p>
        </w:tc>
        <w:tc>
          <w:tcPr>
            <w:tcW w:w="3232" w:type="pct"/>
            <w:tcBorders>
              <w:top w:val="single" w:color="000000" w:sz="4" w:space="0"/>
              <w:left w:val="single" w:color="000000" w:sz="4" w:space="0"/>
              <w:bottom w:val="single" w:color="000000" w:sz="4" w:space="0"/>
            </w:tcBorders>
          </w:tcPr>
          <w:p w14:paraId="64FD038B">
            <w:pPr>
              <w:pStyle w:val="9"/>
              <w:spacing w:before="2"/>
              <w:ind w:left="117"/>
              <w:rPr>
                <w:rFonts w:hint="eastAsia"/>
                <w:spacing w:val="-4"/>
                <w:sz w:val="21"/>
              </w:rPr>
            </w:pPr>
            <w:r>
              <w:rPr>
                <w:rFonts w:hint="eastAsia"/>
                <w:spacing w:val="-4"/>
                <w:sz w:val="21"/>
              </w:rPr>
              <w:t>Set the range of the retention function. Within this range, if the target is lost, it will maintain the last distance.</w:t>
            </w:r>
          </w:p>
          <w:p w14:paraId="61AF7FAD">
            <w:pPr>
              <w:pStyle w:val="9"/>
              <w:spacing w:before="2"/>
              <w:ind w:left="117"/>
              <w:rPr>
                <w:sz w:val="21"/>
              </w:rPr>
            </w:pPr>
            <w:r>
              <w:rPr>
                <w:rFonts w:hint="eastAsia"/>
                <w:spacing w:val="-4"/>
                <w:sz w:val="21"/>
              </w:rPr>
              <w:t>Range: 0.01 - 4.50 meters. Default value: 3.00 meters.</w:t>
            </w:r>
          </w:p>
        </w:tc>
      </w:tr>
      <w:tr w14:paraId="305270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4" w:hRule="atLeast"/>
        </w:trPr>
        <w:tc>
          <w:tcPr>
            <w:tcW w:w="584" w:type="pct"/>
            <w:vMerge w:val="continue"/>
            <w:tcBorders>
              <w:top w:val="nil"/>
              <w:right w:val="single" w:color="000000" w:sz="4" w:space="0"/>
            </w:tcBorders>
          </w:tcPr>
          <w:p w14:paraId="4EE3E09A">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1304E20A">
            <w:pPr>
              <w:pStyle w:val="9"/>
              <w:spacing w:before="69"/>
              <w:rPr>
                <w:sz w:val="21"/>
              </w:rPr>
            </w:pPr>
          </w:p>
          <w:p w14:paraId="2966640D">
            <w:pPr>
              <w:pStyle w:val="9"/>
              <w:spacing w:before="1"/>
              <w:ind w:left="115"/>
              <w:rPr>
                <w:sz w:val="21"/>
              </w:rPr>
            </w:pPr>
            <w:r>
              <w:rPr>
                <w:rFonts w:hint="eastAsia"/>
                <w:spacing w:val="-4"/>
                <w:sz w:val="21"/>
              </w:rPr>
              <w:t>Maintain time</w:t>
            </w:r>
          </w:p>
        </w:tc>
        <w:tc>
          <w:tcPr>
            <w:tcW w:w="3232" w:type="pct"/>
            <w:tcBorders>
              <w:top w:val="single" w:color="000000" w:sz="4" w:space="0"/>
              <w:left w:val="single" w:color="000000" w:sz="4" w:space="0"/>
              <w:bottom w:val="single" w:color="000000" w:sz="4" w:space="0"/>
            </w:tcBorders>
          </w:tcPr>
          <w:p w14:paraId="0AB2BE2D">
            <w:pPr>
              <w:pStyle w:val="9"/>
              <w:spacing w:before="3"/>
              <w:ind w:left="117"/>
              <w:rPr>
                <w:sz w:val="21"/>
              </w:rPr>
            </w:pPr>
            <w:r>
              <w:rPr>
                <w:rFonts w:hint="eastAsia"/>
                <w:spacing w:val="-8"/>
                <w:sz w:val="21"/>
              </w:rPr>
              <w:t>Set the duration for the retention function. This is the time during which the last distance information is maintained when the target is lost. If this time is exceeded, the information will be cleared. The range is 1 to 120 seconds, with the default value being 10 seconds.</w:t>
            </w:r>
          </w:p>
        </w:tc>
      </w:tr>
      <w:tr w14:paraId="0B9555A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61" w:hRule="atLeast"/>
        </w:trPr>
        <w:tc>
          <w:tcPr>
            <w:tcW w:w="584" w:type="pct"/>
            <w:vMerge w:val="continue"/>
            <w:tcBorders>
              <w:top w:val="nil"/>
              <w:right w:val="single" w:color="000000" w:sz="4" w:space="0"/>
            </w:tcBorders>
          </w:tcPr>
          <w:p w14:paraId="18441BE2">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444A19EA">
            <w:pPr>
              <w:pStyle w:val="9"/>
              <w:spacing w:before="197"/>
              <w:ind w:left="115"/>
              <w:rPr>
                <w:sz w:val="21"/>
              </w:rPr>
            </w:pPr>
            <w:r>
              <w:rPr>
                <w:rFonts w:hint="eastAsia"/>
                <w:spacing w:val="-4"/>
                <w:sz w:val="21"/>
              </w:rPr>
              <w:t>Detection distance (range)</w:t>
            </w:r>
          </w:p>
        </w:tc>
        <w:tc>
          <w:tcPr>
            <w:tcW w:w="3232" w:type="pct"/>
            <w:tcBorders>
              <w:top w:val="single" w:color="000000" w:sz="4" w:space="0"/>
              <w:left w:val="single" w:color="000000" w:sz="4" w:space="0"/>
              <w:bottom w:val="single" w:color="000000" w:sz="4" w:space="0"/>
            </w:tcBorders>
          </w:tcPr>
          <w:p w14:paraId="63E41256">
            <w:pPr>
              <w:pStyle w:val="9"/>
              <w:spacing w:before="31"/>
              <w:ind w:left="118"/>
              <w:rPr>
                <w:rFonts w:hint="eastAsia"/>
                <w:spacing w:val="-2"/>
                <w:sz w:val="21"/>
              </w:rPr>
            </w:pPr>
            <w:r>
              <w:rPr>
                <w:rFonts w:hint="eastAsia"/>
                <w:spacing w:val="-2"/>
                <w:sz w:val="21"/>
              </w:rPr>
              <w:t>The maximum detection range (range) of the radar.</w:t>
            </w:r>
          </w:p>
          <w:p w14:paraId="29F4321E">
            <w:pPr>
              <w:pStyle w:val="9"/>
              <w:spacing w:before="31"/>
              <w:ind w:left="118"/>
              <w:rPr>
                <w:sz w:val="21"/>
              </w:rPr>
            </w:pPr>
            <w:r>
              <w:rPr>
                <w:rFonts w:hint="eastAsia"/>
                <w:spacing w:val="-2"/>
                <w:sz w:val="21"/>
              </w:rPr>
              <w:t>Range: 0.01 - 4.50 meters. The default value is 3.00 meters.</w:t>
            </w:r>
          </w:p>
        </w:tc>
      </w:tr>
      <w:tr w14:paraId="7C5F679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16" w:hRule="atLeast"/>
        </w:trPr>
        <w:tc>
          <w:tcPr>
            <w:tcW w:w="584" w:type="pct"/>
            <w:vMerge w:val="continue"/>
            <w:tcBorders>
              <w:top w:val="nil"/>
              <w:right w:val="single" w:color="000000" w:sz="4" w:space="0"/>
            </w:tcBorders>
          </w:tcPr>
          <w:p w14:paraId="4FE7E0E4">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78EFFD0D">
            <w:pPr>
              <w:pStyle w:val="9"/>
              <w:spacing w:before="224"/>
              <w:ind w:left="115"/>
              <w:rPr>
                <w:sz w:val="21"/>
              </w:rPr>
            </w:pPr>
            <w:r>
              <w:rPr>
                <w:rFonts w:hint="eastAsia"/>
                <w:spacing w:val="-4"/>
                <w:sz w:val="21"/>
              </w:rPr>
              <w:t>Angle boundary (-)</w:t>
            </w:r>
          </w:p>
        </w:tc>
        <w:tc>
          <w:tcPr>
            <w:tcW w:w="3232" w:type="pct"/>
            <w:tcBorders>
              <w:top w:val="single" w:color="000000" w:sz="4" w:space="0"/>
              <w:left w:val="single" w:color="000000" w:sz="4" w:space="0"/>
              <w:bottom w:val="single" w:color="000000" w:sz="4" w:space="0"/>
            </w:tcBorders>
          </w:tcPr>
          <w:p w14:paraId="7A22E491">
            <w:pPr>
              <w:pStyle w:val="9"/>
              <w:spacing w:before="30"/>
              <w:ind w:left="118"/>
              <w:rPr>
                <w:sz w:val="21"/>
              </w:rPr>
            </w:pPr>
            <w:r>
              <w:rPr>
                <w:rFonts w:hint="eastAsia"/>
              </w:rPr>
              <w:t>Set the maximum negative angle for radar angle measurement. Any angle exceeding this limit will be excluded. The range is from 1 to 75 degrees, with the recommended value being 60 degrees.</w:t>
            </w:r>
          </w:p>
        </w:tc>
      </w:tr>
      <w:tr w14:paraId="6D4590D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26" w:hRule="atLeast"/>
        </w:trPr>
        <w:tc>
          <w:tcPr>
            <w:tcW w:w="584" w:type="pct"/>
            <w:vMerge w:val="continue"/>
            <w:tcBorders>
              <w:top w:val="nil"/>
              <w:right w:val="single" w:color="000000" w:sz="4" w:space="0"/>
            </w:tcBorders>
          </w:tcPr>
          <w:p w14:paraId="3BE200E9">
            <w:pPr>
              <w:rPr>
                <w:sz w:val="2"/>
                <w:szCs w:val="2"/>
              </w:rPr>
            </w:pPr>
          </w:p>
        </w:tc>
        <w:tc>
          <w:tcPr>
            <w:tcW w:w="1183" w:type="pct"/>
            <w:tcBorders>
              <w:top w:val="single" w:color="000000" w:sz="4" w:space="0"/>
              <w:left w:val="single" w:color="000000" w:sz="4" w:space="0"/>
              <w:right w:val="single" w:color="000000" w:sz="4" w:space="0"/>
            </w:tcBorders>
          </w:tcPr>
          <w:p w14:paraId="02116E33">
            <w:pPr>
              <w:pStyle w:val="9"/>
              <w:spacing w:before="226"/>
              <w:ind w:left="115"/>
              <w:rPr>
                <w:sz w:val="21"/>
              </w:rPr>
            </w:pPr>
            <w:r>
              <w:rPr>
                <w:rFonts w:hint="eastAsia"/>
                <w:spacing w:val="-4"/>
                <w:sz w:val="21"/>
              </w:rPr>
              <w:t>Angle boundary (+)</w:t>
            </w:r>
          </w:p>
        </w:tc>
        <w:tc>
          <w:tcPr>
            <w:tcW w:w="3232" w:type="pct"/>
            <w:tcBorders>
              <w:top w:val="single" w:color="000000" w:sz="4" w:space="0"/>
              <w:left w:val="single" w:color="000000" w:sz="4" w:space="0"/>
            </w:tcBorders>
          </w:tcPr>
          <w:p w14:paraId="41D2B301">
            <w:pPr>
              <w:pStyle w:val="9"/>
              <w:spacing w:before="31"/>
              <w:ind w:left="118"/>
              <w:rPr>
                <w:sz w:val="21"/>
              </w:rPr>
            </w:pPr>
            <w:r>
              <w:rPr>
                <w:rFonts w:hint="eastAsia"/>
                <w:spacing w:val="-5"/>
                <w:sz w:val="21"/>
              </w:rPr>
              <w:t>Set the maximum positive angle for radar angle measurement. Any angle exceeding this limit will be excluded. The range is from 1 to 75 degrees, with the recommended value being 60 degrees.</w:t>
            </w:r>
          </w:p>
        </w:tc>
      </w:tr>
    </w:tbl>
    <w:p w14:paraId="7991D502">
      <w:pPr>
        <w:pStyle w:val="9"/>
        <w:spacing w:after="0"/>
        <w:rPr>
          <w:sz w:val="21"/>
        </w:rPr>
        <w:sectPr>
          <w:type w:val="continuous"/>
          <w:pgSz w:w="11910" w:h="16840"/>
          <w:pgMar w:top="1920" w:right="992" w:bottom="280" w:left="992" w:header="0" w:footer="835" w:gutter="0"/>
          <w:cols w:space="720" w:num="1"/>
        </w:sectPr>
      </w:pPr>
    </w:p>
    <w:p w14:paraId="0B0432F0">
      <w:pPr>
        <w:pStyle w:val="8"/>
        <w:numPr>
          <w:numId w:val="0"/>
        </w:numPr>
        <w:tabs>
          <w:tab w:val="left" w:pos="925"/>
        </w:tabs>
        <w:spacing w:before="154" w:after="0" w:line="240" w:lineRule="auto"/>
        <w:ind w:left="565" w:leftChars="0" w:right="0" w:rightChars="0"/>
        <w:jc w:val="left"/>
        <w:rPr>
          <w:sz w:val="24"/>
        </w:rPr>
      </w:pPr>
    </w:p>
    <w:p w14:paraId="59640163">
      <w:pPr>
        <w:pStyle w:val="8"/>
        <w:numPr>
          <w:numId w:val="0"/>
        </w:numPr>
        <w:tabs>
          <w:tab w:val="left" w:pos="925"/>
        </w:tabs>
        <w:spacing w:before="154" w:after="0" w:line="240" w:lineRule="auto"/>
        <w:ind w:left="565" w:leftChars="0" w:right="0" w:rightChars="0"/>
        <w:jc w:val="left"/>
        <w:rPr>
          <w:sz w:val="24"/>
        </w:rPr>
      </w:pPr>
    </w:p>
    <w:p w14:paraId="40509484">
      <w:pPr>
        <w:pStyle w:val="8"/>
        <w:numPr>
          <w:numId w:val="0"/>
        </w:numPr>
        <w:tabs>
          <w:tab w:val="left" w:pos="925"/>
        </w:tabs>
        <w:spacing w:before="154" w:after="0" w:line="240" w:lineRule="auto"/>
        <w:ind w:left="565" w:leftChars="0" w:right="0" w:rightChars="0"/>
        <w:jc w:val="left"/>
        <w:rPr>
          <w:sz w:val="24"/>
        </w:rPr>
      </w:pPr>
    </w:p>
    <w:p w14:paraId="4E62D384">
      <w:pPr>
        <w:pStyle w:val="8"/>
        <w:numPr>
          <w:numId w:val="0"/>
        </w:numPr>
        <w:tabs>
          <w:tab w:val="left" w:pos="925"/>
        </w:tabs>
        <w:spacing w:before="154" w:after="0" w:line="240" w:lineRule="auto"/>
        <w:ind w:right="0" w:rightChars="0"/>
        <w:jc w:val="left"/>
        <w:rPr>
          <w:sz w:val="24"/>
        </w:rPr>
      </w:pPr>
    </w:p>
    <w:tbl>
      <w:tblPr>
        <w:tblStyle w:val="5"/>
        <w:tblpPr w:leftFromText="180" w:rightFromText="180" w:vertAnchor="page" w:horzAnchor="page" w:tblpX="1344" w:tblpY="6672"/>
        <w:tblOverlap w:val="never"/>
        <w:tblW w:w="4998"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303"/>
        <w:gridCol w:w="2285"/>
        <w:gridCol w:w="6364"/>
      </w:tblGrid>
      <w:tr w14:paraId="76D8BCB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5" w:hRule="atLeast"/>
        </w:trPr>
        <w:tc>
          <w:tcPr>
            <w:tcW w:w="584" w:type="pct"/>
            <w:tcBorders>
              <w:bottom w:val="single" w:color="000000" w:sz="4" w:space="0"/>
              <w:right w:val="single" w:color="000000" w:sz="4" w:space="0"/>
            </w:tcBorders>
          </w:tcPr>
          <w:p w14:paraId="2984B6E2">
            <w:pPr>
              <w:pStyle w:val="9"/>
              <w:spacing w:before="94"/>
              <w:ind w:left="277"/>
              <w:rPr>
                <w:sz w:val="21"/>
              </w:rPr>
            </w:pPr>
            <w:r>
              <w:rPr>
                <w:rFonts w:hint="eastAsia"/>
                <w:spacing w:val="-5"/>
                <w:sz w:val="21"/>
              </w:rPr>
              <w:t>Category</w:t>
            </w:r>
          </w:p>
        </w:tc>
        <w:tc>
          <w:tcPr>
            <w:tcW w:w="1183" w:type="pct"/>
            <w:tcBorders>
              <w:left w:val="single" w:color="000000" w:sz="4" w:space="0"/>
              <w:bottom w:val="single" w:color="000000" w:sz="4" w:space="0"/>
              <w:right w:val="single" w:color="000000" w:sz="4" w:space="0"/>
            </w:tcBorders>
          </w:tcPr>
          <w:p w14:paraId="31D3996F">
            <w:pPr>
              <w:pStyle w:val="9"/>
              <w:spacing w:before="94"/>
              <w:ind w:left="30" w:right="1"/>
              <w:jc w:val="center"/>
              <w:rPr>
                <w:rFonts w:hint="default" w:eastAsia="宋体"/>
                <w:sz w:val="21"/>
                <w:lang w:val="en-US" w:eastAsia="zh-CN"/>
              </w:rPr>
            </w:pPr>
            <w:r>
              <w:rPr>
                <w:rFonts w:hint="eastAsia"/>
                <w:sz w:val="21"/>
                <w:lang w:val="en-US" w:eastAsia="zh-CN"/>
              </w:rPr>
              <w:t>Name</w:t>
            </w:r>
          </w:p>
        </w:tc>
        <w:tc>
          <w:tcPr>
            <w:tcW w:w="3232" w:type="pct"/>
            <w:tcBorders>
              <w:left w:val="single" w:color="000000" w:sz="4" w:space="0"/>
              <w:bottom w:val="single" w:color="000000" w:sz="4" w:space="0"/>
            </w:tcBorders>
          </w:tcPr>
          <w:p w14:paraId="2E76DB77">
            <w:pPr>
              <w:pStyle w:val="9"/>
              <w:spacing w:before="94"/>
              <w:ind w:left="43" w:right="1"/>
              <w:jc w:val="center"/>
              <w:rPr>
                <w:sz w:val="21"/>
              </w:rPr>
            </w:pPr>
            <w:r>
              <w:rPr>
                <w:rFonts w:hint="eastAsia"/>
                <w:spacing w:val="-5"/>
                <w:sz w:val="21"/>
              </w:rPr>
              <w:t xml:space="preserve"> Description</w:t>
            </w:r>
          </w:p>
        </w:tc>
      </w:tr>
      <w:tr w14:paraId="0211508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26" w:hRule="atLeast"/>
        </w:trPr>
        <w:tc>
          <w:tcPr>
            <w:tcW w:w="584" w:type="pct"/>
            <w:vMerge w:val="restart"/>
            <w:tcBorders>
              <w:top w:val="single" w:color="000000" w:sz="4" w:space="0"/>
              <w:right w:val="single" w:color="000000" w:sz="4" w:space="0"/>
            </w:tcBorders>
          </w:tcPr>
          <w:p w14:paraId="4DF121D6">
            <w:pPr>
              <w:pStyle w:val="9"/>
              <w:rPr>
                <w:sz w:val="21"/>
              </w:rPr>
            </w:pPr>
          </w:p>
          <w:p w14:paraId="24C07AB0">
            <w:pPr>
              <w:pStyle w:val="9"/>
              <w:rPr>
                <w:sz w:val="21"/>
              </w:rPr>
            </w:pPr>
          </w:p>
          <w:p w14:paraId="0310FD6B">
            <w:pPr>
              <w:pStyle w:val="9"/>
              <w:rPr>
                <w:sz w:val="21"/>
              </w:rPr>
            </w:pPr>
          </w:p>
          <w:p w14:paraId="0BA23832">
            <w:pPr>
              <w:pStyle w:val="9"/>
              <w:rPr>
                <w:sz w:val="21"/>
              </w:rPr>
            </w:pPr>
          </w:p>
          <w:p w14:paraId="0A421A85">
            <w:pPr>
              <w:pStyle w:val="9"/>
              <w:rPr>
                <w:sz w:val="21"/>
              </w:rPr>
            </w:pPr>
          </w:p>
          <w:p w14:paraId="51DD0A4D">
            <w:pPr>
              <w:pStyle w:val="9"/>
              <w:rPr>
                <w:sz w:val="21"/>
              </w:rPr>
            </w:pPr>
          </w:p>
          <w:p w14:paraId="3319E083">
            <w:pPr>
              <w:pStyle w:val="9"/>
              <w:rPr>
                <w:sz w:val="21"/>
              </w:rPr>
            </w:pPr>
          </w:p>
          <w:p w14:paraId="6480F0C0">
            <w:pPr>
              <w:pStyle w:val="9"/>
              <w:spacing w:before="34"/>
              <w:rPr>
                <w:sz w:val="21"/>
              </w:rPr>
            </w:pPr>
          </w:p>
          <w:p w14:paraId="09CC28D5">
            <w:pPr>
              <w:pStyle w:val="9"/>
              <w:spacing w:before="1"/>
              <w:ind w:left="172"/>
              <w:rPr>
                <w:sz w:val="21"/>
              </w:rPr>
            </w:pPr>
            <w:r>
              <w:rPr>
                <w:rFonts w:hint="eastAsia"/>
                <w:spacing w:val="-4"/>
                <w:sz w:val="21"/>
              </w:rPr>
              <w:t>Sensitivity</w:t>
            </w:r>
          </w:p>
        </w:tc>
        <w:tc>
          <w:tcPr>
            <w:tcW w:w="1183" w:type="pct"/>
            <w:tcBorders>
              <w:top w:val="single" w:color="000000" w:sz="4" w:space="0"/>
              <w:left w:val="single" w:color="000000" w:sz="4" w:space="0"/>
              <w:bottom w:val="single" w:color="000000" w:sz="4" w:space="0"/>
              <w:right w:val="single" w:color="000000" w:sz="4" w:space="0"/>
            </w:tcBorders>
          </w:tcPr>
          <w:p w14:paraId="2DC9F29B">
            <w:pPr>
              <w:pStyle w:val="9"/>
              <w:spacing w:before="233"/>
              <w:ind w:left="115"/>
              <w:rPr>
                <w:sz w:val="21"/>
              </w:rPr>
            </w:pPr>
            <w:r>
              <w:rPr>
                <w:rFonts w:hint="eastAsia"/>
                <w:spacing w:val="-2"/>
                <w:sz w:val="21"/>
              </w:rPr>
              <w:t>CFAR1 detection factor</w:t>
            </w:r>
          </w:p>
        </w:tc>
        <w:tc>
          <w:tcPr>
            <w:tcW w:w="3232" w:type="pct"/>
            <w:tcBorders>
              <w:top w:val="single" w:color="000000" w:sz="4" w:space="0"/>
              <w:left w:val="single" w:color="000000" w:sz="4" w:space="0"/>
              <w:bottom w:val="single" w:color="000000" w:sz="4" w:space="0"/>
            </w:tcBorders>
          </w:tcPr>
          <w:p w14:paraId="1724386B">
            <w:pPr>
              <w:pStyle w:val="9"/>
              <w:spacing w:line="259" w:lineRule="exact"/>
              <w:ind w:left="118"/>
              <w:rPr>
                <w:rFonts w:hint="eastAsia"/>
                <w:spacing w:val="-2"/>
                <w:sz w:val="21"/>
              </w:rPr>
            </w:pPr>
            <w:r>
              <w:rPr>
                <w:rFonts w:hint="eastAsia"/>
                <w:spacing w:val="-2"/>
                <w:sz w:val="21"/>
              </w:rPr>
              <w:t>The CFAR threshold limit ranges from 0.01 to 20.0, with the recommended value being 1.50.</w:t>
            </w:r>
          </w:p>
          <w:p w14:paraId="0C0A51E0">
            <w:pPr>
              <w:pStyle w:val="9"/>
              <w:spacing w:line="259" w:lineRule="exact"/>
              <w:ind w:left="118"/>
              <w:rPr>
                <w:sz w:val="21"/>
              </w:rPr>
            </w:pPr>
            <w:r>
              <w:rPr>
                <w:rFonts w:hint="eastAsia"/>
                <w:spacing w:val="-2"/>
                <w:sz w:val="21"/>
              </w:rPr>
              <w:t>The larger the value, the lower the sensitivity, fewer false alarms, but weak targets are more likely to be missed.</w:t>
            </w:r>
          </w:p>
        </w:tc>
      </w:tr>
      <w:tr w14:paraId="6FEDF75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16" w:hRule="atLeast"/>
        </w:trPr>
        <w:tc>
          <w:tcPr>
            <w:tcW w:w="584" w:type="pct"/>
            <w:vMerge w:val="continue"/>
            <w:tcBorders>
              <w:top w:val="nil"/>
              <w:right w:val="single" w:color="000000" w:sz="4" w:space="0"/>
            </w:tcBorders>
          </w:tcPr>
          <w:p w14:paraId="4B82639F">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6C52FC49">
            <w:pPr>
              <w:pStyle w:val="9"/>
              <w:spacing w:before="226"/>
              <w:ind w:left="115"/>
              <w:rPr>
                <w:sz w:val="21"/>
              </w:rPr>
            </w:pPr>
            <w:r>
              <w:rPr>
                <w:rFonts w:hint="eastAsia"/>
                <w:spacing w:val="-2"/>
                <w:sz w:val="21"/>
              </w:rPr>
              <w:t>CFAR2 detection factor</w:t>
            </w:r>
          </w:p>
        </w:tc>
        <w:tc>
          <w:tcPr>
            <w:tcW w:w="3232" w:type="pct"/>
            <w:tcBorders>
              <w:top w:val="single" w:color="000000" w:sz="4" w:space="0"/>
              <w:left w:val="single" w:color="000000" w:sz="4" w:space="0"/>
              <w:bottom w:val="single" w:color="000000" w:sz="4" w:space="0"/>
            </w:tcBorders>
          </w:tcPr>
          <w:p w14:paraId="7B93EBB6">
            <w:pPr>
              <w:pStyle w:val="9"/>
              <w:spacing w:line="259" w:lineRule="exact"/>
              <w:ind w:left="118"/>
              <w:rPr>
                <w:rFonts w:hint="eastAsia"/>
                <w:spacing w:val="-2"/>
                <w:sz w:val="21"/>
              </w:rPr>
            </w:pPr>
            <w:r>
              <w:rPr>
                <w:rFonts w:hint="eastAsia"/>
                <w:spacing w:val="-2"/>
                <w:sz w:val="21"/>
              </w:rPr>
              <w:t>The CFAR threshold limit ranges from 0.01 to 20.0, with the recommended value being 1.50.</w:t>
            </w:r>
          </w:p>
          <w:p w14:paraId="134A220E">
            <w:pPr>
              <w:pStyle w:val="9"/>
              <w:spacing w:line="259" w:lineRule="exact"/>
              <w:ind w:left="118"/>
              <w:rPr>
                <w:sz w:val="21"/>
              </w:rPr>
            </w:pPr>
            <w:r>
              <w:rPr>
                <w:rFonts w:hint="eastAsia"/>
                <w:spacing w:val="-2"/>
                <w:sz w:val="21"/>
              </w:rPr>
              <w:t>The larger the value, the lower the sensitivity, fewer false alarms, but weak targets are more likely to be missed.</w:t>
            </w:r>
          </w:p>
        </w:tc>
      </w:tr>
      <w:tr w14:paraId="23B9A94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18" w:hRule="atLeast"/>
        </w:trPr>
        <w:tc>
          <w:tcPr>
            <w:tcW w:w="584" w:type="pct"/>
            <w:vMerge w:val="continue"/>
            <w:tcBorders>
              <w:top w:val="nil"/>
              <w:right w:val="single" w:color="000000" w:sz="4" w:space="0"/>
            </w:tcBorders>
          </w:tcPr>
          <w:p w14:paraId="767986DC">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51147298">
            <w:pPr>
              <w:pStyle w:val="9"/>
              <w:spacing w:before="226"/>
              <w:ind w:left="115"/>
              <w:rPr>
                <w:sz w:val="21"/>
              </w:rPr>
            </w:pPr>
            <w:r>
              <w:rPr>
                <w:rFonts w:hint="eastAsia"/>
                <w:spacing w:val="-4"/>
                <w:sz w:val="21"/>
              </w:rPr>
              <w:t>Cumulative frame count</w:t>
            </w:r>
          </w:p>
        </w:tc>
        <w:tc>
          <w:tcPr>
            <w:tcW w:w="3232" w:type="pct"/>
            <w:tcBorders>
              <w:top w:val="single" w:color="000000" w:sz="4" w:space="0"/>
              <w:left w:val="single" w:color="000000" w:sz="4" w:space="0"/>
              <w:bottom w:val="single" w:color="000000" w:sz="4" w:space="0"/>
            </w:tcBorders>
          </w:tcPr>
          <w:p w14:paraId="6A8D2538">
            <w:pPr>
              <w:pStyle w:val="9"/>
              <w:spacing w:line="259" w:lineRule="exact"/>
              <w:ind w:left="118" w:right="-44"/>
              <w:rPr>
                <w:rFonts w:hint="eastAsia"/>
                <w:spacing w:val="-7"/>
                <w:sz w:val="21"/>
              </w:rPr>
            </w:pPr>
            <w:r>
              <w:rPr>
                <w:rFonts w:hint="eastAsia"/>
                <w:spacing w:val="-7"/>
                <w:sz w:val="21"/>
              </w:rPr>
              <w:t>Multiple frame accumulation parameters, ranging from 1 to 32, with the recommended value being 8.</w:t>
            </w:r>
          </w:p>
          <w:p w14:paraId="7D71ED8A">
            <w:pPr>
              <w:pStyle w:val="9"/>
              <w:spacing w:line="259" w:lineRule="exact"/>
              <w:ind w:left="118" w:right="-44"/>
              <w:rPr>
                <w:sz w:val="21"/>
              </w:rPr>
            </w:pPr>
            <w:r>
              <w:rPr>
                <w:rFonts w:hint="eastAsia"/>
                <w:spacing w:val="-7"/>
                <w:sz w:val="21"/>
              </w:rPr>
              <w:t>The larger the value, the higher the sensitivity, making it easier to detect weak targets, but with a greater delay.</w:t>
            </w:r>
          </w:p>
        </w:tc>
      </w:tr>
      <w:tr w14:paraId="0080878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58" w:hRule="atLeast"/>
        </w:trPr>
        <w:tc>
          <w:tcPr>
            <w:tcW w:w="584" w:type="pct"/>
            <w:vMerge w:val="continue"/>
            <w:tcBorders>
              <w:top w:val="nil"/>
              <w:right w:val="single" w:color="000000" w:sz="4" w:space="0"/>
            </w:tcBorders>
          </w:tcPr>
          <w:p w14:paraId="14854849">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3A0C7ABF">
            <w:pPr>
              <w:pStyle w:val="9"/>
              <w:spacing w:before="195"/>
              <w:ind w:left="115"/>
              <w:rPr>
                <w:sz w:val="21"/>
              </w:rPr>
            </w:pPr>
            <w:r>
              <w:rPr>
                <w:rFonts w:hint="eastAsia"/>
                <w:spacing w:val="-4"/>
                <w:sz w:val="21"/>
              </w:rPr>
              <w:t xml:space="preserve">Static target detection function </w:t>
            </w:r>
          </w:p>
        </w:tc>
        <w:tc>
          <w:tcPr>
            <w:tcW w:w="3232" w:type="pct"/>
            <w:tcBorders>
              <w:top w:val="single" w:color="000000" w:sz="4" w:space="0"/>
              <w:left w:val="single" w:color="000000" w:sz="4" w:space="0"/>
              <w:bottom w:val="single" w:color="000000" w:sz="4" w:space="0"/>
            </w:tcBorders>
          </w:tcPr>
          <w:p w14:paraId="61616480">
            <w:pPr>
              <w:pStyle w:val="9"/>
              <w:spacing w:before="27" w:line="300" w:lineRule="atLeast"/>
              <w:ind w:left="118" w:right="71"/>
              <w:rPr>
                <w:sz w:val="21"/>
              </w:rPr>
            </w:pPr>
            <w:r>
              <w:rPr>
                <w:rFonts w:hint="eastAsia"/>
                <w:spacing w:val="-4"/>
                <w:sz w:val="21"/>
              </w:rPr>
              <w:t>Enable or disable the static target detection function. If this function is disabled, the radar will only detect relative moving targets and will miss those that are relatively stationary.</w:t>
            </w:r>
          </w:p>
        </w:tc>
      </w:tr>
      <w:tr w14:paraId="53400BF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44" w:hRule="atLeast"/>
        </w:trPr>
        <w:tc>
          <w:tcPr>
            <w:tcW w:w="584" w:type="pct"/>
            <w:vMerge w:val="continue"/>
            <w:tcBorders>
              <w:top w:val="nil"/>
              <w:right w:val="single" w:color="000000" w:sz="4" w:space="0"/>
            </w:tcBorders>
          </w:tcPr>
          <w:p w14:paraId="2A0BEA85">
            <w:pPr>
              <w:rPr>
                <w:sz w:val="2"/>
                <w:szCs w:val="2"/>
              </w:rPr>
            </w:pPr>
          </w:p>
        </w:tc>
        <w:tc>
          <w:tcPr>
            <w:tcW w:w="1183" w:type="pct"/>
            <w:tcBorders>
              <w:top w:val="single" w:color="000000" w:sz="4" w:space="0"/>
              <w:left w:val="single" w:color="000000" w:sz="4" w:space="0"/>
              <w:bottom w:val="single" w:color="000000" w:sz="4" w:space="0"/>
              <w:right w:val="single" w:color="000000" w:sz="4" w:space="0"/>
            </w:tcBorders>
          </w:tcPr>
          <w:p w14:paraId="1BF2593C">
            <w:pPr>
              <w:pStyle w:val="9"/>
              <w:spacing w:before="69"/>
              <w:rPr>
                <w:sz w:val="21"/>
              </w:rPr>
            </w:pPr>
          </w:p>
          <w:p w14:paraId="2F84C37D">
            <w:pPr>
              <w:pStyle w:val="9"/>
              <w:spacing w:before="1"/>
              <w:ind w:left="115"/>
              <w:rPr>
                <w:sz w:val="21"/>
              </w:rPr>
            </w:pPr>
            <w:r>
              <w:rPr>
                <w:rFonts w:hint="eastAsia"/>
                <w:spacing w:val="-4"/>
                <w:sz w:val="21"/>
              </w:rPr>
              <w:t>Static target detection distance</w:t>
            </w:r>
          </w:p>
        </w:tc>
        <w:tc>
          <w:tcPr>
            <w:tcW w:w="3232" w:type="pct"/>
            <w:tcBorders>
              <w:top w:val="single" w:color="000000" w:sz="4" w:space="0"/>
              <w:left w:val="single" w:color="000000" w:sz="4" w:space="0"/>
              <w:bottom w:val="single" w:color="000000" w:sz="4" w:space="0"/>
            </w:tcBorders>
          </w:tcPr>
          <w:p w14:paraId="3A820661">
            <w:pPr>
              <w:pStyle w:val="9"/>
              <w:spacing w:before="3"/>
              <w:ind w:left="118"/>
              <w:rPr>
                <w:rFonts w:hint="eastAsia"/>
                <w:spacing w:val="-4"/>
                <w:sz w:val="21"/>
              </w:rPr>
            </w:pPr>
            <w:r>
              <w:rPr>
                <w:rFonts w:hint="eastAsia"/>
                <w:spacing w:val="-4"/>
                <w:sz w:val="21"/>
              </w:rPr>
              <w:t>Set the detection range of the static target detection function. Within this range, even if a static target is detected, it will be output.</w:t>
            </w:r>
          </w:p>
          <w:p w14:paraId="6AA9C334">
            <w:pPr>
              <w:pStyle w:val="9"/>
              <w:spacing w:before="3"/>
              <w:ind w:left="118"/>
              <w:rPr>
                <w:sz w:val="21"/>
              </w:rPr>
            </w:pPr>
            <w:r>
              <w:rPr>
                <w:rFonts w:hint="eastAsia"/>
                <w:spacing w:val="-4"/>
                <w:sz w:val="21"/>
              </w:rPr>
              <w:t>Range: 0.01 to 4.50 meters. Default value: 3.00 meters.</w:t>
            </w:r>
          </w:p>
        </w:tc>
      </w:tr>
      <w:tr w14:paraId="722774D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25" w:hRule="atLeast"/>
        </w:trPr>
        <w:tc>
          <w:tcPr>
            <w:tcW w:w="584" w:type="pct"/>
            <w:vMerge w:val="continue"/>
            <w:tcBorders>
              <w:top w:val="nil"/>
              <w:right w:val="single" w:color="000000" w:sz="4" w:space="0"/>
            </w:tcBorders>
          </w:tcPr>
          <w:p w14:paraId="0D3070F3">
            <w:pPr>
              <w:rPr>
                <w:sz w:val="2"/>
                <w:szCs w:val="2"/>
              </w:rPr>
            </w:pPr>
          </w:p>
        </w:tc>
        <w:tc>
          <w:tcPr>
            <w:tcW w:w="1183" w:type="pct"/>
            <w:tcBorders>
              <w:top w:val="single" w:color="000000" w:sz="4" w:space="0"/>
              <w:left w:val="single" w:color="000000" w:sz="4" w:space="0"/>
              <w:right w:val="single" w:color="000000" w:sz="4" w:space="0"/>
            </w:tcBorders>
          </w:tcPr>
          <w:p w14:paraId="064BF106">
            <w:pPr>
              <w:pStyle w:val="9"/>
              <w:spacing w:before="226"/>
              <w:ind w:left="115"/>
              <w:rPr>
                <w:sz w:val="21"/>
              </w:rPr>
            </w:pPr>
            <w:r>
              <w:rPr>
                <w:rFonts w:hint="eastAsia"/>
                <w:spacing w:val="-4"/>
                <w:sz w:val="21"/>
              </w:rPr>
              <w:t>Static target decision threshold</w:t>
            </w:r>
          </w:p>
        </w:tc>
        <w:tc>
          <w:tcPr>
            <w:tcW w:w="3232" w:type="pct"/>
            <w:tcBorders>
              <w:top w:val="single" w:color="000000" w:sz="4" w:space="0"/>
              <w:left w:val="single" w:color="000000" w:sz="4" w:space="0"/>
            </w:tcBorders>
          </w:tcPr>
          <w:p w14:paraId="03DFBB4B">
            <w:pPr>
              <w:pStyle w:val="9"/>
              <w:spacing w:before="47" w:line="225" w:lineRule="auto"/>
              <w:ind w:left="118" w:right="438"/>
              <w:rPr>
                <w:sz w:val="21"/>
              </w:rPr>
            </w:pPr>
            <w:r>
              <w:rPr>
                <w:rFonts w:hint="eastAsia"/>
                <w:spacing w:val="-3"/>
                <w:sz w:val="21"/>
              </w:rPr>
              <w:t>Sensitivity of static target judgment, range: 0 to 65535. Recommended value: 250. The larger the value, the lower the sensitivity, with fewer false alarms, but weak targets are more likely to be lost.</w:t>
            </w:r>
          </w:p>
        </w:tc>
      </w:tr>
    </w:tbl>
    <w:p w14:paraId="0550073C">
      <w:pPr>
        <w:pStyle w:val="8"/>
        <w:numPr>
          <w:numId w:val="0"/>
        </w:numPr>
        <w:tabs>
          <w:tab w:val="left" w:pos="925"/>
        </w:tabs>
        <w:spacing w:before="154" w:after="0" w:line="240" w:lineRule="auto"/>
        <w:ind w:right="0" w:rightChars="0"/>
        <w:jc w:val="left"/>
        <w:rPr>
          <w:sz w:val="24"/>
        </w:rPr>
      </w:pPr>
    </w:p>
    <w:p w14:paraId="53A5149A">
      <w:pPr>
        <w:pStyle w:val="8"/>
        <w:numPr>
          <w:numId w:val="0"/>
        </w:numPr>
        <w:tabs>
          <w:tab w:val="left" w:pos="925"/>
        </w:tabs>
        <w:spacing w:before="154" w:after="0" w:line="240" w:lineRule="auto"/>
        <w:ind w:right="0" w:rightChars="0"/>
        <w:jc w:val="left"/>
        <w:rPr>
          <w:sz w:val="24"/>
        </w:rPr>
      </w:pPr>
    </w:p>
    <w:p w14:paraId="3BCA4299">
      <w:pPr>
        <w:pStyle w:val="8"/>
        <w:numPr>
          <w:numId w:val="0"/>
        </w:numPr>
        <w:tabs>
          <w:tab w:val="left" w:pos="925"/>
        </w:tabs>
        <w:spacing w:before="154" w:after="0" w:line="240" w:lineRule="auto"/>
        <w:ind w:left="565" w:leftChars="0" w:right="0" w:rightChars="0"/>
        <w:jc w:val="left"/>
        <w:rPr>
          <w:sz w:val="24"/>
        </w:rPr>
      </w:pPr>
      <w:r>
        <w:rPr>
          <w:rFonts w:hint="eastAsia"/>
          <w:spacing w:val="-2"/>
          <w:sz w:val="24"/>
          <w:lang w:val="en-US" w:eastAsia="zh-CN"/>
        </w:rPr>
        <w:t>2)</w:t>
      </w:r>
      <w:r>
        <w:rPr>
          <w:rFonts w:hint="eastAsia"/>
          <w:spacing w:val="-2"/>
          <w:sz w:val="24"/>
        </w:rPr>
        <w:t>Customize window configuration</w:t>
      </w:r>
    </w:p>
    <w:p w14:paraId="5F9C6141">
      <w:pPr>
        <w:pStyle w:val="3"/>
        <w:spacing w:before="154"/>
        <w:ind w:left="565"/>
      </w:pPr>
      <w:r>
        <w:rPr>
          <w:rFonts w:hint="eastAsia"/>
          <w:spacing w:val="-18"/>
        </w:rPr>
        <w:t>Open the "Customize Window" sub-interface through the secondary menu, as shown in Figure 12.</w:t>
      </w:r>
    </w:p>
    <w:p w14:paraId="55D560D9">
      <w:pPr>
        <w:pStyle w:val="3"/>
        <w:spacing w:before="7"/>
        <w:rPr>
          <w:sz w:val="9"/>
        </w:rPr>
      </w:pPr>
      <w:r>
        <w:rPr>
          <w:sz w:val="9"/>
        </w:rPr>
        <w:drawing>
          <wp:anchor distT="0" distB="0" distL="0" distR="0" simplePos="0" relativeHeight="251669504" behindDoc="1" locked="0" layoutInCell="1" allowOverlap="1">
            <wp:simplePos x="0" y="0"/>
            <wp:positionH relativeFrom="page">
              <wp:posOffset>2949575</wp:posOffset>
            </wp:positionH>
            <wp:positionV relativeFrom="paragraph">
              <wp:posOffset>92710</wp:posOffset>
            </wp:positionV>
            <wp:extent cx="1660525" cy="142367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1660587" cy="1423987"/>
                    </a:xfrm>
                    <a:prstGeom prst="rect">
                      <a:avLst/>
                    </a:prstGeom>
                  </pic:spPr>
                </pic:pic>
              </a:graphicData>
            </a:graphic>
          </wp:anchor>
        </w:drawing>
      </w:r>
    </w:p>
    <w:p w14:paraId="78F3BA06">
      <w:pPr>
        <w:spacing w:before="208"/>
        <w:ind w:right="3520"/>
        <w:jc w:val="center"/>
        <w:rPr>
          <w:rFonts w:hint="eastAsia" w:ascii="宋体" w:hAnsi="宋体" w:eastAsia="宋体" w:cs="宋体"/>
          <w:spacing w:val="-18"/>
          <w:sz w:val="24"/>
          <w:szCs w:val="24"/>
          <w:lang w:val="en-US" w:eastAsia="zh-CN" w:bidi="ar-SA"/>
        </w:rPr>
      </w:pPr>
      <w:r>
        <w:rPr>
          <w:rFonts w:hint="eastAsia" w:cs="宋体"/>
          <w:spacing w:val="-18"/>
          <w:sz w:val="24"/>
          <w:szCs w:val="24"/>
          <w:lang w:val="en-US" w:eastAsia="zh-CN" w:bidi="ar-SA"/>
        </w:rPr>
        <w:t xml:space="preserve">                      </w:t>
      </w:r>
      <w:r>
        <w:rPr>
          <w:rFonts w:hint="eastAsia" w:ascii="宋体" w:hAnsi="宋体" w:eastAsia="宋体" w:cs="宋体"/>
          <w:spacing w:val="-18"/>
          <w:sz w:val="24"/>
          <w:szCs w:val="24"/>
          <w:lang w:val="en-US" w:eastAsia="zh-CN" w:bidi="ar-SA"/>
        </w:rPr>
        <w:t>Figure 12 "Custom Window" Sub-interface</w:t>
      </w:r>
    </w:p>
    <w:p w14:paraId="7E407E44">
      <w:pPr>
        <w:pStyle w:val="3"/>
        <w:spacing w:before="143"/>
        <w:jc w:val="center"/>
        <w:rPr>
          <w:rFonts w:hint="eastAsia" w:ascii="宋体" w:hAnsi="宋体" w:eastAsia="宋体" w:cs="宋体"/>
          <w:spacing w:val="-18"/>
          <w:sz w:val="24"/>
          <w:szCs w:val="24"/>
          <w:lang w:val="en-US" w:eastAsia="zh-CN" w:bidi="ar-SA"/>
        </w:rPr>
      </w:pPr>
      <w:r>
        <w:rPr>
          <w:rFonts w:hint="eastAsia" w:ascii="宋体" w:hAnsi="宋体" w:eastAsia="宋体" w:cs="宋体"/>
          <w:spacing w:val="-18"/>
          <w:sz w:val="24"/>
          <w:szCs w:val="24"/>
          <w:lang w:val="en-US" w:eastAsia="zh-CN" w:bidi="ar-SA"/>
        </w:rPr>
        <w:t>The functions of the buttons are shown in Table 6 as follows.</w:t>
      </w:r>
    </w:p>
    <w:p w14:paraId="780D0A83">
      <w:pPr>
        <w:pStyle w:val="3"/>
        <w:spacing w:before="10"/>
        <w:jc w:val="center"/>
        <w:rPr>
          <w:rFonts w:hint="eastAsia" w:ascii="宋体" w:hAnsi="宋体" w:eastAsia="宋体" w:cs="宋体"/>
          <w:spacing w:val="-18"/>
          <w:sz w:val="24"/>
          <w:szCs w:val="24"/>
          <w:lang w:val="en-US" w:eastAsia="zh-CN" w:bidi="ar-SA"/>
        </w:rPr>
      </w:pPr>
      <w:r>
        <w:rPr>
          <w:rFonts w:hint="eastAsia" w:ascii="宋体" w:hAnsi="宋体" w:eastAsia="宋体" w:cs="宋体"/>
          <w:spacing w:val="-18"/>
          <w:sz w:val="24"/>
          <w:szCs w:val="24"/>
          <w:lang w:val="en-US" w:eastAsia="zh-CN" w:bidi="ar-SA"/>
        </w:rPr>
        <w:t>Table 6 Configuration Functions of Custom Window</w:t>
      </w:r>
    </w:p>
    <w:tbl>
      <w:tblPr>
        <w:tblStyle w:val="5"/>
        <w:tblW w:w="4998"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1163"/>
        <w:gridCol w:w="2021"/>
        <w:gridCol w:w="6768"/>
      </w:tblGrid>
      <w:tr w14:paraId="2276F23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52" w:hRule="atLeast"/>
        </w:trPr>
        <w:tc>
          <w:tcPr>
            <w:tcW w:w="1163" w:type="dxa"/>
            <w:tcBorders>
              <w:bottom w:val="single" w:color="000000" w:sz="4" w:space="0"/>
              <w:right w:val="single" w:color="000000" w:sz="4" w:space="0"/>
            </w:tcBorders>
            <w:vAlign w:val="top"/>
          </w:tcPr>
          <w:p w14:paraId="3F8025CF">
            <w:pPr>
              <w:pStyle w:val="9"/>
              <w:spacing w:before="94"/>
              <w:ind w:left="277" w:leftChars="0" w:right="0" w:rightChars="0"/>
              <w:rPr>
                <w:sz w:val="21"/>
              </w:rPr>
            </w:pPr>
            <w:r>
              <w:rPr>
                <w:rFonts w:hint="eastAsia"/>
                <w:spacing w:val="-5"/>
                <w:sz w:val="21"/>
              </w:rPr>
              <w:t>Category</w:t>
            </w:r>
          </w:p>
        </w:tc>
        <w:tc>
          <w:tcPr>
            <w:tcW w:w="2021" w:type="dxa"/>
            <w:tcBorders>
              <w:left w:val="single" w:color="000000" w:sz="4" w:space="0"/>
              <w:bottom w:val="single" w:color="000000" w:sz="4" w:space="0"/>
              <w:right w:val="single" w:color="000000" w:sz="4" w:space="0"/>
            </w:tcBorders>
            <w:vAlign w:val="top"/>
          </w:tcPr>
          <w:p w14:paraId="63331927">
            <w:pPr>
              <w:pStyle w:val="9"/>
              <w:spacing w:before="94"/>
              <w:ind w:left="30" w:leftChars="0" w:right="1" w:rightChars="0"/>
              <w:jc w:val="center"/>
              <w:rPr>
                <w:sz w:val="21"/>
              </w:rPr>
            </w:pPr>
            <w:r>
              <w:rPr>
                <w:rFonts w:hint="eastAsia"/>
                <w:sz w:val="21"/>
                <w:lang w:val="en-US" w:eastAsia="zh-CN"/>
              </w:rPr>
              <w:t>Name</w:t>
            </w:r>
          </w:p>
        </w:tc>
        <w:tc>
          <w:tcPr>
            <w:tcW w:w="6768" w:type="dxa"/>
            <w:tcBorders>
              <w:left w:val="single" w:color="000000" w:sz="4" w:space="0"/>
              <w:bottom w:val="single" w:color="000000" w:sz="4" w:space="0"/>
            </w:tcBorders>
            <w:vAlign w:val="top"/>
          </w:tcPr>
          <w:p w14:paraId="0B0AB324">
            <w:pPr>
              <w:pStyle w:val="9"/>
              <w:spacing w:before="94"/>
              <w:ind w:left="43" w:leftChars="0" w:right="1" w:rightChars="0"/>
              <w:jc w:val="center"/>
              <w:rPr>
                <w:sz w:val="21"/>
              </w:rPr>
            </w:pPr>
            <w:r>
              <w:rPr>
                <w:rFonts w:hint="eastAsia"/>
                <w:spacing w:val="-5"/>
                <w:sz w:val="21"/>
              </w:rPr>
              <w:t xml:space="preserve"> Description</w:t>
            </w:r>
          </w:p>
        </w:tc>
      </w:tr>
      <w:tr w14:paraId="6A4FF58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45" w:hRule="atLeast"/>
        </w:trPr>
        <w:tc>
          <w:tcPr>
            <w:tcW w:w="584" w:type="pct"/>
            <w:vMerge w:val="restart"/>
            <w:tcBorders>
              <w:top w:val="single" w:color="000000" w:sz="4" w:space="0"/>
              <w:right w:val="single" w:color="000000" w:sz="4" w:space="0"/>
            </w:tcBorders>
          </w:tcPr>
          <w:p w14:paraId="3489F2DA">
            <w:pPr>
              <w:pStyle w:val="9"/>
              <w:rPr>
                <w:sz w:val="21"/>
              </w:rPr>
            </w:pPr>
          </w:p>
          <w:p w14:paraId="47BEAC93">
            <w:pPr>
              <w:pStyle w:val="9"/>
              <w:ind w:left="277"/>
              <w:rPr>
                <w:sz w:val="21"/>
              </w:rPr>
            </w:pPr>
            <w:r>
              <w:rPr>
                <w:rFonts w:hint="eastAsia"/>
                <w:sz w:val="21"/>
              </w:rPr>
              <w:t>Function</w:t>
            </w:r>
          </w:p>
        </w:tc>
        <w:tc>
          <w:tcPr>
            <w:tcW w:w="1015" w:type="pct"/>
            <w:tcBorders>
              <w:top w:val="single" w:color="000000" w:sz="4" w:space="0"/>
              <w:left w:val="single" w:color="000000" w:sz="4" w:space="0"/>
              <w:bottom w:val="single" w:color="000000" w:sz="4" w:space="0"/>
              <w:right w:val="single" w:color="000000" w:sz="4" w:space="0"/>
            </w:tcBorders>
          </w:tcPr>
          <w:p w14:paraId="09AD026A">
            <w:pPr>
              <w:pStyle w:val="9"/>
              <w:spacing w:before="94"/>
              <w:ind w:left="115"/>
              <w:rPr>
                <w:sz w:val="21"/>
              </w:rPr>
            </w:pPr>
            <w:r>
              <w:rPr>
                <w:spacing w:val="-5"/>
                <w:sz w:val="21"/>
              </w:rPr>
              <w:t>OK</w:t>
            </w:r>
          </w:p>
        </w:tc>
        <w:tc>
          <w:tcPr>
            <w:tcW w:w="3399" w:type="pct"/>
            <w:tcBorders>
              <w:top w:val="single" w:color="000000" w:sz="4" w:space="0"/>
              <w:left w:val="single" w:color="000000" w:sz="4" w:space="0"/>
              <w:bottom w:val="single" w:color="000000" w:sz="4" w:space="0"/>
            </w:tcBorders>
          </w:tcPr>
          <w:p w14:paraId="6573A6D1">
            <w:pPr>
              <w:pStyle w:val="9"/>
              <w:spacing w:before="94"/>
              <w:ind w:left="116"/>
              <w:rPr>
                <w:sz w:val="21"/>
              </w:rPr>
            </w:pPr>
            <w:r>
              <w:rPr>
                <w:rFonts w:hint="eastAsia"/>
                <w:spacing w:val="-3"/>
                <w:sz w:val="21"/>
              </w:rPr>
              <w:t>After modifying the function parameters, save the parameter design.</w:t>
            </w:r>
          </w:p>
        </w:tc>
      </w:tr>
      <w:tr w14:paraId="3187DB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33" w:hRule="atLeast"/>
        </w:trPr>
        <w:tc>
          <w:tcPr>
            <w:tcW w:w="584" w:type="pct"/>
            <w:vMerge w:val="continue"/>
            <w:tcBorders>
              <w:top w:val="nil"/>
              <w:right w:val="single" w:color="000000" w:sz="4" w:space="0"/>
            </w:tcBorders>
          </w:tcPr>
          <w:p w14:paraId="3DA2D396">
            <w:pPr>
              <w:rPr>
                <w:sz w:val="2"/>
                <w:szCs w:val="2"/>
              </w:rPr>
            </w:pPr>
          </w:p>
        </w:tc>
        <w:tc>
          <w:tcPr>
            <w:tcW w:w="1015" w:type="pct"/>
            <w:tcBorders>
              <w:top w:val="single" w:color="000000" w:sz="4" w:space="0"/>
              <w:left w:val="single" w:color="000000" w:sz="4" w:space="0"/>
              <w:bottom w:val="single" w:color="000000" w:sz="4" w:space="0"/>
              <w:right w:val="single" w:color="000000" w:sz="4" w:space="0"/>
            </w:tcBorders>
          </w:tcPr>
          <w:p w14:paraId="68B64A1B">
            <w:pPr>
              <w:pStyle w:val="9"/>
              <w:spacing w:before="82"/>
              <w:ind w:left="115"/>
              <w:rPr>
                <w:sz w:val="21"/>
              </w:rPr>
            </w:pPr>
            <w:r>
              <w:rPr>
                <w:spacing w:val="-2"/>
                <w:sz w:val="21"/>
              </w:rPr>
              <w:t>Cancel</w:t>
            </w:r>
          </w:p>
        </w:tc>
        <w:tc>
          <w:tcPr>
            <w:tcW w:w="3399" w:type="pct"/>
            <w:tcBorders>
              <w:top w:val="single" w:color="000000" w:sz="4" w:space="0"/>
              <w:left w:val="single" w:color="000000" w:sz="4" w:space="0"/>
              <w:bottom w:val="single" w:color="000000" w:sz="4" w:space="0"/>
            </w:tcBorders>
          </w:tcPr>
          <w:p w14:paraId="26783C00">
            <w:pPr>
              <w:pStyle w:val="9"/>
              <w:spacing w:before="82"/>
              <w:ind w:left="115"/>
              <w:rPr>
                <w:sz w:val="21"/>
              </w:rPr>
            </w:pPr>
            <w:r>
              <w:rPr>
                <w:rFonts w:hint="eastAsia"/>
                <w:spacing w:val="-3"/>
                <w:sz w:val="21"/>
              </w:rPr>
              <w:t>Exit the custom window configuration.</w:t>
            </w:r>
          </w:p>
        </w:tc>
      </w:tr>
      <w:tr w14:paraId="6F49FA6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33" w:hRule="atLeast"/>
        </w:trPr>
        <w:tc>
          <w:tcPr>
            <w:tcW w:w="584" w:type="pct"/>
            <w:vMerge w:val="continue"/>
            <w:tcBorders>
              <w:top w:val="nil"/>
              <w:right w:val="single" w:color="000000" w:sz="4" w:space="0"/>
            </w:tcBorders>
          </w:tcPr>
          <w:p w14:paraId="042F8290">
            <w:pPr>
              <w:rPr>
                <w:sz w:val="2"/>
                <w:szCs w:val="2"/>
              </w:rPr>
            </w:pPr>
          </w:p>
        </w:tc>
        <w:tc>
          <w:tcPr>
            <w:tcW w:w="1015" w:type="pct"/>
            <w:tcBorders>
              <w:top w:val="single" w:color="000000" w:sz="4" w:space="0"/>
              <w:left w:val="single" w:color="000000" w:sz="4" w:space="0"/>
              <w:bottom w:val="single" w:color="000000" w:sz="4" w:space="0"/>
              <w:right w:val="single" w:color="000000" w:sz="4" w:space="0"/>
            </w:tcBorders>
          </w:tcPr>
          <w:p w14:paraId="0260E9B3">
            <w:pPr>
              <w:pStyle w:val="9"/>
              <w:spacing w:before="84"/>
              <w:ind w:left="115"/>
              <w:rPr>
                <w:sz w:val="21"/>
              </w:rPr>
            </w:pPr>
            <w:r>
              <w:rPr>
                <w:sz w:val="21"/>
              </w:rPr>
              <w:t>range</w:t>
            </w:r>
            <w:r>
              <w:rPr>
                <w:spacing w:val="-2"/>
                <w:sz w:val="21"/>
              </w:rPr>
              <w:t xml:space="preserve"> xSize</w:t>
            </w:r>
          </w:p>
        </w:tc>
        <w:tc>
          <w:tcPr>
            <w:tcW w:w="3399" w:type="pct"/>
            <w:tcBorders>
              <w:top w:val="single" w:color="000000" w:sz="4" w:space="0"/>
              <w:left w:val="single" w:color="000000" w:sz="4" w:space="0"/>
              <w:bottom w:val="single" w:color="000000" w:sz="4" w:space="0"/>
            </w:tcBorders>
          </w:tcPr>
          <w:p w14:paraId="5EAA2186">
            <w:pPr>
              <w:pStyle w:val="9"/>
              <w:spacing w:before="116"/>
              <w:ind w:left="115"/>
              <w:rPr>
                <w:sz w:val="21"/>
              </w:rPr>
            </w:pPr>
            <w:r>
              <w:rPr>
                <w:rFonts w:hint="eastAsia"/>
                <w:spacing w:val="-7"/>
                <w:sz w:val="21"/>
              </w:rPr>
              <w:t>Set the horizontal coordinate range of the display area for the target distance R on the main interface.</w:t>
            </w:r>
          </w:p>
        </w:tc>
      </w:tr>
      <w:tr w14:paraId="7679FF9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42" w:hRule="atLeast"/>
        </w:trPr>
        <w:tc>
          <w:tcPr>
            <w:tcW w:w="584" w:type="pct"/>
            <w:vMerge w:val="continue"/>
            <w:tcBorders>
              <w:top w:val="nil"/>
              <w:right w:val="single" w:color="000000" w:sz="4" w:space="0"/>
            </w:tcBorders>
          </w:tcPr>
          <w:p w14:paraId="4A648C62">
            <w:pPr>
              <w:rPr>
                <w:sz w:val="2"/>
                <w:szCs w:val="2"/>
              </w:rPr>
            </w:pPr>
          </w:p>
        </w:tc>
        <w:tc>
          <w:tcPr>
            <w:tcW w:w="1015" w:type="pct"/>
            <w:tcBorders>
              <w:top w:val="single" w:color="000000" w:sz="4" w:space="0"/>
              <w:left w:val="single" w:color="000000" w:sz="4" w:space="0"/>
              <w:right w:val="single" w:color="000000" w:sz="4" w:space="0"/>
            </w:tcBorders>
          </w:tcPr>
          <w:p w14:paraId="1D07BAA2">
            <w:pPr>
              <w:pStyle w:val="9"/>
              <w:spacing w:before="84"/>
              <w:ind w:left="115"/>
              <w:rPr>
                <w:sz w:val="21"/>
              </w:rPr>
            </w:pPr>
            <w:r>
              <w:rPr>
                <w:sz w:val="21"/>
              </w:rPr>
              <w:t>range</w:t>
            </w:r>
            <w:r>
              <w:rPr>
                <w:spacing w:val="-2"/>
                <w:sz w:val="21"/>
              </w:rPr>
              <w:t xml:space="preserve"> ySize</w:t>
            </w:r>
          </w:p>
        </w:tc>
        <w:tc>
          <w:tcPr>
            <w:tcW w:w="3399" w:type="pct"/>
            <w:tcBorders>
              <w:top w:val="single" w:color="000000" w:sz="4" w:space="0"/>
              <w:left w:val="single" w:color="000000" w:sz="4" w:space="0"/>
            </w:tcBorders>
          </w:tcPr>
          <w:p w14:paraId="1612EA6C">
            <w:pPr>
              <w:pStyle w:val="9"/>
              <w:spacing w:before="116"/>
              <w:ind w:left="115"/>
              <w:rPr>
                <w:sz w:val="21"/>
              </w:rPr>
            </w:pPr>
            <w:r>
              <w:rPr>
                <w:rFonts w:hint="eastAsia"/>
                <w:spacing w:val="-7"/>
                <w:sz w:val="21"/>
              </w:rPr>
              <w:t>Set the vertical coordinate range of the display area for the target distance R on the main interface.</w:t>
            </w:r>
          </w:p>
        </w:tc>
      </w:tr>
    </w:tbl>
    <w:p w14:paraId="5C2502CA">
      <w:pPr>
        <w:pStyle w:val="8"/>
        <w:numPr>
          <w:ilvl w:val="1"/>
          <w:numId w:val="1"/>
        </w:numPr>
        <w:tabs>
          <w:tab w:val="left" w:pos="565"/>
        </w:tabs>
        <w:spacing w:before="241" w:after="0" w:line="240" w:lineRule="auto"/>
        <w:ind w:left="565" w:right="0" w:hanging="480"/>
        <w:jc w:val="left"/>
        <w:rPr>
          <w:sz w:val="24"/>
        </w:rPr>
      </w:pPr>
      <w:bookmarkStart w:id="32" w:name="_bookmark16"/>
      <w:bookmarkEnd w:id="32"/>
      <w:bookmarkStart w:id="33" w:name="5.2 使用方法"/>
      <w:bookmarkEnd w:id="33"/>
      <w:r>
        <w:rPr>
          <w:rFonts w:hint="eastAsia"/>
          <w:spacing w:val="-3"/>
          <w:sz w:val="24"/>
        </w:rPr>
        <w:t>Usage Method</w:t>
      </w:r>
    </w:p>
    <w:p w14:paraId="1926B8A5">
      <w:pPr>
        <w:pStyle w:val="3"/>
        <w:spacing w:after="0" w:line="357" w:lineRule="auto"/>
        <w:sectPr>
          <w:type w:val="continuous"/>
          <w:pgSz w:w="11910" w:h="16840"/>
          <w:pgMar w:top="1320" w:right="992" w:bottom="1020" w:left="992" w:header="0" w:footer="835" w:gutter="0"/>
          <w:cols w:space="720" w:num="1"/>
        </w:sectPr>
      </w:pPr>
      <w:r>
        <w:rPr>
          <w:rFonts w:hint="eastAsia"/>
        </w:rPr>
        <w:t>After the radar module is powered on and starts working normally, open the upper-level software on the test computer. In the interface, select the corresponding serial port in the port selection area, and click the "Open" button. Once the communication is normal, as shown in Figure 13.</w:t>
      </w:r>
    </w:p>
    <w:p w14:paraId="62E88BA0">
      <w:pPr>
        <w:spacing w:line="240" w:lineRule="auto"/>
        <w:ind w:left="908" w:right="0" w:firstLine="0"/>
        <w:rPr>
          <w:sz w:val="20"/>
        </w:rPr>
      </w:pPr>
      <w:r>
        <w:rPr>
          <w:sz w:val="20"/>
        </w:rPr>
        <w:drawing>
          <wp:inline distT="0" distB="0" distL="0" distR="0">
            <wp:extent cx="5142230" cy="329692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5142711" cy="3297554"/>
                    </a:xfrm>
                    <a:prstGeom prst="rect">
                      <a:avLst/>
                    </a:prstGeom>
                  </pic:spPr>
                </pic:pic>
              </a:graphicData>
            </a:graphic>
          </wp:inline>
        </w:drawing>
      </w:r>
    </w:p>
    <w:p w14:paraId="5155CE26">
      <w:pPr>
        <w:spacing w:before="131"/>
        <w:ind w:right="0"/>
        <w:jc w:val="center"/>
        <w:rPr>
          <w:sz w:val="21"/>
        </w:rPr>
      </w:pPr>
      <w:r>
        <w:rPr>
          <w:rFonts w:hint="eastAsia"/>
          <w:spacing w:val="-4"/>
          <w:sz w:val="21"/>
        </w:rPr>
        <w:t>Figure 13 Status after starting the work</w:t>
      </w:r>
    </w:p>
    <w:p w14:paraId="76B1E276">
      <w:pPr>
        <w:pStyle w:val="8"/>
        <w:numPr>
          <w:ilvl w:val="2"/>
          <w:numId w:val="1"/>
        </w:numPr>
        <w:tabs>
          <w:tab w:val="left" w:pos="805"/>
        </w:tabs>
        <w:spacing w:before="95" w:after="0" w:line="240" w:lineRule="auto"/>
        <w:ind w:left="805" w:right="0" w:hanging="720"/>
        <w:jc w:val="left"/>
        <w:rPr>
          <w:sz w:val="24"/>
        </w:rPr>
      </w:pPr>
      <w:bookmarkStart w:id="34" w:name="_bookmark17"/>
      <w:bookmarkEnd w:id="34"/>
      <w:bookmarkStart w:id="35" w:name="5.2.1 报警状态"/>
      <w:bookmarkEnd w:id="35"/>
      <w:r>
        <w:rPr>
          <w:rFonts w:hint="eastAsia"/>
          <w:spacing w:val="-3"/>
          <w:sz w:val="24"/>
        </w:rPr>
        <w:t>Alarm Status</w:t>
      </w:r>
    </w:p>
    <w:p w14:paraId="1B01391C">
      <w:pPr>
        <w:pStyle w:val="3"/>
        <w:spacing w:before="208"/>
        <w:ind w:left="565"/>
      </w:pPr>
      <w:r>
        <w:rPr>
          <w:rFonts w:hint="eastAsia"/>
          <w:spacing w:val="-18"/>
        </w:rPr>
        <w:t>When the radar issues an alarm, the upper computer software displays it as shown in Figure 14.</w:t>
      </w:r>
    </w:p>
    <w:p w14:paraId="12DCD0E5">
      <w:pPr>
        <w:pStyle w:val="3"/>
        <w:spacing w:before="9"/>
        <w:rPr>
          <w:sz w:val="6"/>
        </w:rPr>
      </w:pPr>
      <w:r>
        <w:rPr>
          <w:sz w:val="6"/>
        </w:rPr>
        <w:drawing>
          <wp:anchor distT="0" distB="0" distL="0" distR="0" simplePos="0" relativeHeight="251670528" behindDoc="1" locked="0" layoutInCell="1" allowOverlap="1">
            <wp:simplePos x="0" y="0"/>
            <wp:positionH relativeFrom="page">
              <wp:posOffset>1236980</wp:posOffset>
            </wp:positionH>
            <wp:positionV relativeFrom="paragraph">
              <wp:posOffset>69850</wp:posOffset>
            </wp:positionV>
            <wp:extent cx="5123180" cy="328041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5123404" cy="3280410"/>
                    </a:xfrm>
                    <a:prstGeom prst="rect">
                      <a:avLst/>
                    </a:prstGeom>
                  </pic:spPr>
                </pic:pic>
              </a:graphicData>
            </a:graphic>
          </wp:anchor>
        </w:drawing>
      </w:r>
    </w:p>
    <w:p w14:paraId="4A5C5206">
      <w:pPr>
        <w:spacing w:before="129"/>
        <w:ind w:left="4252" w:right="0" w:firstLine="0"/>
        <w:jc w:val="left"/>
        <w:rPr>
          <w:sz w:val="21"/>
        </w:rPr>
      </w:pPr>
      <w:r>
        <w:rPr>
          <w:rFonts w:hint="eastAsia"/>
          <w:spacing w:val="-4"/>
          <w:sz w:val="21"/>
        </w:rPr>
        <w:t>Figure 14 Alarm Status</w:t>
      </w:r>
    </w:p>
    <w:p w14:paraId="1DB57717">
      <w:pPr>
        <w:pStyle w:val="8"/>
        <w:numPr>
          <w:ilvl w:val="2"/>
          <w:numId w:val="1"/>
        </w:numPr>
        <w:tabs>
          <w:tab w:val="left" w:pos="805"/>
        </w:tabs>
        <w:spacing w:before="95" w:after="0" w:line="240" w:lineRule="auto"/>
        <w:ind w:left="805" w:right="0" w:hanging="720"/>
        <w:jc w:val="left"/>
        <w:rPr>
          <w:sz w:val="24"/>
        </w:rPr>
      </w:pPr>
      <w:bookmarkStart w:id="36" w:name="5.2.2 未报警状态"/>
      <w:bookmarkEnd w:id="36"/>
      <w:bookmarkStart w:id="37" w:name="_bookmark18"/>
      <w:bookmarkEnd w:id="37"/>
      <w:r>
        <w:rPr>
          <w:rFonts w:hint="eastAsia"/>
          <w:spacing w:val="-2"/>
          <w:sz w:val="24"/>
        </w:rPr>
        <w:t>Non-Alarm State</w:t>
      </w:r>
    </w:p>
    <w:p w14:paraId="00CAE571">
      <w:pPr>
        <w:pStyle w:val="3"/>
        <w:spacing w:after="0"/>
        <w:rPr>
          <w:rFonts w:hint="eastAsia"/>
        </w:rPr>
      </w:pPr>
    </w:p>
    <w:p w14:paraId="322FBDE9">
      <w:pPr>
        <w:pStyle w:val="3"/>
        <w:spacing w:after="0"/>
        <w:sectPr>
          <w:pgSz w:w="11910" w:h="16840"/>
          <w:pgMar w:top="1400" w:right="992" w:bottom="1020" w:left="992" w:header="0" w:footer="835" w:gutter="0"/>
          <w:cols w:space="720" w:num="1"/>
        </w:sectPr>
      </w:pPr>
      <w:r>
        <w:rPr>
          <w:rFonts w:hint="eastAsia"/>
        </w:rPr>
        <w:t>When the radar does not issue an alarm, the upper-level computer software displays it as shown in Figure 15.</w:t>
      </w:r>
    </w:p>
    <w:p w14:paraId="68FDED2C">
      <w:pPr>
        <w:spacing w:line="240" w:lineRule="auto"/>
        <w:ind w:left="866" w:right="0" w:firstLine="0"/>
        <w:rPr>
          <w:sz w:val="20"/>
        </w:rPr>
      </w:pPr>
      <w:r>
        <w:rPr>
          <w:sz w:val="20"/>
        </w:rPr>
        <w:drawing>
          <wp:inline distT="0" distB="0" distL="0" distR="0">
            <wp:extent cx="5135245" cy="329692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5135381" cy="3297554"/>
                    </a:xfrm>
                    <a:prstGeom prst="rect">
                      <a:avLst/>
                    </a:prstGeom>
                  </pic:spPr>
                </pic:pic>
              </a:graphicData>
            </a:graphic>
          </wp:inline>
        </w:drawing>
      </w:r>
    </w:p>
    <w:p w14:paraId="41FE213E">
      <w:pPr>
        <w:spacing w:before="171"/>
        <w:ind w:left="-1" w:right="0" w:firstLine="0"/>
        <w:jc w:val="center"/>
        <w:rPr>
          <w:sz w:val="21"/>
        </w:rPr>
      </w:pPr>
      <w:r>
        <w:rPr>
          <w:rFonts w:hint="eastAsia"/>
          <w:spacing w:val="-5"/>
          <w:sz w:val="21"/>
        </w:rPr>
        <w:t>Figure 15 Unalarmed State</w:t>
      </w:r>
    </w:p>
    <w:p w14:paraId="25578AA9">
      <w:pPr>
        <w:pStyle w:val="8"/>
        <w:numPr>
          <w:ilvl w:val="0"/>
          <w:numId w:val="1"/>
        </w:numPr>
        <w:tabs>
          <w:tab w:val="left" w:pos="325"/>
        </w:tabs>
        <w:spacing w:before="251" w:after="0" w:line="240" w:lineRule="auto"/>
        <w:ind w:left="325" w:right="0" w:hanging="240"/>
        <w:jc w:val="left"/>
        <w:rPr>
          <w:sz w:val="24"/>
        </w:rPr>
      </w:pPr>
      <w:bookmarkStart w:id="38" w:name="6 日常使用注意事项"/>
      <w:bookmarkEnd w:id="38"/>
      <w:bookmarkStart w:id="39" w:name="_bookmark19"/>
      <w:bookmarkEnd w:id="39"/>
      <w:r>
        <w:rPr>
          <w:rFonts w:hint="eastAsia"/>
          <w:spacing w:val="-2"/>
          <w:sz w:val="24"/>
        </w:rPr>
        <w:t>Daily Use Precautions</w:t>
      </w:r>
    </w:p>
    <w:p w14:paraId="00A66F06">
      <w:pPr>
        <w:pStyle w:val="8"/>
        <w:numPr>
          <w:numId w:val="0"/>
        </w:numPr>
        <w:tabs>
          <w:tab w:val="left" w:pos="925"/>
        </w:tabs>
        <w:spacing w:before="153" w:after="0" w:line="240" w:lineRule="auto"/>
        <w:ind w:left="565" w:leftChars="0" w:right="0" w:rightChars="0"/>
        <w:jc w:val="left"/>
        <w:rPr>
          <w:rFonts w:hint="eastAsia"/>
          <w:spacing w:val="-1"/>
          <w:sz w:val="24"/>
        </w:rPr>
      </w:pPr>
      <w:r>
        <w:rPr>
          <w:rFonts w:hint="eastAsia"/>
          <w:spacing w:val="-1"/>
          <w:sz w:val="24"/>
        </w:rPr>
        <w:t>Correct and reasonable use of the product has a significant impact on its reliability. During use, the following points should be noted:</w:t>
      </w:r>
    </w:p>
    <w:p w14:paraId="55992F58">
      <w:pPr>
        <w:pStyle w:val="8"/>
        <w:numPr>
          <w:ilvl w:val="0"/>
          <w:numId w:val="3"/>
        </w:numPr>
        <w:tabs>
          <w:tab w:val="left" w:pos="925"/>
        </w:tabs>
        <w:spacing w:before="153" w:after="0" w:line="240" w:lineRule="auto"/>
        <w:ind w:left="925" w:right="0" w:hanging="360"/>
        <w:jc w:val="left"/>
        <w:rPr>
          <w:rFonts w:hint="eastAsia"/>
          <w:spacing w:val="-1"/>
          <w:sz w:val="24"/>
        </w:rPr>
      </w:pPr>
      <w:r>
        <w:rPr>
          <w:rFonts w:hint="eastAsia"/>
          <w:spacing w:val="-1"/>
          <w:sz w:val="24"/>
        </w:rPr>
        <w:t xml:space="preserve"> Before use, carefully read the user manual and install and connect the equipment correctly according to the manual;</w:t>
      </w:r>
    </w:p>
    <w:p w14:paraId="7FE886B0">
      <w:pPr>
        <w:pStyle w:val="8"/>
        <w:numPr>
          <w:ilvl w:val="0"/>
          <w:numId w:val="3"/>
        </w:numPr>
        <w:tabs>
          <w:tab w:val="left" w:pos="925"/>
        </w:tabs>
        <w:spacing w:before="153" w:after="0" w:line="240" w:lineRule="auto"/>
        <w:ind w:left="925" w:right="0" w:hanging="360"/>
        <w:jc w:val="left"/>
        <w:rPr>
          <w:rFonts w:hint="eastAsia"/>
          <w:spacing w:val="-1"/>
          <w:sz w:val="24"/>
        </w:rPr>
      </w:pPr>
      <w:r>
        <w:rPr>
          <w:rFonts w:hint="eastAsia"/>
          <w:spacing w:val="-1"/>
          <w:sz w:val="24"/>
        </w:rPr>
        <w:t>Operate strictly in accordance with the provisions of the user manual. Connect the cables correctly before powering on;</w:t>
      </w:r>
    </w:p>
    <w:p w14:paraId="4982960D">
      <w:pPr>
        <w:pStyle w:val="8"/>
        <w:numPr>
          <w:ilvl w:val="0"/>
          <w:numId w:val="3"/>
        </w:numPr>
        <w:tabs>
          <w:tab w:val="left" w:pos="925"/>
        </w:tabs>
        <w:spacing w:before="153" w:after="0" w:line="240" w:lineRule="auto"/>
        <w:ind w:left="925" w:right="0" w:hanging="360"/>
        <w:jc w:val="left"/>
        <w:rPr>
          <w:rFonts w:hint="eastAsia"/>
          <w:spacing w:val="-1"/>
          <w:sz w:val="24"/>
        </w:rPr>
      </w:pPr>
      <w:r>
        <w:rPr>
          <w:rFonts w:hint="eastAsia"/>
          <w:spacing w:val="-1"/>
          <w:sz w:val="24"/>
        </w:rPr>
        <w:t>Do not randomly disassemble the cables, equipment or components to avoid causing accidental damage;</w:t>
      </w:r>
    </w:p>
    <w:p w14:paraId="75AD8F69">
      <w:pPr>
        <w:pStyle w:val="8"/>
        <w:numPr>
          <w:ilvl w:val="0"/>
          <w:numId w:val="3"/>
        </w:numPr>
        <w:tabs>
          <w:tab w:val="left" w:pos="925"/>
        </w:tabs>
        <w:spacing w:before="153" w:after="0" w:line="240" w:lineRule="auto"/>
        <w:ind w:left="925" w:right="0" w:hanging="360"/>
        <w:jc w:val="left"/>
        <w:rPr>
          <w:rFonts w:hint="eastAsia"/>
          <w:spacing w:val="-1"/>
          <w:sz w:val="24"/>
        </w:rPr>
      </w:pPr>
      <w:r>
        <w:rPr>
          <w:rFonts w:hint="eastAsia"/>
          <w:spacing w:val="-1"/>
          <w:sz w:val="24"/>
        </w:rPr>
        <w:t>When a fault occurs, have a professional person correctly analyze and locate the fault based on the fault phenomenon. Do not expand the fault range artificially;</w:t>
      </w:r>
    </w:p>
    <w:p w14:paraId="78D252CB">
      <w:pPr>
        <w:pStyle w:val="8"/>
        <w:numPr>
          <w:ilvl w:val="0"/>
          <w:numId w:val="3"/>
        </w:numPr>
        <w:tabs>
          <w:tab w:val="left" w:pos="925"/>
        </w:tabs>
        <w:spacing w:before="153" w:after="0" w:line="240" w:lineRule="auto"/>
        <w:ind w:left="925" w:right="0" w:hanging="360"/>
        <w:jc w:val="left"/>
        <w:rPr>
          <w:sz w:val="24"/>
        </w:rPr>
      </w:pPr>
      <w:r>
        <w:rPr>
          <w:rFonts w:hint="eastAsia"/>
          <w:spacing w:val="-1"/>
          <w:sz w:val="24"/>
        </w:rPr>
        <w:t>When the fault is difficult to be eliminated, please contact the manufacturer and have the manufacturer provide guidance or send it back for repair.</w:t>
      </w:r>
    </w:p>
    <w:p w14:paraId="0DCBCB75">
      <w:pPr>
        <w:pStyle w:val="8"/>
        <w:numPr>
          <w:ilvl w:val="0"/>
          <w:numId w:val="1"/>
        </w:numPr>
        <w:tabs>
          <w:tab w:val="left" w:pos="325"/>
        </w:tabs>
        <w:spacing w:before="261" w:after="0" w:line="240" w:lineRule="auto"/>
        <w:ind w:left="325" w:right="0" w:hanging="240"/>
        <w:jc w:val="left"/>
        <w:rPr>
          <w:sz w:val="24"/>
        </w:rPr>
      </w:pPr>
      <w:bookmarkStart w:id="40" w:name="7 常见的问题及解决办法"/>
      <w:bookmarkEnd w:id="40"/>
      <w:bookmarkStart w:id="41" w:name="_bookmark20"/>
      <w:bookmarkEnd w:id="41"/>
      <w:r>
        <w:rPr>
          <w:rFonts w:hint="eastAsia"/>
          <w:spacing w:val="-1"/>
          <w:sz w:val="24"/>
        </w:rPr>
        <w:t>Common Problems and Solutions</w:t>
      </w:r>
    </w:p>
    <w:p w14:paraId="645B2BFB">
      <w:pPr>
        <w:pStyle w:val="8"/>
        <w:numPr>
          <w:ilvl w:val="1"/>
          <w:numId w:val="1"/>
        </w:numPr>
        <w:tabs>
          <w:tab w:val="left" w:pos="565"/>
        </w:tabs>
        <w:spacing w:before="209" w:after="0" w:line="240" w:lineRule="auto"/>
        <w:ind w:left="565" w:right="0" w:hanging="480"/>
        <w:jc w:val="left"/>
        <w:rPr>
          <w:sz w:val="24"/>
        </w:rPr>
      </w:pPr>
      <w:bookmarkStart w:id="42" w:name="7.1 通信不通问题"/>
      <w:bookmarkEnd w:id="42"/>
      <w:bookmarkStart w:id="43" w:name="_bookmark21"/>
      <w:bookmarkEnd w:id="43"/>
      <w:r>
        <w:rPr>
          <w:rFonts w:hint="eastAsia"/>
          <w:spacing w:val="-2"/>
          <w:sz w:val="24"/>
        </w:rPr>
        <w:t>Communication Failure Issue</w:t>
      </w:r>
    </w:p>
    <w:p w14:paraId="3958F314">
      <w:pPr>
        <w:pStyle w:val="3"/>
        <w:spacing w:before="151" w:line="360" w:lineRule="auto"/>
        <w:ind w:left="85" w:right="83" w:firstLine="480"/>
        <w:rPr>
          <w:spacing w:val="-9"/>
        </w:rPr>
      </w:pPr>
      <w:r>
        <w:rPr>
          <w:rFonts w:hint="eastAsia"/>
          <w:spacing w:val="-2"/>
        </w:rPr>
        <w:t>After the test environment is set up, clicking "Open" in the upper-level software results in communication failure, and no data can be received. The working status shows "Not Running". Please check the following reasons:</w:t>
      </w:r>
    </w:p>
    <w:p w14:paraId="04464CEA">
      <w:pPr>
        <w:pStyle w:val="3"/>
        <w:spacing w:line="307" w:lineRule="exact"/>
        <w:ind w:left="565"/>
        <w:rPr>
          <w:rFonts w:hint="eastAsia"/>
          <w:spacing w:val="-9"/>
        </w:rPr>
      </w:pPr>
      <w:r>
        <w:rPr>
          <w:rFonts w:hint="eastAsia"/>
          <w:spacing w:val="-9"/>
        </w:rPr>
        <w:t>a) Check if the cable connections are properly made;</w:t>
      </w:r>
    </w:p>
    <w:p w14:paraId="2A4221C4">
      <w:pPr>
        <w:pStyle w:val="3"/>
        <w:spacing w:line="307" w:lineRule="exact"/>
        <w:ind w:left="565"/>
        <w:rPr>
          <w:rFonts w:hint="eastAsia"/>
          <w:spacing w:val="-9"/>
        </w:rPr>
      </w:pPr>
      <w:r>
        <w:rPr>
          <w:rFonts w:hint="eastAsia"/>
          <w:spacing w:val="-9"/>
        </w:rPr>
        <w:t>b) Verify if the COM port driver in the computer device manager is functioning correctly and try restarting the computer;</w:t>
      </w:r>
    </w:p>
    <w:p w14:paraId="3798F790">
      <w:pPr>
        <w:pStyle w:val="3"/>
        <w:spacing w:line="307" w:lineRule="exact"/>
        <w:ind w:left="565"/>
        <w:rPr>
          <w:rFonts w:hint="eastAsia"/>
          <w:spacing w:val="-9"/>
        </w:rPr>
      </w:pPr>
      <w:r>
        <w:rPr>
          <w:rFonts w:hint="eastAsia"/>
          <w:spacing w:val="-9"/>
        </w:rPr>
        <w:t>c) Confirm if the port number selection in the upper computer software is correct;</w:t>
      </w:r>
    </w:p>
    <w:p w14:paraId="2CDA09B3">
      <w:pPr>
        <w:pStyle w:val="3"/>
        <w:spacing w:line="307" w:lineRule="exact"/>
        <w:ind w:left="565"/>
        <w:rPr>
          <w:spacing w:val="-9"/>
        </w:rPr>
      </w:pPr>
      <w:r>
        <w:rPr>
          <w:rFonts w:hint="eastAsia"/>
          <w:spacing w:val="-9"/>
        </w:rPr>
        <w:t>d) Replace the USB-to-serial port module and the radar module.</w:t>
      </w:r>
    </w:p>
    <w:p w14:paraId="6791C6DA">
      <w:pPr>
        <w:pStyle w:val="8"/>
        <w:numPr>
          <w:ilvl w:val="1"/>
          <w:numId w:val="1"/>
        </w:numPr>
        <w:tabs>
          <w:tab w:val="left" w:pos="565"/>
        </w:tabs>
        <w:spacing w:before="106" w:after="0" w:line="240" w:lineRule="auto"/>
        <w:ind w:left="565" w:right="0" w:hanging="480"/>
        <w:jc w:val="left"/>
        <w:rPr>
          <w:sz w:val="24"/>
        </w:rPr>
      </w:pPr>
      <w:bookmarkStart w:id="44" w:name="7.2 未能正确触发报警问题"/>
      <w:bookmarkEnd w:id="44"/>
      <w:bookmarkStart w:id="45" w:name="_bookmark22"/>
      <w:bookmarkEnd w:id="45"/>
      <w:r>
        <w:rPr>
          <w:rFonts w:hint="eastAsia"/>
          <w:spacing w:val="-1"/>
          <w:sz w:val="24"/>
        </w:rPr>
        <w:t>Problem of Failure to Trigger Alarm Correctly</w:t>
      </w:r>
    </w:p>
    <w:p w14:paraId="36B14648">
      <w:pPr>
        <w:pStyle w:val="3"/>
        <w:spacing w:before="206" w:line="360" w:lineRule="auto"/>
        <w:ind w:left="85" w:right="83" w:firstLine="480"/>
        <w:rPr>
          <w:spacing w:val="80"/>
          <w:w w:val="150"/>
        </w:rPr>
      </w:pPr>
      <w:r>
        <w:rPr>
          <w:rFonts w:hint="eastAsia"/>
          <w:spacing w:val="-9"/>
        </w:rPr>
        <w:t xml:space="preserve">After the test environment was set up, clicking "Open" in the upper computer software resulted in normal serial port communication, but a moving object entered the radar FOV. The upper computer software did not correctly indicate the alarm status (note: if COM communication fails, please refer to Section 7.1 of this document for troubleshooting). Please check the following reasons:  </w:t>
      </w:r>
      <w:r>
        <w:rPr>
          <w:spacing w:val="80"/>
          <w:w w:val="150"/>
        </w:rPr>
        <w:t xml:space="preserve">    </w:t>
      </w:r>
    </w:p>
    <w:p w14:paraId="57225980">
      <w:pPr>
        <w:pStyle w:val="3"/>
        <w:spacing w:before="206" w:line="360" w:lineRule="auto"/>
        <w:ind w:right="83"/>
        <w:rPr>
          <w:rFonts w:hint="eastAsia"/>
          <w:spacing w:val="-2"/>
        </w:rPr>
      </w:pPr>
      <w:r>
        <w:rPr>
          <w:rFonts w:hint="eastAsia"/>
          <w:spacing w:val="-2"/>
        </w:rPr>
        <w:t>a) Verify whether the "alarm distance" parameter setting is correct. The operation steps are detailed in Section 5.1 of this document.</w:t>
      </w:r>
    </w:p>
    <w:p w14:paraId="12D2C2A4">
      <w:pPr>
        <w:pStyle w:val="3"/>
        <w:numPr>
          <w:numId w:val="0"/>
        </w:numPr>
        <w:spacing w:before="52" w:line="357" w:lineRule="auto"/>
        <w:ind w:right="1794" w:rightChars="0"/>
        <w:rPr>
          <w:rFonts w:hint="eastAsia"/>
          <w:spacing w:val="-2"/>
        </w:rPr>
      </w:pPr>
      <w:r>
        <w:rPr>
          <w:rFonts w:hint="eastAsia"/>
          <w:spacing w:val="-2"/>
        </w:rPr>
        <w:t>b) Check if there are any obstructions, dirt, or foreign objects on the front (antenna surface) of the radar.</w:t>
      </w:r>
    </w:p>
    <w:p w14:paraId="2DB4496D">
      <w:pPr>
        <w:pStyle w:val="3"/>
        <w:numPr>
          <w:numId w:val="0"/>
        </w:numPr>
        <w:spacing w:before="52" w:line="357" w:lineRule="auto"/>
        <w:ind w:right="1794" w:rightChars="0"/>
        <w:rPr>
          <w:rFonts w:hint="eastAsia"/>
          <w:spacing w:val="-2"/>
        </w:rPr>
      </w:pPr>
      <w:r>
        <w:rPr>
          <w:rFonts w:hint="eastAsia"/>
          <w:spacing w:val="-2"/>
        </w:rPr>
        <w:t>c) Confirm if the installation direction of the radar module is correct.</w:t>
      </w:r>
    </w:p>
    <w:p w14:paraId="4DFD712F">
      <w:pPr>
        <w:pStyle w:val="3"/>
        <w:numPr>
          <w:numId w:val="0"/>
        </w:numPr>
        <w:spacing w:before="52" w:line="357" w:lineRule="auto"/>
        <w:ind w:right="1794" w:rightChars="0"/>
        <w:rPr>
          <w:spacing w:val="-2"/>
        </w:rPr>
      </w:pPr>
      <w:r>
        <w:rPr>
          <w:rFonts w:hint="eastAsia"/>
          <w:spacing w:val="-2"/>
        </w:rPr>
        <w:t>d) Check if the radar module is functioning properly and replace it if necessary.</w:t>
      </w:r>
    </w:p>
    <w:p w14:paraId="450414DA">
      <w:pPr>
        <w:pStyle w:val="8"/>
        <w:numPr>
          <w:ilvl w:val="1"/>
          <w:numId w:val="1"/>
        </w:numPr>
        <w:tabs>
          <w:tab w:val="left" w:pos="565"/>
        </w:tabs>
        <w:spacing w:before="0" w:after="0" w:line="268" w:lineRule="exact"/>
        <w:ind w:left="565" w:right="0" w:hanging="480"/>
        <w:jc w:val="left"/>
        <w:rPr>
          <w:sz w:val="24"/>
        </w:rPr>
      </w:pPr>
      <w:bookmarkStart w:id="46" w:name="_bookmark23"/>
      <w:bookmarkEnd w:id="46"/>
      <w:bookmarkStart w:id="47" w:name="7.3 雷达检测盲区说明"/>
      <w:bookmarkEnd w:id="47"/>
      <w:r>
        <w:rPr>
          <w:rFonts w:hint="eastAsia"/>
          <w:spacing w:val="-2"/>
          <w:sz w:val="24"/>
        </w:rPr>
        <w:t>Explanation of Radar Detection Blind Zone</w:t>
      </w:r>
    </w:p>
    <w:p w14:paraId="5801572C">
      <w:pPr>
        <w:pStyle w:val="3"/>
        <w:spacing w:before="208" w:line="357" w:lineRule="auto"/>
        <w:ind w:left="85" w:right="81" w:firstLine="480"/>
        <w:jc w:val="both"/>
      </w:pPr>
      <w:r>
        <w:rPr>
          <w:rFonts w:hint="eastAsia"/>
          <w:spacing w:val="-6"/>
        </w:rPr>
        <w:t>Due to the limited detection angle range of the radar, the detection rate is high within the ±60° range in both the horizontal and pitch dimensions. When the angle exceeds ±60°, the false alarm rate will significantly increase. Therefore, when installing the radar, the blind zone caused by the installation position needs to be considered. The appropriate installation position and tilt angle should be adjusted based on the application requirements. The blind zone diagrams are shown in Figures 16 and 17.</w:t>
      </w:r>
    </w:p>
    <w:p w14:paraId="1938839A">
      <w:pPr>
        <w:pStyle w:val="3"/>
      </w:pPr>
    </w:p>
    <w:p w14:paraId="7A55C043">
      <w:pPr>
        <w:pStyle w:val="3"/>
      </w:pPr>
    </w:p>
    <w:p w14:paraId="611B0882">
      <w:pPr>
        <w:pStyle w:val="3"/>
      </w:pPr>
    </w:p>
    <w:p w14:paraId="6D242F60">
      <w:pPr>
        <w:pStyle w:val="3"/>
      </w:pPr>
    </w:p>
    <w:p w14:paraId="0955EDC6">
      <w:pPr>
        <w:pStyle w:val="3"/>
      </w:pPr>
    </w:p>
    <w:p w14:paraId="12B12068">
      <w:pPr>
        <w:pStyle w:val="3"/>
      </w:pPr>
    </w:p>
    <w:p w14:paraId="3B5E1358">
      <w:pPr>
        <w:pStyle w:val="3"/>
      </w:pPr>
    </w:p>
    <w:p w14:paraId="331CE86C">
      <w:pPr>
        <w:pStyle w:val="3"/>
      </w:pPr>
      <w:r>
        <w:drawing>
          <wp:anchor distT="0" distB="0" distL="0" distR="0" simplePos="0" relativeHeight="251660288" behindDoc="0" locked="0" layoutInCell="1" allowOverlap="1">
            <wp:simplePos x="0" y="0"/>
            <wp:positionH relativeFrom="page">
              <wp:posOffset>770255</wp:posOffset>
            </wp:positionH>
            <wp:positionV relativeFrom="paragraph">
              <wp:posOffset>167005</wp:posOffset>
            </wp:positionV>
            <wp:extent cx="5274310" cy="1875155"/>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5274308" cy="1875142"/>
                    </a:xfrm>
                    <a:prstGeom prst="rect">
                      <a:avLst/>
                    </a:prstGeom>
                  </pic:spPr>
                </pic:pic>
              </a:graphicData>
            </a:graphic>
          </wp:anchor>
        </w:drawing>
      </w:r>
    </w:p>
    <w:p w14:paraId="788D65D2">
      <w:pPr>
        <w:pStyle w:val="3"/>
        <w:spacing w:before="251"/>
      </w:pPr>
    </w:p>
    <w:p w14:paraId="3D21DE29">
      <w:pPr>
        <w:pStyle w:val="3"/>
        <w:spacing w:before="251"/>
      </w:pPr>
    </w:p>
    <w:p w14:paraId="39CACE52">
      <w:pPr>
        <w:pStyle w:val="3"/>
        <w:spacing w:before="251"/>
      </w:pPr>
    </w:p>
    <w:p w14:paraId="44F33D92">
      <w:pPr>
        <w:pStyle w:val="3"/>
        <w:spacing w:before="251"/>
      </w:pPr>
    </w:p>
    <w:p w14:paraId="7FFA7398">
      <w:pPr>
        <w:pStyle w:val="3"/>
        <w:spacing w:before="251"/>
      </w:pPr>
    </w:p>
    <w:p w14:paraId="4F210F78">
      <w:pPr>
        <w:spacing w:before="0"/>
        <w:ind w:left="4" w:right="2" w:firstLine="0"/>
        <w:jc w:val="center"/>
        <w:rPr>
          <w:spacing w:val="-27"/>
          <w:sz w:val="21"/>
        </w:rPr>
      </w:pPr>
    </w:p>
    <w:p w14:paraId="4BC1B6BB">
      <w:pPr>
        <w:spacing w:before="0"/>
        <w:ind w:left="4" w:right="2" w:firstLine="0"/>
        <w:jc w:val="center"/>
        <w:rPr>
          <w:spacing w:val="-27"/>
          <w:sz w:val="21"/>
        </w:rPr>
      </w:pPr>
    </w:p>
    <w:p w14:paraId="140A7312">
      <w:pPr>
        <w:spacing w:before="0"/>
        <w:ind w:left="4" w:right="2" w:firstLine="0"/>
        <w:jc w:val="center"/>
        <w:rPr>
          <w:spacing w:val="-27"/>
          <w:sz w:val="21"/>
        </w:rPr>
      </w:pPr>
    </w:p>
    <w:p w14:paraId="315B33C1">
      <w:pPr>
        <w:spacing w:before="0"/>
        <w:ind w:left="4" w:right="2" w:firstLine="0"/>
        <w:jc w:val="center"/>
        <w:rPr>
          <w:sz w:val="21"/>
        </w:rPr>
      </w:pPr>
      <w:r>
        <w:rPr>
          <w:rFonts w:hint="eastAsia"/>
          <w:spacing w:val="-5"/>
          <w:sz w:val="21"/>
        </w:rPr>
        <w:t>Figure 16 Radar Detection Area Diagram (Pitch Dimension)</w:t>
      </w:r>
    </w:p>
    <w:p w14:paraId="278FD8B5">
      <w:pPr>
        <w:pStyle w:val="3"/>
        <w:spacing w:before="2"/>
        <w:rPr>
          <w:sz w:val="5"/>
        </w:rPr>
      </w:pPr>
    </w:p>
    <w:p w14:paraId="29E9D740">
      <w:pPr>
        <w:spacing w:before="132"/>
        <w:ind w:left="88" w:right="85" w:firstLine="0"/>
        <w:jc w:val="center"/>
        <w:rPr>
          <w:spacing w:val="-27"/>
          <w:sz w:val="21"/>
        </w:rPr>
      </w:pPr>
      <w:r>
        <w:rPr>
          <w:sz w:val="5"/>
        </w:rPr>
        <w:drawing>
          <wp:anchor distT="0" distB="0" distL="0" distR="0" simplePos="0" relativeHeight="251671552" behindDoc="1" locked="0" layoutInCell="1" allowOverlap="1">
            <wp:simplePos x="0" y="0"/>
            <wp:positionH relativeFrom="page">
              <wp:posOffset>1557655</wp:posOffset>
            </wp:positionH>
            <wp:positionV relativeFrom="paragraph">
              <wp:posOffset>593090</wp:posOffset>
            </wp:positionV>
            <wp:extent cx="3807460" cy="266001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3807632" cy="2659761"/>
                    </a:xfrm>
                    <a:prstGeom prst="rect">
                      <a:avLst/>
                    </a:prstGeom>
                  </pic:spPr>
                </pic:pic>
              </a:graphicData>
            </a:graphic>
          </wp:anchor>
        </w:drawing>
      </w:r>
    </w:p>
    <w:p w14:paraId="0F87E19D">
      <w:pPr>
        <w:spacing w:before="132"/>
        <w:ind w:left="88" w:right="85" w:firstLine="0"/>
        <w:jc w:val="center"/>
        <w:rPr>
          <w:spacing w:val="-27"/>
          <w:sz w:val="21"/>
        </w:rPr>
      </w:pPr>
    </w:p>
    <w:p w14:paraId="3AB1358D">
      <w:pPr>
        <w:spacing w:before="132"/>
        <w:ind w:left="88" w:right="85" w:firstLine="0"/>
        <w:jc w:val="both"/>
        <w:rPr>
          <w:spacing w:val="-27"/>
          <w:sz w:val="21"/>
        </w:rPr>
      </w:pPr>
    </w:p>
    <w:p w14:paraId="4F8EA8EF">
      <w:pPr>
        <w:spacing w:before="132"/>
        <w:ind w:left="88" w:right="85" w:firstLine="0"/>
        <w:jc w:val="center"/>
        <w:rPr>
          <w:sz w:val="21"/>
        </w:rPr>
      </w:pPr>
      <w:r>
        <w:rPr>
          <w:rFonts w:hint="eastAsia"/>
          <w:spacing w:val="-5"/>
          <w:sz w:val="21"/>
        </w:rPr>
        <w:t>Figure 17 Radar Detection Area Schematic Diagram (Horizontal Dimension)</w:t>
      </w:r>
    </w:p>
    <w:sectPr>
      <w:pgSz w:w="11910" w:h="16840"/>
      <w:pgMar w:top="1420" w:right="992" w:bottom="1020" w:left="992" w:header="0" w:footer="8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A9831">
    <w:pPr>
      <w:pStyle w:val="3"/>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3754120</wp:posOffset>
              </wp:positionH>
              <wp:positionV relativeFrom="page">
                <wp:posOffset>10022205</wp:posOffset>
              </wp:positionV>
              <wp:extent cx="5207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52069" cy="139700"/>
                      </a:xfrm>
                      <a:prstGeom prst="rect">
                        <a:avLst/>
                      </a:prstGeom>
                    </wps:spPr>
                    <wps:txbx>
                      <w:txbxContent>
                        <w:p w14:paraId="4232B17B">
                          <w:pPr>
                            <w:spacing w:before="0" w:line="203" w:lineRule="exact"/>
                            <w:ind w:left="20" w:right="0" w:firstLine="0"/>
                            <w:jc w:val="left"/>
                            <w:rPr>
                              <w:rFonts w:ascii="Calibri"/>
                              <w:sz w:val="18"/>
                            </w:rPr>
                          </w:pPr>
                          <w:r>
                            <w:rPr>
                              <w:rFonts w:ascii="Calibri"/>
                              <w:spacing w:val="-10"/>
                              <w:sz w:val="18"/>
                            </w:rPr>
                            <w:t>i</w:t>
                          </w:r>
                        </w:p>
                      </w:txbxContent>
                    </wps:txbx>
                    <wps:bodyPr wrap="square" lIns="0" tIns="0" rIns="0" bIns="0" rtlCol="0">
                      <a:noAutofit/>
                    </wps:bodyPr>
                  </wps:wsp>
                </a:graphicData>
              </a:graphic>
            </wp:anchor>
          </w:drawing>
        </mc:Choice>
        <mc:Fallback>
          <w:pict>
            <v:shape id="Textbox 2" o:spid="_x0000_s1026" o:spt="202" type="#_x0000_t202" style="position:absolute;left:0pt;margin-left:295.6pt;margin-top:789.15pt;height:11pt;width:4.1pt;mso-position-horizontal-relative:page;mso-position-vertical-relative:page;z-index:-251655168;mso-width-relative:page;mso-height-relative:page;" filled="f" stroked="f" coordsize="21600,21600" o:gfxdata="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xhOrbAAAADQEAAA8AAAAAAAAAAQAgAAAAIgAAAGRycy9kb3ducmV2LnhtbFBLAQIUABQAAAAI&#10;AIdO4kDRHxJ9sQEAAHIDAAAOAAAAAAAAAAEAIAAAACoBAABkcnMvZTJvRG9jLnhtbFBLBQYAAAAA&#10;BgAGAFkBAABNBQAAAAA=&#10;">
              <v:fill on="f" focussize="0,0"/>
              <v:stroke on="f"/>
              <v:imagedata o:title=""/>
              <o:lock v:ext="edit" aspectratio="f"/>
              <v:textbox inset="0mm,0mm,0mm,0mm">
                <w:txbxContent>
                  <w:p w14:paraId="4232B17B">
                    <w:pPr>
                      <w:spacing w:before="0" w:line="203" w:lineRule="exact"/>
                      <w:ind w:left="20" w:right="0" w:firstLine="0"/>
                      <w:jc w:val="left"/>
                      <w:rPr>
                        <w:rFonts w:ascii="Calibri"/>
                        <w:sz w:val="18"/>
                      </w:rPr>
                    </w:pPr>
                    <w:r>
                      <w:rPr>
                        <w:rFonts w:ascii="Calibri"/>
                        <w:spacing w:val="-10"/>
                        <w:sz w:val="18"/>
                      </w:rPr>
                      <w:t>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D0FEA">
    <w:pPr>
      <w:pStyle w:val="3"/>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3708400</wp:posOffset>
              </wp:positionH>
              <wp:positionV relativeFrom="page">
                <wp:posOffset>10022205</wp:posOffset>
              </wp:positionV>
              <wp:extent cx="141605"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141605" cy="139700"/>
                      </a:xfrm>
                      <a:prstGeom prst="rect">
                        <a:avLst/>
                      </a:prstGeom>
                    </wps:spPr>
                    <wps:txbx>
                      <w:txbxContent>
                        <w:p w14:paraId="385E18EB">
                          <w:pPr>
                            <w:spacing w:before="0" w:line="203" w:lineRule="exact"/>
                            <w:ind w:left="2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2pt;margin-top:789.15pt;height:11pt;width:11.15pt;mso-position-horizontal-relative:page;mso-position-vertical-relative:page;z-index:-251655168;mso-width-relative:page;mso-height-relative:page;" filled="f" stroked="f" coordsize="21600,21600" o:gfxdata="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XMIgF2wAAAA0BAAAPAAAAAAAAAAEAIAAAACIAAABkcnMvZG93bnJldi54bWxQSwECFAAUAAAA&#10;CACHTuJAZB+GWbIBAABzAwAADgAAAAAAAAABACAAAAAqAQAAZHJzL2Uyb0RvYy54bWxQSwUGAAAA&#10;AAYABgBZAQAATgUAAAAA&#10;">
              <v:fill on="f" focussize="0,0"/>
              <v:stroke on="f"/>
              <v:imagedata o:title=""/>
              <o:lock v:ext="edit" aspectratio="f"/>
              <v:textbox inset="0mm,0mm,0mm,0mm">
                <w:txbxContent>
                  <w:p w14:paraId="385E18EB">
                    <w:pPr>
                      <w:spacing w:before="0" w:line="203" w:lineRule="exact"/>
                      <w:ind w:left="20" w:right="0" w:firstLine="0"/>
                      <w:jc w:val="left"/>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lowerLetter"/>
      <w:lvlText w:val="%1)"/>
      <w:lvlJc w:val="left"/>
      <w:pPr>
        <w:ind w:left="925" w:hanging="36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1820" w:hanging="360"/>
      </w:pPr>
      <w:rPr>
        <w:rFonts w:hint="default"/>
        <w:lang w:val="en-US" w:eastAsia="zh-CN" w:bidi="ar-SA"/>
      </w:rPr>
    </w:lvl>
    <w:lvl w:ilvl="2" w:tentative="0">
      <w:start w:val="0"/>
      <w:numFmt w:val="bullet"/>
      <w:lvlText w:val="•"/>
      <w:lvlJc w:val="left"/>
      <w:pPr>
        <w:ind w:left="2720" w:hanging="360"/>
      </w:pPr>
      <w:rPr>
        <w:rFonts w:hint="default"/>
        <w:lang w:val="en-US" w:eastAsia="zh-CN" w:bidi="ar-SA"/>
      </w:rPr>
    </w:lvl>
    <w:lvl w:ilvl="3" w:tentative="0">
      <w:start w:val="0"/>
      <w:numFmt w:val="bullet"/>
      <w:lvlText w:val="•"/>
      <w:lvlJc w:val="left"/>
      <w:pPr>
        <w:ind w:left="3620" w:hanging="360"/>
      </w:pPr>
      <w:rPr>
        <w:rFonts w:hint="default"/>
        <w:lang w:val="en-US" w:eastAsia="zh-CN" w:bidi="ar-SA"/>
      </w:rPr>
    </w:lvl>
    <w:lvl w:ilvl="4" w:tentative="0">
      <w:start w:val="0"/>
      <w:numFmt w:val="bullet"/>
      <w:lvlText w:val="•"/>
      <w:lvlJc w:val="left"/>
      <w:pPr>
        <w:ind w:left="4520" w:hanging="360"/>
      </w:pPr>
      <w:rPr>
        <w:rFonts w:hint="default"/>
        <w:lang w:val="en-US" w:eastAsia="zh-CN" w:bidi="ar-SA"/>
      </w:rPr>
    </w:lvl>
    <w:lvl w:ilvl="5" w:tentative="0">
      <w:start w:val="0"/>
      <w:numFmt w:val="bullet"/>
      <w:lvlText w:val="•"/>
      <w:lvlJc w:val="left"/>
      <w:pPr>
        <w:ind w:left="5421" w:hanging="360"/>
      </w:pPr>
      <w:rPr>
        <w:rFonts w:hint="default"/>
        <w:lang w:val="en-US" w:eastAsia="zh-CN" w:bidi="ar-SA"/>
      </w:rPr>
    </w:lvl>
    <w:lvl w:ilvl="6" w:tentative="0">
      <w:start w:val="0"/>
      <w:numFmt w:val="bullet"/>
      <w:lvlText w:val="•"/>
      <w:lvlJc w:val="left"/>
      <w:pPr>
        <w:ind w:left="6321" w:hanging="360"/>
      </w:pPr>
      <w:rPr>
        <w:rFonts w:hint="default"/>
        <w:lang w:val="en-US" w:eastAsia="zh-CN" w:bidi="ar-SA"/>
      </w:rPr>
    </w:lvl>
    <w:lvl w:ilvl="7" w:tentative="0">
      <w:start w:val="0"/>
      <w:numFmt w:val="bullet"/>
      <w:lvlText w:val="•"/>
      <w:lvlJc w:val="left"/>
      <w:pPr>
        <w:ind w:left="7221" w:hanging="360"/>
      </w:pPr>
      <w:rPr>
        <w:rFonts w:hint="default"/>
        <w:lang w:val="en-US" w:eastAsia="zh-CN" w:bidi="ar-SA"/>
      </w:rPr>
    </w:lvl>
    <w:lvl w:ilvl="8" w:tentative="0">
      <w:start w:val="0"/>
      <w:numFmt w:val="bullet"/>
      <w:lvlText w:val="•"/>
      <w:lvlJc w:val="left"/>
      <w:pPr>
        <w:ind w:left="8121" w:hanging="360"/>
      </w:pPr>
      <w:rPr>
        <w:rFonts w:hint="default"/>
        <w:lang w:val="en-US" w:eastAsia="zh-CN" w:bidi="ar-SA"/>
      </w:rPr>
    </w:lvl>
  </w:abstractNum>
  <w:abstractNum w:abstractNumId="1">
    <w:nsid w:val="CF092B84"/>
    <w:multiLevelType w:val="multilevel"/>
    <w:tmpl w:val="CF092B84"/>
    <w:lvl w:ilvl="0" w:tentative="0">
      <w:start w:val="1"/>
      <w:numFmt w:val="decimal"/>
      <w:lvlText w:val="%1"/>
      <w:lvlJc w:val="left"/>
      <w:pPr>
        <w:ind w:left="325" w:hanging="240"/>
        <w:jc w:val="left"/>
      </w:pPr>
      <w:rPr>
        <w:rFonts w:hint="default" w:ascii="宋体" w:hAnsi="宋体" w:eastAsia="宋体" w:cs="宋体"/>
        <w:b w:val="0"/>
        <w:bCs w:val="0"/>
        <w:i w:val="0"/>
        <w:iCs w:val="0"/>
        <w:spacing w:val="0"/>
        <w:w w:val="100"/>
        <w:sz w:val="24"/>
        <w:szCs w:val="24"/>
        <w:lang w:val="en-US" w:eastAsia="zh-CN" w:bidi="ar-SA"/>
      </w:rPr>
    </w:lvl>
    <w:lvl w:ilvl="1" w:tentative="0">
      <w:start w:val="1"/>
      <w:numFmt w:val="decimal"/>
      <w:lvlText w:val="%1.%2"/>
      <w:lvlJc w:val="left"/>
      <w:pPr>
        <w:ind w:left="565" w:hanging="480"/>
        <w:jc w:val="left"/>
      </w:pPr>
      <w:rPr>
        <w:rFonts w:hint="default" w:ascii="宋体" w:hAnsi="宋体" w:eastAsia="宋体" w:cs="宋体"/>
        <w:b w:val="0"/>
        <w:bCs w:val="0"/>
        <w:i w:val="0"/>
        <w:iCs w:val="0"/>
        <w:spacing w:val="0"/>
        <w:w w:val="100"/>
        <w:sz w:val="24"/>
        <w:szCs w:val="24"/>
        <w:lang w:val="en-US" w:eastAsia="zh-CN" w:bidi="ar-SA"/>
      </w:rPr>
    </w:lvl>
    <w:lvl w:ilvl="2" w:tentative="0">
      <w:start w:val="1"/>
      <w:numFmt w:val="decimal"/>
      <w:lvlText w:val="%1.%2.%3"/>
      <w:lvlJc w:val="left"/>
      <w:pPr>
        <w:ind w:left="805" w:hanging="720"/>
        <w:jc w:val="left"/>
      </w:pPr>
      <w:rPr>
        <w:rFonts w:hint="default" w:ascii="宋体" w:hAnsi="宋体" w:eastAsia="宋体" w:cs="宋体"/>
        <w:b w:val="0"/>
        <w:bCs w:val="0"/>
        <w:i w:val="0"/>
        <w:iCs w:val="0"/>
        <w:spacing w:val="0"/>
        <w:w w:val="100"/>
        <w:sz w:val="24"/>
        <w:szCs w:val="24"/>
        <w:lang w:val="en-US" w:eastAsia="zh-CN" w:bidi="ar-SA"/>
      </w:rPr>
    </w:lvl>
    <w:lvl w:ilvl="3" w:tentative="0">
      <w:start w:val="1"/>
      <w:numFmt w:val="decimal"/>
      <w:lvlText w:val="%4）"/>
      <w:lvlJc w:val="left"/>
      <w:pPr>
        <w:ind w:left="926" w:hanging="361"/>
        <w:jc w:val="left"/>
      </w:pPr>
      <w:rPr>
        <w:rFonts w:hint="default" w:ascii="宋体" w:hAnsi="宋体" w:eastAsia="宋体" w:cs="宋体"/>
        <w:b w:val="0"/>
        <w:bCs w:val="0"/>
        <w:i w:val="0"/>
        <w:iCs w:val="0"/>
        <w:spacing w:val="0"/>
        <w:w w:val="100"/>
        <w:sz w:val="22"/>
        <w:szCs w:val="22"/>
        <w:lang w:val="en-US" w:eastAsia="zh-CN" w:bidi="ar-SA"/>
      </w:rPr>
    </w:lvl>
    <w:lvl w:ilvl="4" w:tentative="0">
      <w:start w:val="0"/>
      <w:numFmt w:val="bullet"/>
      <w:lvlText w:val="•"/>
      <w:lvlJc w:val="left"/>
      <w:pPr>
        <w:ind w:left="2206" w:hanging="361"/>
      </w:pPr>
      <w:rPr>
        <w:rFonts w:hint="default"/>
        <w:lang w:val="en-US" w:eastAsia="zh-CN" w:bidi="ar-SA"/>
      </w:rPr>
    </w:lvl>
    <w:lvl w:ilvl="5" w:tentative="0">
      <w:start w:val="0"/>
      <w:numFmt w:val="bullet"/>
      <w:lvlText w:val="•"/>
      <w:lvlJc w:val="left"/>
      <w:pPr>
        <w:ind w:left="3492" w:hanging="361"/>
      </w:pPr>
      <w:rPr>
        <w:rFonts w:hint="default"/>
        <w:lang w:val="en-US" w:eastAsia="zh-CN" w:bidi="ar-SA"/>
      </w:rPr>
    </w:lvl>
    <w:lvl w:ilvl="6" w:tentative="0">
      <w:start w:val="0"/>
      <w:numFmt w:val="bullet"/>
      <w:lvlText w:val="•"/>
      <w:lvlJc w:val="left"/>
      <w:pPr>
        <w:ind w:left="4778" w:hanging="361"/>
      </w:pPr>
      <w:rPr>
        <w:rFonts w:hint="default"/>
        <w:lang w:val="en-US" w:eastAsia="zh-CN" w:bidi="ar-SA"/>
      </w:rPr>
    </w:lvl>
    <w:lvl w:ilvl="7" w:tentative="0">
      <w:start w:val="0"/>
      <w:numFmt w:val="bullet"/>
      <w:lvlText w:val="•"/>
      <w:lvlJc w:val="left"/>
      <w:pPr>
        <w:ind w:left="6064" w:hanging="361"/>
      </w:pPr>
      <w:rPr>
        <w:rFonts w:hint="default"/>
        <w:lang w:val="en-US" w:eastAsia="zh-CN" w:bidi="ar-SA"/>
      </w:rPr>
    </w:lvl>
    <w:lvl w:ilvl="8" w:tentative="0">
      <w:start w:val="0"/>
      <w:numFmt w:val="bullet"/>
      <w:lvlText w:val="•"/>
      <w:lvlJc w:val="left"/>
      <w:pPr>
        <w:ind w:left="7350" w:hanging="361"/>
      </w:pPr>
      <w:rPr>
        <w:rFonts w:hint="default"/>
        <w:lang w:val="en-US" w:eastAsia="zh-CN" w:bidi="ar-SA"/>
      </w:rPr>
    </w:lvl>
  </w:abstractNum>
  <w:abstractNum w:abstractNumId="2">
    <w:nsid w:val="59ADCABA"/>
    <w:multiLevelType w:val="multilevel"/>
    <w:tmpl w:val="59ADCABA"/>
    <w:lvl w:ilvl="0" w:tentative="0">
      <w:start w:val="0"/>
      <w:numFmt w:val="bullet"/>
      <w:lvlText w:val=""/>
      <w:lvlJc w:val="left"/>
      <w:pPr>
        <w:ind w:left="988" w:hanging="420"/>
      </w:pPr>
      <w:rPr>
        <w:rFonts w:hint="default" w:ascii="Wingdings" w:hAnsi="Wingdings" w:eastAsia="Wingdings" w:cs="Wingdings"/>
        <w:b w:val="0"/>
        <w:bCs w:val="0"/>
        <w:i w:val="0"/>
        <w:iCs w:val="0"/>
        <w:spacing w:val="0"/>
        <w:w w:val="100"/>
        <w:sz w:val="24"/>
        <w:szCs w:val="24"/>
        <w:lang w:val="en-US" w:eastAsia="zh-CN" w:bidi="ar-SA"/>
      </w:rPr>
    </w:lvl>
    <w:lvl w:ilvl="1" w:tentative="0">
      <w:start w:val="0"/>
      <w:numFmt w:val="bullet"/>
      <w:lvlText w:val="•"/>
      <w:lvlJc w:val="left"/>
      <w:pPr>
        <w:ind w:left="1874" w:hanging="420"/>
      </w:pPr>
      <w:rPr>
        <w:rFonts w:hint="default"/>
        <w:lang w:val="en-US" w:eastAsia="zh-CN" w:bidi="ar-SA"/>
      </w:rPr>
    </w:lvl>
    <w:lvl w:ilvl="2" w:tentative="0">
      <w:start w:val="0"/>
      <w:numFmt w:val="bullet"/>
      <w:lvlText w:val="•"/>
      <w:lvlJc w:val="left"/>
      <w:pPr>
        <w:ind w:left="2768" w:hanging="420"/>
      </w:pPr>
      <w:rPr>
        <w:rFonts w:hint="default"/>
        <w:lang w:val="en-US" w:eastAsia="zh-CN" w:bidi="ar-SA"/>
      </w:rPr>
    </w:lvl>
    <w:lvl w:ilvl="3" w:tentative="0">
      <w:start w:val="0"/>
      <w:numFmt w:val="bullet"/>
      <w:lvlText w:val="•"/>
      <w:lvlJc w:val="left"/>
      <w:pPr>
        <w:ind w:left="3662" w:hanging="420"/>
      </w:pPr>
      <w:rPr>
        <w:rFonts w:hint="default"/>
        <w:lang w:val="en-US" w:eastAsia="zh-CN" w:bidi="ar-SA"/>
      </w:rPr>
    </w:lvl>
    <w:lvl w:ilvl="4" w:tentative="0">
      <w:start w:val="0"/>
      <w:numFmt w:val="bullet"/>
      <w:lvlText w:val="•"/>
      <w:lvlJc w:val="left"/>
      <w:pPr>
        <w:ind w:left="4556" w:hanging="420"/>
      </w:pPr>
      <w:rPr>
        <w:rFonts w:hint="default"/>
        <w:lang w:val="en-US" w:eastAsia="zh-CN" w:bidi="ar-SA"/>
      </w:rPr>
    </w:lvl>
    <w:lvl w:ilvl="5" w:tentative="0">
      <w:start w:val="0"/>
      <w:numFmt w:val="bullet"/>
      <w:lvlText w:val="•"/>
      <w:lvlJc w:val="left"/>
      <w:pPr>
        <w:ind w:left="5451" w:hanging="420"/>
      </w:pPr>
      <w:rPr>
        <w:rFonts w:hint="default"/>
        <w:lang w:val="en-US" w:eastAsia="zh-CN" w:bidi="ar-SA"/>
      </w:rPr>
    </w:lvl>
    <w:lvl w:ilvl="6" w:tentative="0">
      <w:start w:val="0"/>
      <w:numFmt w:val="bullet"/>
      <w:lvlText w:val="•"/>
      <w:lvlJc w:val="left"/>
      <w:pPr>
        <w:ind w:left="6345" w:hanging="420"/>
      </w:pPr>
      <w:rPr>
        <w:rFonts w:hint="default"/>
        <w:lang w:val="en-US" w:eastAsia="zh-CN" w:bidi="ar-SA"/>
      </w:rPr>
    </w:lvl>
    <w:lvl w:ilvl="7" w:tentative="0">
      <w:start w:val="0"/>
      <w:numFmt w:val="bullet"/>
      <w:lvlText w:val="•"/>
      <w:lvlJc w:val="left"/>
      <w:pPr>
        <w:ind w:left="7239" w:hanging="420"/>
      </w:pPr>
      <w:rPr>
        <w:rFonts w:hint="default"/>
        <w:lang w:val="en-US" w:eastAsia="zh-CN" w:bidi="ar-SA"/>
      </w:rPr>
    </w:lvl>
    <w:lvl w:ilvl="8" w:tentative="0">
      <w:start w:val="0"/>
      <w:numFmt w:val="bullet"/>
      <w:lvlText w:val="•"/>
      <w:lvlJc w:val="left"/>
      <w:pPr>
        <w:ind w:left="8133" w:hanging="420"/>
      </w:pPr>
      <w:rPr>
        <w:rFonts w:hint="default"/>
        <w:lang w:val="en-US" w:eastAsia="zh-CN"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2EA6F32"/>
    <w:rsid w:val="214020A2"/>
    <w:rsid w:val="347047C3"/>
    <w:rsid w:val="387A6E02"/>
    <w:rsid w:val="4ECA0360"/>
    <w:rsid w:val="79846E7F"/>
    <w:rsid w:val="7C0D74BE"/>
    <w:rsid w:val="7D086F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29"/>
      <w:ind w:left="3" w:right="2"/>
      <w:jc w:val="center"/>
      <w:outlineLvl w:val="1"/>
    </w:pPr>
    <w:rPr>
      <w:rFonts w:ascii="宋体" w:hAnsi="宋体" w:eastAsia="宋体" w:cs="宋体"/>
      <w:sz w:val="32"/>
      <w:szCs w:val="32"/>
      <w:lang w:val="en-US" w:eastAsia="zh-CN" w:bidi="ar-SA"/>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4"/>
      <w:szCs w:val="24"/>
      <w:lang w:val="en-US" w:eastAsia="zh-CN" w:bidi="ar-SA"/>
    </w:rPr>
  </w:style>
  <w:style w:type="paragraph" w:styleId="4">
    <w:name w:val="Title"/>
    <w:basedOn w:val="1"/>
    <w:qFormat/>
    <w:uiPriority w:val="1"/>
    <w:pPr>
      <w:spacing w:before="473"/>
      <w:ind w:left="3520" w:right="3520"/>
      <w:jc w:val="center"/>
    </w:pPr>
    <w:rPr>
      <w:rFonts w:ascii="宋体" w:hAnsi="宋体" w:eastAsia="宋体" w:cs="宋体"/>
      <w:sz w:val="48"/>
      <w:szCs w:val="48"/>
      <w:lang w:val="en-US" w:eastAsia="zh-CN"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99"/>
      <w:ind w:left="565" w:hanging="480"/>
    </w:pPr>
    <w:rPr>
      <w:rFonts w:ascii="宋体" w:hAnsi="宋体" w:eastAsia="宋体" w:cs="宋体"/>
      <w:lang w:val="en-US" w:eastAsia="zh-CN" w:bidi="ar-SA"/>
    </w:rPr>
  </w:style>
  <w:style w:type="paragraph" w:customStyle="1" w:styleId="9">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21</Pages>
  <Words>3762</Words>
  <Characters>4205</Characters>
  <TotalTime>0</TotalTime>
  <ScaleCrop>false</ScaleCrop>
  <LinksUpToDate>false</LinksUpToDate>
  <CharactersWithSpaces>4494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2026-06-08T07:00:00Z</dcterms:created>
  <dc:creator>Sky123.Org</dc:creator>
  <cp:lastModifiedBy>蓝色气球</cp:lastModifiedBy>
  <dcterms:modified xsi:type="dcterms:W3CDTF">2026-06-15T09:12:53Z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2025-10-11T00:00:00Z</vt:filetime>
  </property>
  <property fmtid="{D5CDD505-2E9C-101B-9397-08002B2CF9AE}" pid="4" name="Creator">
    <vt:lpwstr>Acrobat PDFMaker 24 Word 版</vt:lpwstr>
  </property>
  <property fmtid="{D5CDD505-2E9C-101B-9397-08002B2CF9AE}" pid="5" name="KSOProductBuildVer">
    <vt:lpwstr>2052-12.1.0.26895</vt:lpwstr>
  </property>
  <property fmtid="{D5CDD505-2E9C-101B-9397-08002B2CF9AE}" pid="6" name="LastSaved">
    <vt:filetime>2026-06-08T00:00:00Z</vt:filetime>
  </property>
  <property fmtid="{D5CDD505-2E9C-101B-9397-08002B2CF9AE}" pid="7" name="Producer">
    <vt:lpwstr>Adobe PDF Library 24.4.48</vt:lpwstr>
  </property>
  <property fmtid="{D5CDD505-2E9C-101B-9397-08002B2CF9AE}" pid="8" name="SourceModified">
    <vt:lpwstr>D:20251011020933</vt:lpwstr>
  </property>
  <property fmtid="{D5CDD505-2E9C-101B-9397-08002B2CF9AE}" pid="9" name="KSOTemplateDocerSaveRecord">
    <vt:lpwstr>eyJoZGlkIjoiNjYxMGExZTgwZjc0NWVjZTI1YzE0YjIxMTVjMWJhYzMiLCJ1c2VySWQiOiIzMzY0NDUzMzYifQ==</vt:lpwstr>
  </property>
  <property fmtid="{D5CDD505-2E9C-101B-9397-08002B2CF9AE}" pid="10" name="ICV">
    <vt:lpwstr>EAD51B9EEE1B424EAD570385C69762F0_12</vt:lpwstr>
  </property>
</Properties>
</file>