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Ads.txt Specification v1.1 (Japanese Translation)</w:t>
      </w:r>
    </w:p>
    <w:p>
      <w:pPr>
        <w:pStyle w:val="Heading1"/>
      </w:pPr>
      <w:r>
        <w:t>General</w:t>
      </w:r>
    </w:p>
    <w:p>
      <w:r>
        <w:t>ads.txt Version 1.1 2022年8月リリース フィードバックや質問は support@iabtechlab.com までメールで連絡されたい。本ドキュメントはオンライン https://iabtechlab.com/ads.txt/ で入手可能である。 © IAB Technology Laboratory</w:t>
      </w:r>
    </w:p>
    <w:p>
      <w:r>
        <w:t>About ads.txt (ads.txtについて) ads.txt仕様は2017年春に策定された。本ドキュメントは最終的なads.txt仕様 Version 1.1であり、Programmatic Supply Chainワーキンググループの支援を受けて開発された査読済みの標準である。本ドキュメントは https://iabtechlab.com/ads-txt で入手可能である。ads.txt仕様は、パブリッシャーが自社のインベントリの販売を誰に許可しているかを公にかつ透明性を持って宣言できるようにすることで、ads.txtファイルを公開しているウェブサイトがホストする広告インベントリを保護することに焦点を当てている。モバイルアプリストア、コネクテッドテレビアプリストア、およびその他の類似の配信チャネルを通じて配布されるソフトウェアアプリケーションの要件を満たすには、https://iabtechlab.com/ads-txt で同様に入手可能な、付随する app-ads.txt 仕様を参照されたい。</w:t>
      </w:r>
    </w:p>
    <w:p>
      <w:r>
        <w:t>About IAB Tech Lab (IAB Tech Labについて) IAB Technology Laboratoryは、非営利の研究開発コンソーシアムであり、グローバルな業界技術標準とソリューションの作成と企業による実装を支援する役割を担っている。Tech Labの目標は、デジタル広告とマーケティングのサプライチェーンに関連する摩擦を減らしつつ、業界の安全な成長に貢献することである。IAB Tech Labは、技術標準の開発を主導し、IAB標準の迅速で費用対効果の高い実装を支援するコードライブラリを作成・維持し、企業が自社の技術ソリューションとIAB標準との互換性を評価するためのテストプラットフォームを確立する。IAB標準は18年にわたり、デジタル広告サプライチェーンにおける相互運用性と収益性の高い成長の基盤となってきた。IAB Technology Labの詳細は https://iabtechlab.com を参照されたい。ライセンス：Programmatic Supply Chain Working GroupによるAds.txtは、Creative Commons Attribution 3.0 Licenseに基づいてライセンスされている。このライセンスのコピーを表示するには、creativecommons.org/licenses/by/3.0/ にアクセスするか、Creative Commons, 171 Second Street, Suite 300, San Francisco, CA 94105, USA まで書面で連絡されたい。</w:t>
      </w:r>
    </w:p>
    <w:p>
      <w:r>
        <w:t>© 2022 IAB Technology Laboratory</w:t>
      </w:r>
    </w:p>
    <w:p>
      <w:r>
        <w:t>iabtechlab.com/ads.txt</w:t>
      </w:r>
    </w:p>
    <w:p>
      <w:r>
        <w:t>免責事項：規格、仕様書、測定ガイドライン、および本契約に基づき利用者に提供または利用されるその他の資料またはサービス（以下「製品およびサービス」）は、「現状有姿」および「利用可能な状態」で提供されるものであり、IAB TECHNOLOGY LABORATORY, INC.（以下「TECH LAB」）は、これらに関していかなる保証も行わず、商品性、特定目的への適合性、可用性、エラーフリーまたは中断されない動作、および取引過程、履行過程、または商習慣から生じる保証を含むがこれらに限定されない、明示的、黙示的、または制定法上の保証を一切放棄するものとする。TECH LABが適用される法律の問題として黙示的保証を否認できない範囲において、かかる保証の範囲および期間は、かかる法律の下で許容される最小限のものとする。本製品およびサービスは、ビジネス上または法律上のアドバイスを構成するものではない。TECH LABは、本契約に基づき利用者に提供される、または利用者が使用する製品およびサービスが、利用者および/または利用者の製品もしくはサービスを、適用される法律、規制、または自主規制の枠組みに準拠させることを保証せず、利用者は、以下を含むがこれらに限定されない法令への準拠に関して単独で責任を負うものとする：個人情報保護および電子文書法（カナダ）、データ保護指令（EU）、eプライバシー指令（EU）、一般データ保護規則（EU）、およびeプライバシー規則（EU）など、これらが発効された場合およびその時点におけるデータ保護法。</w:t>
      </w:r>
    </w:p>
    <w:p>
      <w:r>
        <w:t>Version 1.1 リリースの主な貢献者: Justin Adler-Swanberg, Director Marketplace Quality, MediaMath; Paul Bannister, Chief Strategy Officer, CafeMedia; Per Bjorke, Group Product Manager, Google; Eric Bozinny, Sr Director Marketplace Quality, Pubmatic; Katie Chang, Sales Operations &amp; Strategy Lead, Yahoo; Zack Dugow, Founder and CEO, Insticator; Emma Fenlon, Sr. Manager Exchange Quality, Yahoo; Jeremy Grant, Sr. Product Manager, Index Exchange; Chris Kane, Founder, Jounce Media; Curt Larson, Chief Product Officer, Sharethrough; Curtis Light, Staff Software Engineer, Google; Don Marti, VP Ecosystem Innovation, CafeMedia; Kristen Moegling, Sr. Technical Solutions,Triplelift; Angie Pennington, Sales and Operations Strategy Lead, Yahoo; Neal Richter, Director, Advertising Science, Amazon DSP, Jud Spencer, Principal Lead Software Engineer, The Trade Desk; Brian Van Horne, Director of Engineering, Magnite; JeanLuc Wasmer, VP Partnership Integrations, Triton Digital; Liam Whiteside, Head of Ad Technology, Global; Anna Wolk, Marketplace Quality, The Trade Desk; IAB Tech Lab Lead: Jill Wittkopp, Sr. Director Product, IAB Tech Lab</w:t>
      </w:r>
    </w:p>
    <w:p>
      <w:r>
        <w:t>© 2022 IAB Technology Laboratory</w:t>
      </w:r>
    </w:p>
    <w:p>
      <w:r>
        <w:t>iabtechlab.com/ads.txt</w:t>
      </w:r>
    </w:p>
    <w:p>
      <w:r>
        <w:t>目次 (翻訳省略)</w:t>
      </w:r>
    </w:p>
    <w:p>
      <w:r>
        <w:t>© 2022 IAB Technology Laboratory</w:t>
      </w:r>
    </w:p>
    <w:p>
      <w:r>
        <w:t>iabtechlab.com/ads.txt</w:t>
      </w:r>
    </w:p>
    <w:p>
      <w:r>
        <w:t>1. Abstract (要旨) オープンなデジタル広告エコシステムにおいて偽造在庫から利益を得る能力を排除するための広範な取り組みの一環として、コンテンツ所有者が自身のインベントリの販売を誰に許可しているかを宣言できるようにするメカニズムを提供する。</w:t>
      </w:r>
    </w:p>
    <w:p>
      <w:r>
        <w:t>2. Introduction (はじめに) 簡潔にするため、読者はすでにアドテクにおける不正の問題とその膨大な規模について熟知していると仮定する [1][2][3]。不正にはさまざまな形態があるが、ここではリアルタイム入札プロセスにおいて、広告インベントリが虚偽のラベルとアカウントでバイヤーに提供される形態に焦点を当てる。典型的には、ウェブページのドメインやモバイルアプリのIDが、販売権限のないサイトやアプリのように見えるように偽装されている。ここで我々は、コンテンツ所有者が自身のインベントリの販売を許可された広告システムとリセラーのセットを明示的に宣言できるようにする新しい標準を提案する。これにより、バイヤーは認可されたエンティティを経由した安全なサプライチェーンを通じて広告枠を獲得できるようになる。</w:t>
      </w:r>
    </w:p>
    <w:p>
      <w:pPr>
        <w:pStyle w:val="Heading2"/>
      </w:pPr>
      <w:r>
        <w:t>2.1 CHANGE LOG</w:t>
      </w:r>
    </w:p>
    <w:p>
      <w:r>
        <w:t>バージョン</w:t>
      </w:r>
    </w:p>
    <w:p>
      <w:r>
        <w:t>日付</w:t>
      </w:r>
    </w:p>
    <w:p>
      <w:r>
        <w:t>変更点</w:t>
      </w:r>
    </w:p>
    <w:p>
      <w:r>
        <w:t>1.0</w:t>
      </w:r>
    </w:p>
    <w:p>
      <w:r>
        <w:t>2017年6月27日</w:t>
      </w:r>
    </w:p>
    <w:p>
      <w:r>
        <w:t>初版</w:t>
      </w:r>
    </w:p>
    <w:p>
      <w:r>
        <w:t>1.0.1</w:t>
      </w:r>
    </w:p>
    <w:p>
      <w:r>
        <w:t>2017年8月30日</w:t>
      </w:r>
    </w:p>
    <w:p>
      <w:r>
        <w:t>コミュニティからのフィードバックに基づく軽微な改訂。3.1の明確化、および3.2、3.5、4.4、4.5、5.5における連絡先およびサブドメイン変数のサポートの追加。</w:t>
      </w:r>
    </w:p>
    <w:p>
      <w:r>
        <w:t>1.0.2</w:t>
      </w:r>
    </w:p>
    <w:p>
      <w:r>
        <w:t>2019年3月4日</w:t>
      </w:r>
    </w:p>
    <w:p>
      <w:r>
        <w:t>コミュニティからのフィードバックに基づく軽微な改訂。3.2.1および4.7を追加し、空のads.txtファイルの意図を示すためにプレースホルダーレコードを使用するためのガイダンスを含め、以前の方法を廃止。「About」セクションにads.txtとapp-ads.txtの区別を追加。</w:t>
      </w:r>
    </w:p>
    <w:p>
      <w:r>
        <w:t>1.0.3</w:t>
      </w:r>
    </w:p>
    <w:p>
      <w:r>
        <w:t>2020年12月 パブリックコメント</w:t>
      </w:r>
    </w:p>
    <w:p>
      <w:r>
        <w:t>CTVや類似のユースケースを支援するため、「inventorypartnerdomain」ディレクティブを追加（4.6と5.7に詳細を追加）。</w:t>
      </w:r>
    </w:p>
    <w:p>
      <w:r>
        <w:t>2021年3月 最終リリース</w:t>
      </w:r>
    </w:p>
    <w:p>
      <w:r>
        <w:t>© 2022 IAB Technology Laboratory</w:t>
      </w:r>
    </w:p>
    <w:p>
      <w:r>
        <w:t>iabtechlab.com/ads.txt</w:t>
      </w:r>
    </w:p>
    <w:p>
      <w:r>
        <w:t>バージョン</w:t>
      </w:r>
    </w:p>
    <w:p>
      <w:r>
        <w:t>日付</w:t>
      </w:r>
    </w:p>
    <w:p>
      <w:r>
        <w:t>変更点</w:t>
      </w:r>
    </w:p>
    <w:p>
      <w:r>
        <w:t>1.1</w:t>
      </w:r>
    </w:p>
    <w:p>
      <w:r>
        <w:t>2022年4月 パブリックコメント</w:t>
      </w:r>
    </w:p>
    <w:p>
      <w:r>
        <w:t>「managerdomain」および「ownerdomain」変数を追加（詳細は3.5.1、4.7、4.8、5.8、5.9を参照）。</w:t>
      </w:r>
    </w:p>
    <w:p>
      <w:r>
        <w:t>2022年7月 最終リリース</w:t>
      </w:r>
    </w:p>
    <w:p>
      <w:r>
        <w:t>© 2022 IAB Technology Laboratory</w:t>
      </w:r>
    </w:p>
    <w:p>
      <w:r>
        <w:t>iabtechlab.com/ads.txt</w:t>
      </w:r>
    </w:p>
    <w:p>
      <w:r>
        <w:t>3. Specification (仕様) 本メモは、パブリッシャーコンテンツディストリビューターが、自らの公認広告システムと、それらのシステム内の識別子を公に宣言するためのメカニズムを規定するものである。本仕様は、OpenRTBビッドリクエスト内の site.domain や app.bundle、または他の取引方法における同等の情報と連携して使用されることを意図している。また、広告システムとその顧客によって消費される指示をエンコードするためのフォーマットについても記述する。広告システムは、そのウェブサイト上にあると主張する広告を売買する前に、これらの宣言を取得すべきである。本仕様は、特に robots.txt 標準 [5][6] に着想を得ている。重要な属性は、ファイルがコンテンツのウェブ配信システムに掲示され、それによってウェブサイトがそのファイルを作成したことを証明することである。リアルタイムの広告枠販売については IAB Tech Lab の OpenRTB [7] や Google の AdX API [8]、非リアルタイム販売については IAB Tech Lab の OpenDirect [9] など、他のさまざまな広告API仕様を参照されたい。</w:t>
      </w:r>
    </w:p>
    <w:p>
      <w:pPr>
        <w:pStyle w:val="Heading2"/>
      </w:pPr>
      <w:r>
        <w:t>3.1 ACCESS METHOD</w:t>
      </w:r>
    </w:p>
    <w:p>
      <w:r>
        <w:t>3.1 Access Method (アクセス方法) パブリッシャーは、ルートドメインおよび必要に応じてサブドメインに "/ads.txt" ファイルを掲載すべきである。本ドキュメントの目的上、「ルートドメイン」は「パブリックサフィックス」に名前の中の文字列を1つ加えたものとして定義される。クローラーは、ルートドメインを導き出すために、Public Suffix List [16] を組み込むべきである。宣言は、指示を適用するウェブサイトから、サーバーホスト上の標準的な相対パス "/ads.txt" と "Content-Type: text/plain" を含むHTTPリクエストヘッダで、HTTPおよび/またはHTTPS経由でアクセス可能でなければならない。さらに、"Content-Type: text/plain; charset=utf-8" を使用して、UTF8サポートを明示的に知らせることも推奨される。また、ads.txtファイルをクロールする際には、HTTPよりもHTTPS接続を優先することが推奨される。いずれの場合も、同じURLに対してHTTPS接続とHTTP接続の両方でデータが利用できる場合は、HTTPSからのデータを優先すべきである。便宜上、このリソースを "/ads.txt" ファイルと呼ぶことにするが、実際にはリソースがファイルシステムに由来する必要はない。サーバーレスポンスがSuccess（HTTP 2xx ステータスコード）を示す場合、広告システムはコンテンツを読み取り、解析し、宣言を利用しなければならない。サーバーレスポンスがHTTP/HTTPSリダイレクト（301、302、307ステータスコード）を示す場合、広告システムはリダイレクトに従い、リダイレクト先が上記で定義されたオリジナルルートドメインの範囲内にある場合に限り、データをリダイレクト元の信頼できる情報として使用すべきである。各リダイレクト先が元のルートドメイン内にある限り、複数のリダイレクトは有効である。例えば、同じルートドメイン内でのHTTPからHTTPSへのリダイレクトは有効である。</w:t>
      </w:r>
    </w:p>
    <w:p>
      <w:r>
        <w:t>© 2022 IAB Technology Laboratory</w:t>
      </w:r>
    </w:p>
    <w:p>
      <w:r>
        <w:t>iabtechlab.com/ads.txt</w:t>
      </w:r>
    </w:p>
    <w:p>
      <w:r>
        <w:t>サードパーティのウェブサーバードメインへのワンホップ権限委譲を容易にするために、元のルートドメイン外の宛先への単一のHTTPリダイレクトのみが許可される。サードパーティのロケーションがリダイレクトを返す場合、広告システムはその応答をエラーとして扱うべきである。将来のバージョンでは、サードパーティのウェブサーバーへの他の権限委譲に対応する可能性がある。それ以外のリダイレクトはエラーとして解釈し、無視すべきである。サーバーレスポンスがリソース制限（HTTP 401）を示す場合、広告システムは認証キーまたは明確化のためにサイトに直接連絡を求めるべきである。サーバーレスポンスがリソースが存在しないことを示す場合（HTTPステータスコード404）、広告システムは宣言が存在せず、どの広告システムもウェブサイト上で広告を売買する権限がないとみなすことができる。クローラーが以前にデータを発見したURLに対してその他のHTTPエラーが発生した場合は、最後に正常に取得されたデータセットを利用すべきである。</w:t>
      </w:r>
    </w:p>
    <w:p>
      <w:pPr>
        <w:pStyle w:val="Heading2"/>
      </w:pPr>
      <w:r>
        <w:t>3.2 FILE FORMAT</w:t>
      </w:r>
    </w:p>
    <w:p>
      <w:r>
        <w:t>3.2 File Format (ファイルフォーマット) データは、ここで説明するフォーマットされたプレーンテキストオブジェクトとしてエンコードされる。HTTP Content-typeは「text/plain」でなければならず、それ以外のContent-typesはエラーとして扱われ、コンテンツは無視されるべきである。このフォーマットの構文の完全な説明は、以下のセクション3.4にある。フォーマットは論理的に以下で構成される： ● 改行で区切られた、空でないレコードの集合。レコードは以下の形式の行のセットで構成される： &lt;FIELD #1&gt;, &lt;FIELD #2&gt;, &lt;FIELD #3&gt;, &lt;FIELD #4&gt; または &lt;VARIABLE&gt;=&lt;VALUE&gt;</w:t>
      </w:r>
    </w:p>
    <w:p>
      <w:r>
        <w:t>#記号で始まる行はコメントとみなされ、無視される。データフォーマットを含む行は、セクション3.4で定義された構文を持つ。変数フォーマットを含む行は、セクション3.5で定義された構文を持つ。</w:t>
      </w:r>
    </w:p>
    <w:p>
      <w:pPr>
        <w:pStyle w:val="Heading3"/>
      </w:pPr>
      <w:r>
        <w:t>3.2.1 FILES WITHOUT AUTHORIZED ADVERTISING SYSTEM</w:t>
      </w:r>
    </w:p>
    <w:p>
      <w:r>
        <w:t>3.2.1 Files Without Authorized Advertising System Records (公認広告システムレコードのないファイル) 一部のパブリッシャーは、空のads.txtファイルを公開することで、どの広告システムもウェブサイト上で広告を売買することを許可しないことを選択する場合がある。コンシューマーシステムが空のファイルを適切に読み取り解釈できるように（/ads.txt URLに対してエラーページを返すウェブサーバーと区別するため）、少なくとも1つの適切にフォーマットされた</w:t>
      </w:r>
    </w:p>
    <w:p>
      <w:r>
        <w:t>© 2022 IAB Technology Laboratory</w:t>
      </w:r>
    </w:p>
    <w:p>
      <w:r>
        <w:t>iabtechlab.com/ads.txt</w:t>
      </w:r>
    </w:p>
    <w:p>
      <w:r>
        <w:t>行が含まれていなければならず、それは上記で説明されたフォーマット仕様に準拠している必要がある。公認広告システムのレコードを含まないファイルについては、以下の「プレースホルダー」レコードを使用して、ファイルがads.txt仕様に準拠していることを示すこと： placeholder.example.com, placeholder, DIRECT, placeholder</w:t>
      </w:r>
    </w:p>
    <w:p>
      <w:r>
        <w:t>ドメイン「example.com」に意味はない。ここでは、行が適切にフォーマットされ、永久に予約された（https://tools.ietf.org/html/rfc6761）実際の広告システムドメインの代替ドメインで始まるようにするために使用されている。ads.txt仕様の以前のバージョンでは、パブリッシャーは単に空のads.txtファイルを使用して、どの広告システムもウェブサイト上で広告を売買する権限がないことを示してもよいとしていた。その方法は曖昧さを生じるため現在では非推奨となっており、2020年3月1日以降、コンシューマーシステムによって無視されるべきである。</w:t>
      </w:r>
    </w:p>
    <w:p>
      <w:pPr>
        <w:pStyle w:val="Heading2"/>
      </w:pPr>
      <w:r>
        <w:t>3.3 THE DATA RECORD</w:t>
      </w:r>
    </w:p>
    <w:p>
      <w:r>
        <w:t>3.3 The Data Record (データレコード) 以下に各フィールドの内容を定義する。必要に応じて IAB OpenRTB [7] および IAB OpenDirect [9] の仕様を参照する。</w:t>
      </w:r>
    </w:p>
    <w:p>
      <w:r>
        <w:t>フィールド</w:t>
      </w:r>
    </w:p>
    <w:p>
      <w:r>
        <w:t>名前</w:t>
      </w:r>
    </w:p>
    <w:p>
      <w:r>
        <w:t>説明</w:t>
      </w:r>
    </w:p>
    <w:p>
      <w:r>
        <w:t>フィールド #1</w:t>
      </w:r>
    </w:p>
    <w:p>
      <w:r>
        <w:t>広告システムのドメイン名</w:t>
      </w:r>
    </w:p>
    <w:p>
      <w:r>
        <w:t>（必須）入札者が接続するSSP、エクスチェンジ、ヘッダーラッパーなどのシステムの正規ドメイン名。WHOISやIP逆引きを容易にし、委任システムの明確な所有権を確立するために、親会社のドメインとは異なる場合、システムの運用ドメインでもよい。理想的には、SSPまたはエクスチェンジが、どのドメイン名を使用すべきかを詳述したドキュメントを公開することである。</w:t>
      </w:r>
    </w:p>
    <w:p>
      <w:r>
        <w:t>フィールド #2</w:t>
      </w:r>
    </w:p>
    <w:p>
      <w:r>
        <w:t>パブリッシャーのアカウントID</w:t>
      </w:r>
    </w:p>
    <w:p>
      <w:r>
        <w:t>（必須）フィールド #1 の広告システム内のセラーまたはリセラーアカウントに関連付けられた識別子。これには、SSP/エクスチェンジによって指定されたフィールド内のトランザクション（すなわちOpenRTBビッドリクエスト）で使用されるのと同じ値が含まれていなければならない。通常、OpenRTBではこれは publisher.id である。OpenDirectでは、通常はパブリッシャーの組織IDである。</w:t>
      </w:r>
    </w:p>
    <w:p>
      <w:r>
        <w:t>© 2022 IAB Technology Laboratory</w:t>
      </w:r>
    </w:p>
    <w:p>
      <w:r>
        <w:t>iabtechlab.com/ads.txt</w:t>
      </w:r>
    </w:p>
    <w:p>
      <w:r>
        <w:t>フィールド</w:t>
      </w:r>
    </w:p>
    <w:p>
      <w:r>
        <w:t>名前</w:t>
      </w:r>
    </w:p>
    <w:p>
      <w:r>
        <w:t>説明</w:t>
      </w:r>
    </w:p>
    <w:p>
      <w:r>
        <w:t>フィールド #3</w:t>
      </w:r>
    </w:p>
    <w:p>
      <w:r>
        <w:t>アカウントの種類 / 関係</w:t>
      </w:r>
    </w:p>
    <w:p>
      <w:r>
        <w:t>（必須）アカウントの種類の列挙。「DIRECT」の値は、パブリッシャー（コンテンツ所有者）がフィールド #1 のシステム上のフィールド #2 に示されたアカウントを直接管理していることを示す。これは、パブリッシャーと広告システム間の直接的なビジネス契約を意味する傾向がある。「RESELLER」の値は、パブリッシャーがフィールド #2 に示されたアカウントを管理し、フィールド #1 のシステムを通じて広告枠を再販する権限を別のエンティティに与えたことを示す。他のタイプは将来追加される可能性がある。データを解釈する際、このフィールドは大文字と小文字を区別しないものとして扱うべきであることに注意すること。</w:t>
      </w:r>
    </w:p>
    <w:p>
      <w:r>
        <w:t>フィールド #4</w:t>
      </w:r>
    </w:p>
    <w:p>
      <w:r>
        <w:t>認証局ID</w:t>
      </w:r>
    </w:p>
    <w:p>
      <w:r>
        <w:t>（オプション）認証局内で広告システムを一意に識別するID（このIDはフィールド #1 に記載されたエンティティに対応する）。現在の認証局は Trustworthy Accountability Group（別名 TAG）であり、TAGIDはここに含まれる [11]。認証IDの宣言は、sellers.jsonのidentifiersオブジェクトによって置き換えられる。注：このフィールドは、将来のバージョンのads.txtで廃止される可能性がある。</w:t>
      </w:r>
    </w:p>
    <w:p>
      <w:r>
        <w:t>親会社が複数の異なるSSP/エクスチェンジを運営している場合、フィールド #1 のドメインは、入札者がビッドリクエストを受信しているRTB接続のドメインを参照すべきであることに注意すること。フィールド #4 の認証IDは「広告システム」（例：SSP）に関連しており、sellers.jsonファイル内で宣言することが推奨される。</w:t>
      </w:r>
    </w:p>
    <w:p>
      <w:pPr>
        <w:pStyle w:val="Heading3"/>
      </w:pPr>
      <w:r>
        <w:t>3.4.1 COMMENTS</w:t>
      </w:r>
    </w:p>
    <w:p>
      <w:r>
        <w:t>3.4.1 Comments (コメント) コメントは文字「#」で示される。「#」を含む行は、「#」文字の後から行末までのデータを無視するようデータ利用者に通知すべきである。</w:t>
      </w:r>
    </w:p>
    <w:p>
      <w:r>
        <w:t>© 2022 IAB Technology Laboratory</w:t>
      </w:r>
    </w:p>
    <w:p>
      <w:r>
        <w:t>iabtechlab.com/ads.txt</w:t>
      </w:r>
    </w:p>
    <w:p>
      <w:pPr>
        <w:pStyle w:val="Heading3"/>
      </w:pPr>
      <w:r>
        <w:t>3.4.2 THE RECORD</w:t>
      </w:r>
    </w:p>
    <w:p>
      <w:r>
        <w:t>3.4.2 The Record (レコード) 核となる構文は、3つの定義されたフィールドを持つカンマ区切りのフォーマットで、1行に1レコードである。コンシューマーシステムは、空白やタブの連続を無視すべきである。データが明らかに破損していたり、不正な形式であったりする場合、ファイルの内容は無視されるべきである。いかなるフィールドもタブ、カンマ、空白を含んではならず、含む場合はURLエンコーディング [13] でエスケープすべきである。個々のレコードは行末マーカーで区切られる。コンシューマーシステムはCR、CRLFなどをレコード区切りとして寛容に解釈すべきである。フィールド #1 で許可される識別子は、定義上、RFC 1123 [10]、RFC 1123の関連エラッタ、または包含するRFCに従う有効なDNSドメイン名であると想定される。フィールド #2 の識別子は文字列または整数である。参考までに、OpenRTBの publisher.id [14] は文字列フィールドである。</w:t>
      </w:r>
    </w:p>
    <w:p>
      <w:pPr>
        <w:pStyle w:val="Heading3"/>
      </w:pPr>
      <w:r>
        <w:t>3.4.3 EXTENSION FIELDS</w:t>
      </w:r>
    </w:p>
    <w:p>
      <w:r>
        <w:t>3.4.3 Extension Fields (拡張フィールド) 拡張フィールドは、各レコードに拡張データを追加する前に明確な最終区切りフィールド「;」を使用する限り、実装者とその利用者によって許可される。</w:t>
      </w:r>
    </w:p>
    <w:p>
      <w:pPr>
        <w:pStyle w:val="Heading2"/>
      </w:pPr>
      <w:r>
        <w:t>3.5 VARIABLE DECLARATION RECORDS</w:t>
      </w:r>
    </w:p>
    <w:p>
      <w:r>
        <w:t>3.5 Variable Declaration Records (変数宣言レコード) &lt;VARIABLE&gt;=&lt;VALUE&gt; のパターンを含む行はすべて変数宣言と解釈されるべきであり、クローラーはルートドメインに関連付けられたデータを保存すべきである。&lt;VARIABLE&gt; は内部空白のない文字列識別子である。唯一サポートされている区切り文字は等号「=」である。&lt;VALUE&gt; は任意のデータを含めることができるオープンな文字列である。宣言行は行末マーカーで終了する。コンシューマーシステムはCR、CRLFなどを行区切りとして寛容に解釈すべきである。人間が読みやすいように、変数はファイルの末尾で宣言することが推奨されるが、これは厳密な要件ではなく、クローラーによって仮定されるべきではない。</w:t>
      </w:r>
    </w:p>
    <w:p>
      <w:pPr>
        <w:pStyle w:val="Heading3"/>
      </w:pPr>
      <w:r>
        <w:t>3.5.1 SUPPORTED VARIABLES</w:t>
      </w:r>
    </w:p>
    <w:p>
      <w:r>
        <w:t>3.5.1 Supported Variables (サポートされている変数) 以下の変数が公式にサポートされている。将来、他の変数が追加される可能性がある。クローラーが同じ変数を持つ複数の行を見つけた場合、ルートドメインに関連付けられたすべての変数を読み込んで保存すべきである。</w:t>
      </w:r>
    </w:p>
    <w:p>
      <w:r>
        <w:t>© 2022 IAB Technology Laboratory</w:t>
      </w:r>
    </w:p>
    <w:p>
      <w:r>
        <w:t>iabtechlab.com/ads.txt</w:t>
      </w:r>
    </w:p>
    <w:p>
      <w:r>
        <w:t>変数</w:t>
      </w:r>
    </w:p>
    <w:p>
      <w:r>
        <w:t>値</w:t>
      </w:r>
    </w:p>
    <w:p>
      <w:r>
        <w:t>説明</w:t>
      </w:r>
    </w:p>
    <w:p>
      <w:r>
        <w:t>CONTACT</w:t>
      </w:r>
    </w:p>
    <w:p>
      <w:r>
        <w:t>連絡先情報</w:t>
      </w:r>
    </w:p>
    <w:p>
      <w:r>
        <w:t>（オプション）ファイルの所有者に関する人間が読める形式の連絡先情報。これは、ウェブサイトの広告運用チームの連絡先である場合がある。電子メールアドレス、電話番号、お問い合わせフォームへのリンク、またはその他の適切な連絡手段である場合がある。</w:t>
      </w:r>
    </w:p>
    <w:p>
      <w:r>
        <w:t>SUBDOMAIN</w:t>
      </w:r>
    </w:p>
    <w:p>
      <w:r>
        <w:t>サブドメインファイルへのポインタ</w:t>
      </w:r>
    </w:p>
    <w:p>
      <w:r>
        <w:t>（オプション）ads.txt が存在するルートドメイン内のサブドメインへの機械可読なサブドメインポインタ。クローラーは、現在のドメインではなく、サブドメインにデータを取得し関連付けるべきである。この参照は、パブリックサフィックスの切り捨てプロセスの対象外とすべきである。ルートドメインのみがクローラーをサブドメインに参照させるべきである。サブドメインは他のサブドメインを参照すべきではない。</w:t>
      </w:r>
    </w:p>
    <w:p>
      <w:r>
        <w:t>INVENTORYPARTNERDOMAIN</w:t>
      </w:r>
    </w:p>
    <w:p>
      <w:r>
        <w:t>アプリケーションのコンテンツ内で広告を収益化する権限を明示的に与えられたエンティティのドメインへのポインタ。パートナーの対応するads.txtファイルはこのドメインでホストされる。</w:t>
      </w:r>
    </w:p>
    <w:p>
      <w:r>
        <w:t>（関連する場合に推奨）サイトまたはアプリが、他のパートナーによって所有される広告インベントリを含む場合、アプリまたはサイトは、そのパートナーの下にあるすべての関係ごとに行を維持するという元の方法ではなく、このディレクティブを介してそれらのパートナーのすべてのドメインをリストしてもよい。INVENTORYPARTNERDOMAIN 参照は ads.txt ファイルのみ（app-ads.txt ではない）をたどることが想定されている。この機能は広告システムとの調整が必要なため、詳細については実装者のメモを参照のこと。</w:t>
      </w:r>
    </w:p>
    <w:p>
      <w:r>
        <w:t>© 2022 IAB Technology Laboratory</w:t>
      </w:r>
    </w:p>
    <w:p>
      <w:r>
        <w:t>iabtechlab.com/ads.txt</w:t>
      </w:r>
    </w:p>
    <w:p>
      <w:r>
        <w:t>変数</w:t>
      </w:r>
    </w:p>
    <w:p>
      <w:r>
        <w:t>値</w:t>
      </w:r>
    </w:p>
    <w:p>
      <w:r>
        <w:t>説明</w:t>
      </w:r>
    </w:p>
    <w:p>
      <w:r>
        <w:t>OWNERDOMAIN</w:t>
      </w:r>
    </w:p>
    <w:p>
      <w:r>
        <w:t>ドメイン/サイト/アプリを所有する事業主体のビジネスドメインを指定する（例：example.com は example1.com、example2.com などを所有している）。</w:t>
      </w:r>
    </w:p>
    <w:p>
      <w:r>
        <w:t>（推奨）これは、参照されるsellers.jsonファイルのこのパブリッシャーのエントリにおける sellers.domain と同じ値であるべきである。sellers.domain と同様に、これは完全なホスト名やURLではなく、Public Suffix List+1 でなければならない。完全なOpenRTB SupplyChainオブジェクトの場合、発信元パブリッシャーを表すノード（schainオブジェクトの最初にリストされているノード）は、OWNERDOMAIN と一致する sellers.domain を持つべきである。この変数のインスタンスが複数含まれている場合、最初のもののみを使用すべきである。OWNERDOMAIN が ads.txt ファイルが見つかったドメインと同じであっても、このフィールドを含めることが推奨される。また、バイヤーは、sellers.json で BOTH としてリストされているセラーに対して、彼らが所有または代理するすべての ads.txt ファイルに OWNERDOMAIN を正しく記載することを義務付けることが推奨される。</w:t>
      </w:r>
    </w:p>
    <w:p>
      <w:r>
        <w:t>© 2022 IAB Technology Laboratory</w:t>
      </w:r>
    </w:p>
    <w:p>
      <w:r>
        <w:t>iabtechlab.com/ads.txt</w:t>
      </w:r>
    </w:p>
    <w:p>
      <w:r>
        <w:t>変数</w:t>
      </w:r>
    </w:p>
    <w:p>
      <w:r>
        <w:t>値</w:t>
      </w:r>
    </w:p>
    <w:p>
      <w:r>
        <w:t>説明</w:t>
      </w:r>
    </w:p>
    <w:p>
      <w:r>
        <w:t>MANAGERDOMAIN</w:t>
      </w:r>
    </w:p>
    <w:p>
      <w:r>
        <w:t>パブリッシャーインベントリの主要または独占的なマネタイズパートナーのビジネスドメインを指定する。</w:t>
      </w:r>
    </w:p>
    <w:p>
      <w:r>
        <w:t>（オプション、関連する場合のみ使用）サイトの所有者がグローバルまたは特定の国でマネタイズを管理していない場合、独占的な管理会社のドメインがこの変数に含まれる。ドメインの構文は [PSL+1 domain, 必須], [ISO 3166-1 alpha-2 国コード, オプション, 空白=グローバル] である。この変数は、パブリッシャーではないが、このサイトの主要または独占的なプログラマティックセラーであるセラーに対してのみ使用されるべきである。これは通常、パブリッシャーが特定の市場で自身のインベントリを販売していない場合にのみ適用される。マネージャーによって収益化される広告機会において、MANAGERDOMAIN に記載されたドメインは、完全なサプライチェーンオブジェクトにおける発信元パブリッシャーを表すノードのドメインでもあることが想定される。MANAGERDOMAIN の値は複数存在しうるが、国ごとに1つだけである。グローバル/デフォルトの MANAGERDOMAIN は、変数行に国の「拡張子」を持つべきではない。デフォルトは、国拡張子を含む他のエントリによって上書きされうる。国宣言の形式については例を参照のこと。ユースケースおよび潜在的なSPOへの影響の詳細については、実装ガイドを参照されたい。</w:t>
      </w:r>
    </w:p>
    <w:p>
      <w:r>
        <w:t>© 2022 IAB Technology Laboratory</w:t>
      </w:r>
    </w:p>
    <w:p>
      <w:r>
        <w:t>iabtechlab.com/ads.txt</w:t>
      </w:r>
    </w:p>
    <w:p>
      <w:pPr>
        <w:pStyle w:val="Heading2"/>
      </w:pPr>
      <w:r>
        <w:t>3.6 EXPIRATION</w:t>
      </w:r>
    </w:p>
    <w:p>
      <w:r>
        <w:t>3.6 Expiration (有効期限) /ads.txt を利用するシステムはファイルをキャッシュすべきであるが、そうする場合、その内容を使用する前にキャッシュされたコピーが最新であることを定期的に検証しなければならない。オリジンサーバーとロボットの両方が /ads.txt ファイルのキャッシングに影響を与えるために、標準的なHTTPキャッシュ制御メカニズムを使用できる。具体的には、コンシューマーとレプリケーターは、オリジンサーバーによって設定された HTTP Expires ヘッダに注意すべきである。キャッシュ制御ディレクティブが存在しない場合、利用システムはデフォルトで7日間の有効期限を設定すべきである。</w:t>
      </w:r>
    </w:p>
    <w:p>
      <w:r>
        <w:t>4. Examples (例) 上記で定義されたように、3つの必須フィールドがある。オプションの認証局IDフィールドは、いくつかの例に含まれている。</w:t>
      </w:r>
    </w:p>
    <w:p>
      <w:pPr>
        <w:pStyle w:val="Heading2"/>
      </w:pPr>
      <w:r>
        <w:t>4.1 SINGLE SYSTEM DIRECT</w:t>
      </w:r>
    </w:p>
    <w:p>
      <w:r>
        <w:t>4.1 Single System Direct (シングルシステムダイレクト) この例は、ウェブサイト所有者が直接管理/運営する、ただ1つの公認システムを持つウェブサイトである。 http://example.com/ads.txt greenadexchange.com, XF7342, DIRECT, 5jyxf8k54</w:t>
      </w:r>
    </w:p>
    <w:p>
      <w:pPr>
        <w:pStyle w:val="Heading2"/>
      </w:pPr>
      <w:r>
        <w:t>4.2 SINGLE SYSTEM RESELLER</w:t>
      </w:r>
    </w:p>
    <w:p>
      <w:r>
        <w:t>4.2 Single System Reseller (シングルシステムリセラー) この例は、インベントリの再販を行う別会社によって運営される、ただ1つの公認システムを持つウェブサイトである。彼らの広告システムは認証局に登録されていないため、オプションの4番目のフィールドは省略されている。 http://example.com/ads.txt redssp.com, 57013, RESELLER</w:t>
      </w:r>
    </w:p>
    <w:p>
      <w:pPr>
        <w:pStyle w:val="Heading2"/>
      </w:pPr>
      <w:r>
        <w:t>4.3 MULTIPLE SYSTEMS AND RESELLERS</w:t>
      </w:r>
    </w:p>
    <w:p>
      <w:r>
        <w:t>4.3 Multiple Systems and Resellers (複数のシステムとリセラー) この例は、複数の公認システムと複数のリセラーを持つウェブサイトである。公認広告システムの一部は認証局に登録されており、IDが発行されている。 © 2022 IAB Technology Laboratory</w:t>
      </w:r>
    </w:p>
    <w:p>
      <w:r>
        <w:t>iabtechlab.com/ads.txt</w:t>
      </w:r>
    </w:p>
    <w:p>
      <w:r>
        <w:t>http://example.com/ads.txt # ads.txt file for example.com: greenadexchange.com, 12345, DIRECT, d75815a79 silverssp.com, 9675, RESELLER, f496211 blueadexchange.com, XF436, DIRECT orangeexchange.com, 45678, RESELLER silverssp.com, ABE679, RESELLER</w:t>
      </w:r>
    </w:p>
    <w:p>
      <w:pPr>
        <w:pStyle w:val="Heading2"/>
      </w:pPr>
      <w:r>
        <w:t>4.4 CONTACT RECORDS</w:t>
      </w:r>
    </w:p>
    <w:p>
      <w:r>
        <w:t>4.4 Contact Records (連絡先レコード) この例は、複数の公認システムと複数の連絡先レコードを持つウェブサイトである。 http://example.com/ads.txt # ads.txt file for example.com: greenadexchange.com, 12345, DIRECT, d75815a79 blueadexchange.com, XF436, DIRECT contact=adops@example.com contact=http://example.com/contact-us</w:t>
      </w:r>
    </w:p>
    <w:p>
      <w:pPr>
        <w:pStyle w:val="Heading2"/>
      </w:pPr>
      <w:r>
        <w:t>4.5 SUBDOMAIN REFERRAL</w:t>
      </w:r>
    </w:p>
    <w:p>
      <w:r>
        <w:t>4.5 Subdomain Referral (サブドメインリファラル) この例は、異なる公認システムセットを持つサブドメインをクローラーに参照させるウェブサイトである。クローラーはサブドメインを、データを取得するための別のURLとして扱い、親ドメインではなくサブドメインに関連付けるべきである。 http://example.com/ads.txt # ads.txt file for example.com: greenadexchange.com, 12345, DIRECT, d75815a79 blueadexchange.com, XF436, DIRECT subdomain=divisionone.example.com</w:t>
      </w:r>
    </w:p>
    <w:p>
      <w:r>
        <w:t>© 2022 IAB Technology Laboratory</w:t>
      </w:r>
    </w:p>
    <w:p>
      <w:r>
        <w:t>iabtechlab.com/ads.txt</w:t>
      </w:r>
    </w:p>
    <w:p>
      <w:r>
        <w:t>http://divisionone.example.com/ads.txt # ads.txt file for divisionone.example.com: silverssp.com, 5569, DIRECT, f496211 orangeexchange.com, AB345, RESELLER</w:t>
      </w:r>
    </w:p>
    <w:p>
      <w:pPr>
        <w:pStyle w:val="Heading2"/>
      </w:pPr>
      <w:r>
        <w:t>4.6 INVENTORYPARTNERDOMAIN REFERRAL</w:t>
      </w:r>
    </w:p>
    <w:p>
      <w:r>
        <w:t>4.6 INVENTORYPARTNERDOMAIN Referral (INVENTORYPARTNERDOMAIN リファラル) この例は、異なる公認システムセットを持つ「インベントリパートナー」をクローラーに参照させるアプリ（またはウェブサイト）である。クローラーは inventorypartnerdomain をドメインとして扱い、パートナーの ads.txt ファイルからデータを取得するための ads.txt URL を構築し、それをアプリ（またはウェブサイト）の公認セラーリストに関連付けるべきである。より詳細な実装情報とシナリオについては、実装ガイドを参照されたい： https://iabtechlab.com/wp-content/uploads/2021/03/ctv-app-ads-explainer-guide.pdf 注：2番目の ads.txt ファイル内のいかなる inventorypartnerdomain エントリも処理されるべきではない（1ホップのみたどること）。</w:t>
      </w:r>
    </w:p>
    <w:p>
      <w:r>
        <w:t>http://devsite.vMVPDB.com/app-ads.txt</w:t>
      </w:r>
    </w:p>
    <w:p>
      <w:r>
        <w:t># app-ads.txt file for vMVPD B: ssp.com, vwxyz, DIRECT inventorypartnerdomain=programmerA.com</w:t>
      </w:r>
    </w:p>
    <w:p>
      <w:r>
        <w:t>http://programmerA.com/ads.txt # ads.txt file for Programmer A ssp.com, abcde, DIRECT</w:t>
      </w:r>
    </w:p>
    <w:p>
      <w:r>
        <w:t>© 2022 IAB Technology Laboratory</w:t>
      </w:r>
    </w:p>
    <w:p>
      <w:r>
        <w:t>iabtechlab.com/ads.txt</w:t>
      </w:r>
    </w:p>
    <w:p>
      <w:r>
        <w:t>従来の ads.txt/app-ads.txt モデルから inventorypartnerdomain ディレクティブに移行する場合、ファイルの変更は以下のようになる： BEFORE (変更前) vMVPDBは、Programmer A の ads.txt ファイル上のすべてのセラーアカウントをリストし、それらのアカウントにインベントリ販売の権限を与えなければならない： http://devsite.vMVPDB.com/app-ads.txt</w:t>
      </w:r>
    </w:p>
    <w:p>
      <w:r>
        <w:t># app-ads.txt file for vMVPD B: ssp.com, vwxyz, DIRECT ssp.com, abcde, DIRECT ssp.com, fghij, RESELLER ssp.com, klmno, RESELLER ssp.com, pqrst, RESELLER http://programmerA.com/ads.txt</w:t>
      </w:r>
    </w:p>
    <w:p>
      <w:r>
        <w:t># ads.txt file for Programmer A: ssp.com, abcde, DIRECT ssp.com, fghij, RESELLER ssp.com, klmno, RESELLER ssp.com, pqrst, RESELLER AFTER (変更後) vMVPDBはProgrammer Aのドメインを指定するだけで、Programmer Aの ads.txt（app-ads.txt ではない）ファイル上のすべてのセラーアカウントにインベントリ販売の権限を与えることができる： http://devsite.vMVPDB.com/app-ads.txt</w:t>
      </w:r>
    </w:p>
    <w:p>
      <w:r>
        <w:t># app-ads.txt file for vMVPD B: ssp.com, vwxyz, DIRECT inventorypartnerdomain=programmerA.com</w:t>
      </w:r>
    </w:p>
    <w:p>
      <w:r>
        <w:t>4.7 OWNERDOMAIN Usage (OWNERDOMAINの使用) OWNERDOMAIN 変数は、sellers.json ファイル内の sellers.domain と ads.txt ファイルが見つかるドメインを結びつけるために使用される。明確化のため、OWNERDOMAIN が ads.txt ファイルがホストされているドメインと異ならない場合でも、すべての ads.txt ファイルにこの値を含めることが推奨される。この変数が存在しない場合、OWNERDOMAIN は収益化されているドメインおよび ads.txt ファイルが見つかった場所と同じであるとみなされるべきである。より詳細な実装情報とシナリオについては、実装ガイドを参照されたい： https://iabtechlab.com/wp-content/uploads/2022/04/Ads.txt-1.1-Implementation-Guide.pdf</w:t>
      </w:r>
    </w:p>
    <w:p>
      <w:r>
        <w:t>© 2022 IAB Technology Laboratory</w:t>
      </w:r>
    </w:p>
    <w:p>
      <w:r>
        <w:t>iabtechlab.com/ads.txt</w:t>
      </w:r>
    </w:p>
    <w:p>
      <w:r>
        <w:t>この例では、「MediaCompany.com」が「example.com」のビジネスオーナーである。したがって、example.com/ads.txt ファイルには、ビジネスオーナーを指定するエントリが含まれている。 http://example.com/ads.txt OWNERDOMAIN=mediacompany.com greenadexchange.com, XF7342, DIRECT, 5jyxf8k54</w:t>
      </w:r>
    </w:p>
    <w:p>
      <w:r>
        <w:t>4.8 MANAGERDOMAIN Usage (MANAGERDOMAINの使用) MANAGERDOMAIN 変数は、パブリッシャーと主要または独占的なマネタイズパートナーとの関係を表すために使用されるべきである。これらの事例において、MANAGERDOMAIN はパブリッシャーのインベントリを購入するための最も直接的な経路となるべきである。より詳細な実装情報とシナリオについては、実装ガイドを参照されたい： https://iabtechlab.com/wp-content/uploads/2022/04/Ads.txt-1.1-Implementation-Guide.pdf</w:t>
      </w:r>
    </w:p>
    <w:p>
      <w:r>
        <w:t>http://example.com/ads.txt OWNERDOMAIN=mediacompany.com MANAGERDOMAIN=yellowmediamanager.com, FR MANAGERDOMAIN=bluemediamanager.com, US greenadexchange.com, XF7342, DIRECT, 5jyxf8k54</w:t>
      </w:r>
    </w:p>
    <w:p>
      <w:pPr>
        <w:pStyle w:val="Heading2"/>
      </w:pPr>
      <w:r>
        <w:t>4.9 FILE WITHOUT AUTHORIZED ADVERTISING SYSTEMS</w:t>
      </w:r>
    </w:p>
    <w:p>
      <w:r>
        <w:t>4.9 File Without Authorized Advertising Systems (公認広告システムのないファイル) この例は、公認広告システムを公開していないウェブサイトであり、適切にフォーマットされた ads.txt ファイル内でこの意図を反映している。 http://example.com/ads.txt placeholder.example.com, placeholder, DIRECT, placeholder</w:t>
      </w:r>
    </w:p>
    <w:p>
      <w:r>
        <w:t>5. Implementer's Notes (実装者のメモ)</w:t>
      </w:r>
    </w:p>
    <w:p>
      <w:pPr>
        <w:pStyle w:val="Heading2"/>
      </w:pPr>
      <w:r>
        <w:t>5.1 VERSION</w:t>
      </w:r>
    </w:p>
    <w:p>
      <w:r>
        <w:t>5.1 Version (バージョン) これは仕様のバージョン1.1であり、可能な限り将来のバージョンに後方互換性を持たせるよう、あらゆる努力が払われる。</w:t>
      </w:r>
    </w:p>
    <w:p>
      <w:r>
        <w:t>© 2022 IAB Technology Laboratory</w:t>
      </w:r>
    </w:p>
    <w:p>
      <w:r>
        <w:t>iabtechlab.com/ads.txt</w:t>
      </w:r>
    </w:p>
    <w:p>
      <w:pPr>
        <w:pStyle w:val="Heading2"/>
      </w:pPr>
      <w:r>
        <w:t>5.2 GUIDANCE BY PARTY</w:t>
      </w:r>
    </w:p>
    <w:p>
      <w:r>
        <w:t>5.2.1 SSP/Exchange SSPとエクスチェンジは、フィールド #1 でどの正規ドメインを使用するかを決定すべきである。彼らはパブリッシャーとDSPに対してドキュメントを利用可能にすべきである。パブリッシャー向けのドキュメントは、パブリッシャーがフィールド #2 のための適切なIDを取得する方法を示すべきである。DSP向けのドキュメントは、DSPが ads.txt ファイルと照合するためにビッドリクエストのどのフィールドを使用すべきかを示すべきである。OpenRTBビッドリクエストを作成するシステムは、セラーのアカウントIDを Publisher.ID フィールドに配置することが推奨される。また、Site.Domain フィールドに、アカウントIDが公に掲示されている ads.txt ファイルをホストするドメインが入力されていることを確認すること。理想的には、実装するSSP/エクスチェンジは、パブリッシャーが ads.txt ファイルに配置するための正確な行を生成するツールを提供すべきである。SSP/エクスチェンジはまた、パブリッシャーのドメインをクロールし、ads.txt ファイルの欠如やファイル内の適切な宣言の欠如について、パブリッシャーに通知（例：パブリッシャーダッシュボードでの警告、電子メールなど）することも検討すべきである。</w:t>
      </w:r>
    </w:p>
    <w:p>
      <w:pPr>
        <w:pStyle w:val="Heading3"/>
      </w:pPr>
      <w:r>
        <w:t>5.2.2 DSP</w:t>
      </w:r>
    </w:p>
    <w:p>
      <w:r>
        <w:t>5.2.2 DSP DSPは、エクスチェンジが使用する正規ドメイン（フィールド #1）と、ads.txt と照合すべきビッドリクエスト内の適切なフィールド（フィールド #2）について、SSP/エクスチェンジが提供するドキュメントを参照すべきである。</w:t>
      </w:r>
    </w:p>
    <w:p>
      <w:pPr>
        <w:pStyle w:val="Heading3"/>
      </w:pPr>
      <w:r>
        <w:t>5.2.3 PUBLISHERS</w:t>
      </w:r>
    </w:p>
    <w:p>
      <w:r>
        <w:t>5.2.3 Publishers パブリッシャーは、エクスチェンジが使用する正規ドメイン（フィールド #1）と、フィールド #2 に配置すべき適切なIDについて、SSP/エクスチェンジが提供するドキュメントを参照すべきである。</w:t>
      </w:r>
    </w:p>
    <w:p>
      <w:pPr>
        <w:pStyle w:val="Heading2"/>
      </w:pPr>
      <w:r>
        <w:t>5.3 INTEROPERABILITY</w:t>
      </w:r>
    </w:p>
    <w:p>
      <w:r>
        <w:t>5.3 Interoperability (相互運用性) 実装者は /ads.txt ファイルの解析における堅牢性に特に注意を払うべきである。/ads.txt ファイルは自動化されたシステムや、手動のプラットフォーム固有のテキストエディタで作成されることが予想されるため、データの利用者は、CRLFに加えて特にCRやLFなど異なる行末規則や、様々な空白文字やフィールド区切り文字を持つファイルを受け入れることに寛容であるべきである。</w:t>
      </w:r>
    </w:p>
    <w:p>
      <w:pPr>
        <w:pStyle w:val="Heading2"/>
      </w:pPr>
      <w:r>
        <w:t>5.4 SECURITY</w:t>
      </w:r>
    </w:p>
    <w:p>
      <w:r>
        <w:t>5.4 Security (セキュリティ) /ads.txt の宣言は、認証されていない可能性のある別々のHTTPトランザクションで取得・適用されるため、あるサーバーが別のサーバーになりすましたり、/ads.txt へのリクエストを傍受したりして、利用システムに偽の情報を提供する可能性がある。これが懸念される場合、ウェブサイト所有者は、/ads.txt ファイルに対する安全でないHTTPリクエストをHTTPSリクエストにリダイレクトすべきである。</w:t>
      </w:r>
    </w:p>
    <w:p>
      <w:r>
        <w:t>© 2022 IAB Technology Laboratory</w:t>
      </w:r>
    </w:p>
    <w:p>
      <w:r>
        <w:t>iabtechlab.com/ads.txt</w:t>
      </w:r>
    </w:p>
    <w:p>
      <w:pPr>
        <w:pStyle w:val="Heading2"/>
      </w:pPr>
      <w:r>
        <w:t>5.5 SUBDOMAIN DIRECTIVES</w:t>
      </w:r>
    </w:p>
    <w:p>
      <w:r>
        <w:t>5.5 Subdomain Directives (サブドメインディレクティブ) クローラーを作成する際、実装者は広告の重要なリクエストを発生させているルートドメインから /ads.txt を要求すべきである。パブリッシャーは常にルートドメインに /ads.txt ファイルを掲載すべきである。クローラーはクローラーのURLリストを作成する際にサブドメインを取り除くべきである。サブドメインの除去を実施する際には、Public Suffix List [12][16] を利用すべきである。特定のサブドメインが異なる公認広告システムを持つ場合、パブリッシャーはそれらのサブドメインにのみ ads.txt ファイルを掲載し、「subdomain=」変数を使用してルートドメイン上の ads.txt でそれらのサブドメインのおのおのを明示的に宣言すべきである。クローラーは、ルートドメイン上の ads.txt 内で「subdomain=」変数を使用してリストされているサブドメイン上の ads.txt ファイルのみをクロールすべきである。ルートドメイン上の ads.txt がサブドメインを宣言し、かつそのサブドメイン上に ads.txt が存在する場合、そのサブドメインの ads.txt にリストされている広告システムのみが、そのサブドメイン上のインベントリを販売する権限を持つ。ルートドメイン上の ads.txt がサブドメインを宣言していない場合、またはサブドメイン上に ads.txt が存在しない場合、ルートドメインの ads.txt にリストされている広告システムのみが、そのサブドメイン上のインベントリを販売する権限を持つ。</w:t>
      </w:r>
    </w:p>
    <w:p>
      <w:r>
        <w:t>5.6 ads.txt Crawlers (ads.txtクローラー) ads.txtデータクローラーのリファレンス実装はGitHubにある [15]。ads.txt 以外にパブリッシャーのコンテンツもクロールし、パブリッシャーのコンテンツ、広告、および関連メタデータを読み取って表示したいクローラーは、robots.txt の指示で禁止されていない限り、そうすることができる。ads.txt ファイル仕様内の仕様バージョン番号や最終更新日の宣言は、規定された変数ではない。実装者がコメントを使用してこれらの変数を含めることは歓迎されるが、クローラーがこの情報を取得するためのより信頼性の高い方法があるため、ワーキンググループはこれらを仕様の公式変数にすることを望んでいない。最終更新日（Last Updated Date）は、ads.txt ファイルがどのくらい最近更新されたかを判断するためにクローラーによって使用されるだろう。この判断を行うために2つのデータポイントを使用することを推奨する。 1. Last-Modified レスポンスHTTPヘッダ 2. 最後に確認されたファイル内容と新しいファイル内容のチェックサムを比較し、ファイルが同一かどうかを判断する 上記2つの方法により、クローラーはパブリッシャーに lastupdateddate のような別の変数を維持させることなく、ファイル内容が変更されたかどうかを判断できるはずである。仕様バージョン（Specification Version）は、パブリッシャーが ads.txt 仕様のどのバージョンを使用しているかを判断するためにクローラーによって使用されるだろう。2017年の ads.txt 作成以来、仕様に対する破壊的な変更はない。各バージョンの拡張は、CONTACT、SUBDOMAIN、INVENTORYPARTNERDOMAIN、そして今回の MANAGERDOMAIN や OWNERDOMAIN のような新しい変数を含めることである。クローラーが決定を下すことはない</w:t>
      </w:r>
    </w:p>
    <w:p>
      <w:r>
        <w:t>© 2022 IAB Technology Laboratory</w:t>
      </w:r>
    </w:p>
    <w:p>
      <w:r>
        <w:t>iabtechlab.com/ads.txt</w:t>
      </w:r>
    </w:p>
    <w:p>
      <w:r>
        <w:t>パブリッシャーが ads.txt のどのバージョンを使用しているかに基づいて。代わりに、クローラーはファイル内でどの変数がサポートされているかに焦点を当て、すべての新しい変数をサポートしていることを確認すべきである。</w:t>
      </w:r>
    </w:p>
    <w:p>
      <w:pPr>
        <w:pStyle w:val="Heading2"/>
      </w:pPr>
      <w:r>
        <w:t>5.7 INVENTORYPARTNERDOMAIN DIRECTIVES</w:t>
      </w:r>
    </w:p>
    <w:p>
      <w:r>
        <w:t>5.7 INVENTORYPARTNERDOMAIN Directives (INVENTORYPARTNERDOMAINディレクティブ) 多くの場合、特にモバイルやCTV動画ストリーミングアプリ（別名OTTアプリ）では、他社からコンテンツをライセンスしてキュレーションし、複数の配信アプリへのコンテンツの配信/再送信を許可することが一般的である。これらの関係は INVENTORYPARTNERDOMAIN ディレクティブを通じて列挙される。詳細については、「ads.txt for CTV explainer doc」（https://iabtechlab.com/ads-txt/ でも入手可能）を参照されたい。クローラーは、発信元の app/ads.txt から1ホップのエントリを取得すべきである（パートナーの ads.txt ファイル内のいかなる inventorypartnerdomain エントリも消費されるべきではない）。このディレクティブは、ビッドレベルの承認のためにOpenRTB仕様を使用してドメインがビッドリクエストで渡される場合にのみ適用される： ●</w:t>
      </w:r>
    </w:p>
    <w:p>
      <w:r>
        <w:t>app.inventorypartnerdomain</w:t>
      </w:r>
    </w:p>
    <w:p>
      <w:r>
        <w:t>または ●</w:t>
      </w:r>
    </w:p>
    <w:p>
      <w:r>
        <w:t>site.inventorypartnerdomain</w:t>
      </w:r>
    </w:p>
    <w:p>
      <w:r>
        <w:t>5.8 OWNERDOMAIN Directive (OWNERDOMAINディレクティブ) 多くのパブリッシャーやアプリ開発者は、複数のドメイン（サイト）やアプリを所有し、収益化している。誰がドメイン/アプリを所有しているかを明確にするため。例：ExamplePublisher.com は example1.com と example2.com を所有している。より詳細な実装情報とシナリオについては、実装ガイドを参照されたい： https://iabtechlab.com/wp-content/uploads/2022/04/Ads.txt-1.1-Implementation-Guide.pdf</w:t>
      </w:r>
    </w:p>
    <w:p>
      <w:pPr>
        <w:pStyle w:val="Heading2"/>
      </w:pPr>
      <w:r>
        <w:t>5.9 MANAGERDOMAIN DIRECTIVE</w:t>
      </w:r>
    </w:p>
    <w:p>
      <w:r>
        <w:t>5.9 MANAGERDOMAIN Directive (MANAGERDOMAINディレクティブ) エコシステムにおけるさまざまな関係を明確にするために、仕様が更新され、パブリッシャーがドメイン/アプリを所有する事業主体を指定し、別の会社にマネタイズを委託している場合はマネージャー（例：セールスハウス）を宣言できるようになった。より詳細な実装情報とシナリオについては、実装ガイドを参照されたい： https://iabtechlab.com/wp-content/uploads/2022/04/Ads.txt-1.1-Implementation-Guide.pdf</w:t>
      </w:r>
    </w:p>
    <w:p>
      <w:r>
        <w:t>© 2022 IAB Technology Laboratory</w:t>
      </w:r>
    </w:p>
    <w:p>
      <w:r>
        <w:t>iabtechlab.com/ads.txt</w:t>
      </w:r>
    </w:p>
    <w:p>
      <w:r>
        <w:t>6. Scope and Future Directions (スコープと今後の方向性)</w:t>
      </w:r>
    </w:p>
    <w:p>
      <w:pPr>
        <w:pStyle w:val="Heading2"/>
      </w:pPr>
      <w:r>
        <w:t>6.1 SCOPE</w:t>
      </w:r>
    </w:p>
    <w:p>
      <w:r>
        <w:t>6.1 Scope (スコープ) 本標準の初期バージョンのスコープは、偽造在庫に関連するいくつかの不正シナリオに対処する目的で、ドメイン所有者の視点からウェブコンテンツの認定セラーを定義するためのメカニズムを定義することである。</w:t>
      </w:r>
    </w:p>
    <w:p>
      <w:pPr>
        <w:pStyle w:val="Heading2"/>
      </w:pPr>
      <w:r>
        <w:t>6.2 OPEN ISSUES</w:t>
      </w:r>
    </w:p>
    <w:p>
      <w:r>
        <w:t>6.2 Open Issues (未解決の問題) 仕様の将来のバージョンでの解決に向けて検討すべき未解決の問題は、support@iabtechlab.com への連絡を通じて提起されるべきである。</w:t>
      </w:r>
    </w:p>
    <w:p>
      <w:pPr>
        <w:pStyle w:val="Heading2"/>
      </w:pPr>
      <w:r>
        <w:t>6.3 FUTURE DIRECTIONS</w:t>
      </w:r>
    </w:p>
    <w:p>
      <w:r>
        <w:t>6.3 Future Directions (今後の方向性) 今後の方向性には、許可される広告フォーマット、シンジケーション、および第三者への権限委譲をカバーすることが含まれる。</w:t>
      </w:r>
    </w:p>
    <w:p>
      <w:r>
        <w:t>© 2022 IAB Technology Laboratory</w:t>
      </w:r>
    </w:p>
    <w:p>
      <w:r>
        <w:t>iabtechlab.com/ads.txt</w:t>
      </w:r>
    </w:p>
    <w:p>
      <w:r>
        <w:t>7. Acknowledgements (謝辞) 著者は、インスピレーションを与えてくれた robots.txt [5][6] ファイルの原著者に感謝したい。また、初期ドラフトに対するコメントやイニシアチブへの支援をいただいた IAB Tech Lab、TAG、および多数の企業内の多くの人々にも感謝する。</w:t>
      </w:r>
    </w:p>
    <w:p>
      <w:r>
        <w:t>8. References (参考文献) [URL等は翻訳不要のため省略]</w:t>
      </w:r>
    </w:p>
    <w:p>
      <w:r>
        <w:t>© 2022 IAB Technology Laboratory</w:t>
      </w:r>
    </w:p>
    <w:p>
      <w:r>
        <w:t>iabtechlab.com/ads.txt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