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Sellers.json Specification (Japanese Translation)</w:t>
      </w:r>
    </w:p>
    <w:p>
      <w:pPr>
        <w:pStyle w:val="Heading1"/>
      </w:pPr>
      <w:r>
        <w:t>General</w:t>
      </w:r>
    </w:p>
    <w:p>
      <w:r>
        <w:t>IAB Tech Lab</w:t>
      </w:r>
    </w:p>
    <w:p>
      <w:r>
        <w:t>Sellers.json 2019年7月</w:t>
      </w:r>
    </w:p>
    <w:p>
      <w:r>
        <w:t>Abstract (要旨) オープンなデジタル広告エコシステムにおいて偽造在庫から利益を得る能力を排除するための広範な取り組みの一環として、Sellers.jsonは、バイヤーがデジタル広告の直接のセラーまたは販売の仲介者であるエンティティが誰であるかを発見できるようにするメカニズムを提供する。</w:t>
      </w:r>
    </w:p>
    <w:p>
      <w:r>
        <w:t>About IAB Tech Lab (IAB Tech Labについて) IAB Technology Laboratoryは、非営利の研究開発コンソーシアムであり、グローバルな業界技術標準とソリューションの作成と企業による実装を支援する役割を担っている。Tech Labの目標は、デジタル広告とマーケティングのサプライチェーンに関連する摩擦を減らしつつ、業界の安全な成長に貢献することである。IAB Tech Labは、技術標準の開発を主導し、IAB標準の迅速で費用対効果の高い実装を支援するコードライブラリを作成・維持し、企業が自社の技術ソリューションとIAB標準との互換性を評価するためのテストプラットフォームを確立する。IAB標準は18年にわたり、デジタル広告サプライチェーンにおける相互運用性と収益性の高い成長の基盤となってきた。IAB Technology Labの詳細は https://iabtechlab.com を参照されたい。ライセンス：OpenRTB Working GroupによるSellers.jsonは、Creative Commons Attribution 3.0 Licenseに基づいてライセンスされている。このライセンスのコピーを表示するには、creativecommons.org/licenses/by/3.0/ にアクセスするか、Creative Commons, 171 Second Street, Suite 300, San Francisco, CA 94105, USA まで書面で連絡されたい。</w:t>
      </w:r>
    </w:p>
    <w:p>
      <w:r>
        <w:t>免責事項：規格、仕様書、測定ガイドライン、および本契約に基づき利用者に提供または利用されるその他の資料またはサービス（以下「製品およびサービス」）は、「現状有姿」および「利用可能な状態」で提供されるものであり、IAB TECHNOLOGY LABORATORY, INC.（以下「TECH LAB」）は、これらに関していかなる保証も行わず、商品性、特定目的への適合性、可用性、エラーフリーまたは中断されない動作、および取引過程、履行過程、または商習慣から生じる保証を含むがこれらに限定されない、明示的、黙示的、または制定法上の保証を一切放棄するものとする。TECH LABが適用される法律の問題として黙示的保証を否認できない範囲において、かかる保証の範囲および期間は、かかる法律の下で許容される最小限のものとする。本製品およびサービスは、ビジネス上または法律上のアドバイスを構成するものではない。TECH LABは、本契約に基づき利用者に提供される、または利用者が使用する製品およびサービスが、利用者および/または利用者の製品もしくはサービスを、適用される法律、規制、または自主規制の枠組みに準拠させることを保証しない。</w:t>
      </w:r>
    </w:p>
    <w:p>
      <w:r>
        <w:t>また、利用者は、以下を含むがこれらに限定されない法令への準拠に関して単独で責任を負うものとする：個人情報保護および電子文書法（カナダ）、データ保護指令（EU）、eプライバシー指令（EU）、一般データ保護規則（EU）、およびeプライバシー規則（EU）など、これらが発効された場合およびその時点におけるデータ保護法。</w:t>
      </w:r>
    </w:p>
    <w:p>
      <w:r>
        <w:t>目次 (翻訳省略)</w:t>
      </w:r>
    </w:p>
    <w:p>
      <w:r>
        <w:rPr>
          <w:color w:val="FF6400"/>
        </w:rPr>
        <w:t>[TODO: 翻訳が必要] 2</w:t>
      </w:r>
    </w:p>
    <w:p>
      <w:r>
        <w:rPr>
          <w:color w:val="FF6400"/>
        </w:rPr>
        <w:t>[TODO: 翻訳が必要] About IAB Tech Lab Introduction Change Log</w:t>
      </w:r>
    </w:p>
    <w:p>
      <w:r>
        <w:rPr>
          <w:color w:val="FF6400"/>
        </w:rPr>
        <w:t>[TODO: 翻訳が必要] 2 3 4</w:t>
      </w:r>
    </w:p>
    <w:p>
      <w:r>
        <w:rPr>
          <w:color w:val="FF6400"/>
        </w:rPr>
        <w:t>[TODO: 翻訳が必要] SPECIFICATION ACCESS METHOD FILE FORMAT EXPIRATION Proposed implementation Object specifications Object: Parent Sellers.json object: Identifier Sellers.json object: Seller Enumerated List Specification Identifier Names Sample File Contents</w:t>
      </w:r>
    </w:p>
    <w:p>
      <w:r>
        <w:rPr>
          <w:color w:val="FF6400"/>
        </w:rPr>
        <w:t>[TODO: 翻訳が必要] 4 4 5 5 6 6 6 7 7 9 9 9</w:t>
      </w:r>
    </w:p>
    <w:p>
      <w:r>
        <w:t>Introduction (はじめに) Ads.txtは、パブリッシャーコンテンツディストリビューターやアプリパブリッシャーが、ビッドリクエストを通じて特定のインプレッションセット（パブリッシャーの広告インベントリ）を販売することを誰に許可するかを定義できるようにすることで、極めて大きな成功を収めてきた。しかし、ads.txtは、パブリッシャーの広告プラットフォーム（パブリッシャーのSSP - Supply-Side Platform）内におけるパブリッシャーのアカウントIDの身元を明らかにしようとはしていない。公開されアクセス可能なSellers.jsonファイルにより、ビッドリクエストの最終的なセラー（ads.txtで認証されていると仮定して）の身元を発見することができる。また、以下のすべての身元を発見することも可能にする。</w:t>
      </w:r>
    </w:p>
    <w:p>
      <w:r>
        <w:t>SupplyChainオブジェクト内のノード（ビッドリクエストに参加したエンティティ）。現在、Publisher.nameおよびPublisher.domain属性によって最終的なセラーを特定することは可能だが、実際には、これらのプロパティはさまざまな販売システムによって一貫性のない形で入力されている。Sellers.jsonは、この情報をビッドリクエストごとに提供するのではなく、「オフライン」で検索しキャッシュできるようにすることで、ビッドリクエストオブジェクトのサイズを小さくすることを可能にする。また、Sellers.jsonは、ビッドリクエストの販売に参加したあらゆる仲介者の識別も可能にする。</w:t>
      </w:r>
    </w:p>
    <w:p>
      <w:r>
        <w:t>Audience (想定読者) 広告システムは、プログラマティック広告のセラーであれバイヤーであれ、取引のすべての当事者が十分に理解されている透明なマーケットプレイスから利益を得る。本ドキュメントは、セラーがプログラマティックインベントリの川下のセラーとバイヤーの両方に提供する情報を定義する役割を果たす。</w:t>
      </w:r>
    </w:p>
    <w:p>
      <w:r>
        <w:t>Change Log (変更履歴) バージョン</w:t>
      </w:r>
    </w:p>
    <w:p>
      <w:r>
        <w:t>日付</w:t>
      </w:r>
    </w:p>
    <w:p>
      <w:r>
        <w:t>変更点</w:t>
      </w:r>
    </w:p>
    <w:p>
      <w:r>
        <w:t>1.0</w:t>
      </w:r>
    </w:p>
    <w:p>
      <w:r>
        <w:t>2019年7月</w:t>
      </w:r>
    </w:p>
    <w:p>
      <w:r>
        <w:t>初版</w:t>
      </w:r>
    </w:p>
    <w:p>
      <w:r>
        <w:t>Specification (仕様) 本ドキュメントは、広告システムが、自らが代理するセラーと、システム内におけるそれらのセラーの識別子を公に宣言するためのメカニズムを規定する。また、広告システムとその顧客によって消費される指示をエンコードするためのフォーマットについても記述する。</w:t>
      </w:r>
    </w:p>
    <w:p>
      <w:r>
        <w:t>Access Method (アクセス方法) 広告システムは、ルートドメインおよび必要に応じてサブドメインにsellers.jsonファイルを掲載すべきである。本ドキュメントの目的上、「ルートドメイン」は「パブリックサフィックス」に名前の中の文字列を1つ加えたものとして定義される。クローラーは、ルートドメインを導き出すために、Public Suffix List [16] を組み込むべきである。宣言は、指示を適用するウェブサイトから、サーバーホスト上の標準的な相対パス "/sellers.json" と "Content-Type: application/json" を含むHTTPリクエストヘッダで、HTTPおよび/またはHTTPS経由でアクセス可能でなければならない。さらに、"Content-Type: application/json; charset=utf-8" を使用して、UTF8サポートを明示的に知らせることも可能である。</w:t>
      </w:r>
    </w:p>
    <w:p>
      <w:r>
        <w:t>また、sellers.jsonファイルをクロールする際には、HTTPよりもHTTPS接続を優先することが望ましい。いずれの場合も、同じURLに対してHTTPS接続とHTTP接続の両方でデータが利用できる場合は、HTTPSからのデータを優先すべきである。便宜上、このリソースを "/sellers.json" ファイルと呼ぶことにする。「ファイル」という言葉を使用しているが、リソースはファイルシステムに由来する必要はない。サーバーレスポンスがSuccess（HTTP 2xx ステータスコード）を示す場合、広告システムはコンテンツを読み取り、解析し、宣言を利用しなければならない。サーバーレスポンスがHTTP/HTTPSリダイレクト（301、302、307ステータスコード）を示す場合、広告システムはリダイレクトに従い、リダイレクト先が上記で定義された「パブリックサフィックス＋名前の1文字列」として定義された元のルートドメインの範囲内にある場合に限り、データをリダイレクト元の信頼できる情報として使用すべきである。各リダイレクト先が元のルートドメイン内にある限り、複数のリダイレクトは有効である。例えば、同じルートドメイン内でのHTTPからHTTPSへのリダイレクトは有効である。サードパーティのウェブサーバードメインへのワンホップ権限委譲を容易にするために、元のルートドメイン外の宛先への単一のHTTPリダイレクトのみが許可される。サードパーティのロケーションがリダイレクトを返す場合、広告システムはその応答をエラーとして扱うべきである。将来のバージョンでは、サードパーティのウェブサーバーへの他の権限委譲に対応する可能性があるが、現時点では、サードパーティのウェブサーバーへのリダイレクトおよびその他のいかなるリダイレクトもエラーとして解釈し、無視すべきである。サーバーレスポンスがリソースが存在しないことを示す場合（HTTPステータスコード404）、またはその他のHTTPエラーの場合、最後に正常に取得されたデータセットを利用すべきである。</w:t>
      </w:r>
    </w:p>
    <w:p>
      <w:r>
        <w:t>File Format (ファイルフォーマット) ファイル内のすべてのデータは、JSON（JavaScript Object Notation）を使用してシリアライズされる。親JSONオブジェクトとすべての子オブジェクトは、sellers.jsonファイルに書き込まれる。</w:t>
      </w:r>
    </w:p>
    <w:p>
      <w:r>
        <w:t>Expiration (有効期限) /sellers.json を利用するシステムはファイルをキャッシュすべきであるが、そうする場合、その内容を使用する前にキャッシュされたコピーが最新であることを定期的に検証しなければならない。オリジンサーバーとロボットの両方が /sellers.json ファイルのキャッシングに影響を与えるために、標準的なHTTPキャッシュ制御メカニズムを使用できる。具体的には、コンシューマーとレプリケーターは、オリジンサーバーによって設定された HTTP Expires ヘッダに注意すべきである。キャッシュ制御ディレクティブが存在しない場合、利用システムはデフォルトで7日間の有効期限を設定すべきである。</w:t>
      </w:r>
    </w:p>
    <w:p>
      <w:r>
        <w:t>Implementation (実装) ads.txtファイルにリストされたすべての広告システム、およびSupplyChainオブジェクトノードから参照されるすべての広告システムは、以下の場所にSellers.jsonファイルを公開すべきである： http://{advertising_system_domain}/sellers.json</w:t>
      </w:r>
    </w:p>
    <w:p>
      <w:r>
        <w:t>Object Specifications (オブジェクト仕様) Object: Parent Parentオブジェクトは、Sellers.jsonファイルの最上位オブジェクトである。これは sellers.json ファイル内のすべてのプロパティのコンテナである。</w:t>
      </w:r>
    </w:p>
    <w:p>
      <w:r>
        <w:t>属性</w:t>
      </w:r>
    </w:p>
    <w:p>
      <w:r>
        <w:t>型</w:t>
      </w:r>
    </w:p>
    <w:p>
      <w:r>
        <w:t>説明</w:t>
      </w:r>
    </w:p>
    <w:p>
      <w:r>
        <w:t>sellers</w:t>
      </w:r>
    </w:p>
    <w:p>
      <w:r>
        <w:t>オブジェクト配列; 必須</w:t>
      </w:r>
    </w:p>
    <w:p>
      <w:r>
        <w:t>広告システムによって表されるすべてのSellerオブジェクトのリスト。機密（confidential）であっても、すべてのセラーを含めなければならない。</w:t>
      </w:r>
    </w:p>
    <w:p>
      <w:r>
        <w:t>identifiers</w:t>
      </w:r>
    </w:p>
    <w:p>
      <w:r>
        <w:t>オブジェクト配列; オプション</w:t>
      </w:r>
    </w:p>
    <w:p>
      <w:r>
        <w:t>この広告システムに関連付けられたIdentifierオブジェクトの配列。例としては、TAG-ID、Dun &amp; Bradstreetのビジネス識別子、あるいは利用する広告システムが必要とする任意のカスタム識別子などがある。</w:t>
      </w:r>
    </w:p>
    <w:p>
      <w:r>
        <w:t>contact_email</w:t>
      </w:r>
    </w:p>
    <w:p>
      <w:r>
        <w:t>文字列; オプション</w:t>
      </w:r>
    </w:p>
    <w:p>
      <w:r>
        <w:t>このファイルに関する質問や問い合わせのために、広告システムに連絡するための電子メールアドレス。</w:t>
      </w:r>
    </w:p>
    <w:p>
      <w:r>
        <w:t>contact_address</w:t>
      </w:r>
    </w:p>
    <w:p>
      <w:r>
        <w:t>文字列; オプション</w:t>
      </w:r>
    </w:p>
    <w:p>
      <w:r>
        <w:t>広告システムのビジネス上の住所。</w:t>
      </w:r>
    </w:p>
    <w:p>
      <w:r>
        <w:t>version</w:t>
      </w:r>
    </w:p>
    <w:p>
      <w:r>
        <w:t>文字列; 必須</w:t>
      </w:r>
    </w:p>
    <w:p>
      <w:r>
        <w:t>本仕様のバージョン。現在有効な値は1.0のみである。</w:t>
      </w:r>
    </w:p>
    <w:p>
      <w:r>
        <w:t>ext</w:t>
      </w:r>
    </w:p>
    <w:p>
      <w:r>
        <w:t>オブジェクト; オプション</w:t>
      </w:r>
    </w:p>
    <w:p>
      <w:r>
        <w:t>このオブジェクトに対する広告システム固有の拡張のためのプレースホルダー。</w:t>
      </w:r>
    </w:p>
    <w:p>
      <w:r>
        <w:t>Sellers.json object: Identifier 識別子（Identifier）は、ビジネス識別子、認証識別子、あるいは利用システムがセラーとの相互運用性を高めるために必要となるその他の識別子など、共通の値を伝達するために使用される任意の名前/値のペアである。標準的な識別子は、以下のIdentifier Namesセクションに記載されている。</w:t>
      </w:r>
    </w:p>
    <w:p>
      <w:r>
        <w:t>型</w:t>
      </w:r>
    </w:p>
    <w:p>
      <w:r>
        <w:t>説明</w:t>
      </w:r>
    </w:p>
    <w:p>
      <w:r>
        <w:t>name</w:t>
      </w:r>
    </w:p>
    <w:p>
      <w:r>
        <w:t>文字列; 必須</w:t>
      </w:r>
    </w:p>
    <w:p>
      <w:r>
        <w:t>識別子の説明</w:t>
      </w:r>
    </w:p>
    <w:p>
      <w:r>
        <w:t>value</w:t>
      </w:r>
    </w:p>
    <w:p>
      <w:r>
        <w:t>文字列; 必須</w:t>
      </w:r>
    </w:p>
    <w:p>
      <w:r>
        <w:t>識別子の値</w:t>
      </w:r>
    </w:p>
    <w:p>
      <w:r>
        <w:t>Sellers.json object: Seller seller_id を代表して販売されたインベントリに対して支払いを受ける販売法人（legal entity）の識別。1つの seller_id が複数のエンティティを表すことは無効である。すべての seller_id は、その seller_id で取引されたインベントリに対して支払いを受ける単一のエンティティにのみマッピングされなければならない。広告システム内で、1つの販売エンティティが複数の seller_id を持つことは有効である。</w:t>
      </w:r>
    </w:p>
    <w:p>
      <w:r>
        <w:t>型</w:t>
      </w:r>
    </w:p>
    <w:p>
      <w:r>
        <w:t>説明</w:t>
      </w:r>
    </w:p>
    <w:p>
      <w:r>
        <w:t>seller_id</w:t>
      </w:r>
    </w:p>
    <w:p>
      <w:r>
        <w:t>文字列; 必須</w:t>
      </w:r>
    </w:p>
    <w:p>
      <w:r>
        <w:t>これは、ads.txtファイルおよびSupplyChain.nodes配列のsidプロパティに表示されるのと同じIDである。ほとんどの場合、OpenRTBリクエストのPublisher.Idプロパティにも表示される。</w:t>
      </w:r>
    </w:p>
    <w:p>
      <w:r>
        <w:t>is_confidential</w:t>
      </w:r>
    </w:p>
    <w:p>
      <w:r>
        <w:t>整数; オプション, デフォルト 0</w:t>
      </w:r>
    </w:p>
    <w:p>
      <w:r>
        <w:t>セラーの身元が機密であるかどうかを示す。0 = 機密ではない、1 = 機密である。</w:t>
      </w:r>
    </w:p>
    <w:p>
      <w:r>
        <w:t>seller_type</w:t>
      </w:r>
    </w:p>
    <w:p>
      <w:r>
        <w:t>文字列; 必須</w:t>
      </w:r>
    </w:p>
    <w:p>
      <w:r>
        <w:t>アカウントの種類（PUBLISHER、INTERMEDIARY、または BOTH）の列挙。「PUBLISHER」の値は、このアカウントを通じて販売されるインベントリが、指定されたエンティティが所有するサイト、アプリ、またはその他の媒体上にあり、広告システムが彼らに直接支払うことを示す。「INTERMEDIARY」の値は、このアカウントを通じて販売されたインベントリが指定されたエンティティによって所有されていないか、または広告システムが彼らに直接支払っていないことを示す。「BOTH」は、</w:t>
      </w:r>
    </w:p>
    <w:p>
      <w:r>
        <w:t>両方のタイプのインベントリがこのセラーによって取引されていることを示す。データを解釈する際、このフィールドは大文字と小文字を区別しないものとして扱うべきであることに注意すること。</w:t>
      </w:r>
    </w:p>
    <w:p>
      <w:r>
        <w:t>is_passthrough (整数; オプション, デフォルト 0)</w:t>
      </w:r>
    </w:p>
    <w:p>
      <w:r>
        <w:t>パススルーセラーとは、上流サプライヤーからインベントリの消費者（Consumer）へのインベントリを促進する役割を担うものである。上流サプライヤーと消費者は、上流サプライヤーが消費者のプラットフォーム内で自身のアカウントを管理できるようなビジネス関係を確立しなければならない。値が1の場合は以下を示す：このセラーは、川下/消費広告システムとアカウント管理関係を持っている。このセラーがサプライチェーンの最後のリンクである場合、購入システムはこのセラーのインベントリを取引するために、このセラーとアカウント管理関係を確立していなければならない。これがサプライチェーンの最後のリンクでない場合、このセラーはアカウント管理関係を持つ2つのエンティティの間に存在すべきである。値が0の場合は以下を示す：川下/消費広告システムは、このセラーとの間にアカウント管理関係を持たない。</w:t>
      </w:r>
    </w:p>
    <w:p>
      <w:r>
        <w:t>name</w:t>
      </w:r>
    </w:p>
    <w:p>
      <w:r>
        <w:t>文字列; is_confidential=0 の場合必須</w:t>
      </w:r>
    </w:p>
    <w:p>
      <w:r>
        <w:t>指定された seller_id の下で取引されたインベントリの代金を支払われる会社（法人）の名前。is_confidential が1に設定されている場合のみ省略可能。</w:t>
      </w:r>
    </w:p>
    <w:p>
      <w:r>
        <w:t>domain</w:t>
      </w:r>
    </w:p>
    <w:p>
      <w:r>
        <w:t>文字列; セラーがウェブプレゼンスを持ち、かつ is_confidential=0 の場合必須</w:t>
      </w:r>
    </w:p>
    <w:p>
      <w:r>
        <w:t>指定された seller_id の下で取引されるインベントリに対して支払いを受ける会社（法人）のビジネスドメイン名。seller_type プロパティが INTERMEDIARY または BOTH に設定されている場合、これはセラーのSellers.jsonファイルのルートドメイン名であるべきである。is_confidential が1に設定されている場合、またはセラーがウェブプレゼンスを持っていない場合は省略できる。</w:t>
      </w:r>
    </w:p>
    <w:p>
      <w:r>
        <w:t>comment</w:t>
      </w:r>
    </w:p>
    <w:p>
      <w:r>
        <w:t>文字列; オプション</w:t>
      </w:r>
    </w:p>
    <w:p>
      <w:r>
        <w:t>このインベントリに関する有用な説明。複数の seller_id を持つセラーにとって、この seller_id が何を表しているかを説明するのに便利である。</w:t>
      </w:r>
    </w:p>
    <w:p>
      <w:r>
        <w:t>ext</w:t>
      </w:r>
    </w:p>
    <w:p>
      <w:r>
        <w:t>オブジェクト; オプション</w:t>
      </w:r>
    </w:p>
    <w:p>
      <w:r>
        <w:t>このオブジェクトに対する広告システム固有の拡張のためのプレースホルダー。</w:t>
      </w:r>
    </w:p>
    <w:p>
      <w:r>
        <w:t>sellers.json および SupplyChain における domain は、OpenRTBのSiteオブジェクトにおける「domain」や ads.txt で使用されるドメイン定義と同様に、完全なURLではなくルートドメインのみを入力することに注意すること。本ドキュメントの目的上、「ルートドメイン」は「パブリックサフィックス」に名前の中の文字列を1つ加えたものとして定義される。実装者は、ルートドメインを導き出すために、Public Suffix List [16] を組み込むべきである。</w:t>
      </w:r>
    </w:p>
    <w:p>
      <w:r>
        <w:t>Enumerated List Specification (列挙型リストの仕様) Identifier Names 以下のリストは、識別子リストで使用すべき標準的な識別子を定義している。</w:t>
      </w:r>
    </w:p>
    <w:p>
      <w:r>
        <w:t>説明</w:t>
      </w:r>
    </w:p>
    <w:p>
      <w:r>
        <w:t>TAG-ID</w:t>
      </w:r>
    </w:p>
    <w:p>
      <w:r>
        <w:t>Trustworthy Accountability Group ID</w:t>
      </w:r>
    </w:p>
    <w:p>
      <w:r>
        <w:t>DUNS</w:t>
      </w:r>
    </w:p>
    <w:p>
      <w:r>
        <w:t>Dun &amp; Bradstreet DUNS Number</w:t>
      </w:r>
    </w:p>
    <w:p>
      <w:r>
        <w:t>Sample File Contents (ファイル内容のサンプル) {</w:t>
      </w:r>
    </w:p>
    <w:p>
      <w:r>
        <w:t>"contact_email": "adops@advertisingsystem.com", "contact_address": "Advertising System Inc., 101 Main Street, New York, NY 10101", "version": "1.0", "identifiers": [ { "name": "TAG-ID", "value": "28cb65e5bbc0bd5f" } ], "sellers": [ { "seller_id": "1942009976", "name": "Publisher1", "domain": "publisher1.com", "seller_type": "PUBLISHER” }, { "seller_id": "1397382429", "name": "Exchange1", "domain": "exchange1.com", "seller_type": "INTERMEDIARY" }, { "seller_id": "20000000", "name": "Seller And Intermediary, Inc",</w:t>
      </w:r>
    </w:p>
    <w:p>
      <w:r>
        <w:t>"domain": "sellerandintermediary.com", "seller_type": "PUBLISHER", "comment": "NorthAmerica O&amp;O inventory"</w:t>
      </w:r>
    </w:p>
    <w:p>
      <w:r>
        <w:t>}, {</w:t>
      </w:r>
    </w:p>
    <w:p>
      <w:r>
        <w:t>"seller_id": "20000001", "name": "Seller And Intermediary, Inc", "domain": "sellerandintermediary.com", "seller_type": "PUBLISHER", "comment": "APAC O&amp;O inventory"</w:t>
      </w:r>
    </w:p>
    <w:p>
      <w:r>
        <w:t>}, {</w:t>
      </w:r>
    </w:p>
    <w:p>
      <w:r>
        <w:t>"seller_id": "20000002", "name": "Seller And Intermediary, Inc", "domain": "sellerandintermediary.com", "seller_type": "INTERMEDIARY", "comment": "Non O&amp;O inventory"</w:t>
      </w:r>
    </w:p>
    <w:p>
      <w:r>
        <w:t>}, {</w:t>
      </w:r>
    </w:p>
    <w:p>
      <w:r>
        <w:t>"seller_id": "101010101", "name": "Hybrid Seller", "domain": "hybridseller.com", "seller_type": "BOTH", "comment": "Sells both O&amp;O and other sellers' inventory"</w:t>
      </w:r>
    </w:p>
    <w:p>
      <w:r>
        <w:t>}, {</w:t>
      </w:r>
    </w:p>
    <w:p>
      <w:r>
        <w:t>"seller_id": "00000001", "seller_type": "INTERMEDIARY", "is_confidential": 1</w:t>
      </w:r>
    </w:p>
    <w:p>
      <w:r>
        <w:t>}, {</w:t>
      </w:r>
    </w:p>
    <w:p>
      <w:r>
        <w:t>"seller_id": "EB_0001", "name": "Passthrough Publisher", "domain": "passthroughpublisher.com", "seller_type": "PUBLISHER", "is_passthrough": 1, "comment": "direct buyer/seller of this inventory must establish an account relationship with Passthrough Publisher"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