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2EDE40" w14:textId="77777777" w:rsidR="00E8336B" w:rsidRPr="002B1F05" w:rsidRDefault="00E8336B" w:rsidP="00E8336B">
      <w:pPr>
        <w:jc w:val="center"/>
        <w:rPr>
          <w:rFonts w:ascii="Times New Roman" w:hAnsi="Times New Roman" w:cs="Times New Roman"/>
        </w:rPr>
      </w:pPr>
      <w:r w:rsidRPr="002B1F05">
        <w:rPr>
          <w:rFonts w:ascii="Times New Roman" w:eastAsia="Arial" w:hAnsi="Times New Roman" w:cs="Times New Roman"/>
          <w:b/>
          <w:bCs/>
          <w:sz w:val="24"/>
          <w:szCs w:val="24"/>
        </w:rPr>
        <w:t>OS DIFERENCIAIS DE RENDIMENTOS NO RIO GRANDE DO SUL: UM ESTUDO DA EVOLUÇÃO DAS CONDIÇÕES ENTRE O PERÍODO DE 2000 A 2018.</w:t>
      </w:r>
    </w:p>
    <w:p w14:paraId="3E11118B" w14:textId="77777777" w:rsidR="00E8336B" w:rsidRPr="002B1F05" w:rsidRDefault="00E8336B" w:rsidP="00E8336B">
      <w:pPr>
        <w:spacing w:after="0" w:line="360" w:lineRule="auto"/>
        <w:jc w:val="center"/>
        <w:rPr>
          <w:rFonts w:ascii="Times New Roman" w:hAnsi="Times New Roman" w:cs="Times New Roman"/>
        </w:rPr>
      </w:pPr>
      <w:proofErr w:type="spellStart"/>
      <w:r w:rsidRPr="002B1F05">
        <w:rPr>
          <w:rFonts w:ascii="Times New Roman" w:eastAsia="Arial" w:hAnsi="Times New Roman" w:cs="Times New Roman"/>
          <w:b/>
          <w:bCs/>
          <w:sz w:val="24"/>
          <w:szCs w:val="24"/>
        </w:rPr>
        <w:t>Ataiz</w:t>
      </w:r>
      <w:proofErr w:type="spellEnd"/>
      <w:r w:rsidRPr="002B1F05">
        <w:rPr>
          <w:rFonts w:ascii="Times New Roman" w:eastAsia="Arial" w:hAnsi="Times New Roman" w:cs="Times New Roman"/>
          <w:b/>
          <w:bCs/>
          <w:sz w:val="24"/>
          <w:szCs w:val="24"/>
        </w:rPr>
        <w:t xml:space="preserve"> Regina </w:t>
      </w:r>
      <w:proofErr w:type="spellStart"/>
      <w:r w:rsidRPr="002B1F05">
        <w:rPr>
          <w:rFonts w:ascii="Times New Roman" w:eastAsia="Arial" w:hAnsi="Times New Roman" w:cs="Times New Roman"/>
          <w:b/>
          <w:bCs/>
          <w:sz w:val="24"/>
          <w:szCs w:val="24"/>
        </w:rPr>
        <w:t>Schmitz</w:t>
      </w:r>
      <w:proofErr w:type="spellEnd"/>
    </w:p>
    <w:p w14:paraId="2FDAE899" w14:textId="77777777" w:rsidR="00E8336B" w:rsidRPr="002B1F05" w:rsidRDefault="00E8336B" w:rsidP="00E8336B">
      <w:pPr>
        <w:spacing w:after="0" w:line="360" w:lineRule="auto"/>
        <w:jc w:val="center"/>
        <w:rPr>
          <w:rFonts w:ascii="Times New Roman" w:hAnsi="Times New Roman" w:cs="Times New Roman"/>
        </w:rPr>
      </w:pPr>
      <w:r w:rsidRPr="002B1F05">
        <w:rPr>
          <w:rFonts w:ascii="Times New Roman" w:eastAsia="Arial" w:hAnsi="Times New Roman" w:cs="Times New Roman"/>
          <w:sz w:val="24"/>
          <w:szCs w:val="24"/>
        </w:rPr>
        <w:t xml:space="preserve">Tecnóloga em Gestão de Recursos Humanos pelo Centro Universitário </w:t>
      </w:r>
      <w:proofErr w:type="spellStart"/>
      <w:r w:rsidRPr="002B1F05">
        <w:rPr>
          <w:rFonts w:ascii="Times New Roman" w:eastAsia="Arial" w:hAnsi="Times New Roman" w:cs="Times New Roman"/>
          <w:sz w:val="24"/>
          <w:szCs w:val="24"/>
        </w:rPr>
        <w:t>Ftec</w:t>
      </w:r>
      <w:proofErr w:type="spellEnd"/>
      <w:r w:rsidRPr="002B1F05">
        <w:rPr>
          <w:rFonts w:ascii="Times New Roman" w:eastAsia="Arial" w:hAnsi="Times New Roman" w:cs="Times New Roman"/>
          <w:sz w:val="24"/>
          <w:szCs w:val="24"/>
        </w:rPr>
        <w:t xml:space="preserve">. Especialista em Gestão Empreendedora pelo Centro Universitário </w:t>
      </w:r>
      <w:proofErr w:type="spellStart"/>
      <w:r w:rsidRPr="002B1F05">
        <w:rPr>
          <w:rFonts w:ascii="Times New Roman" w:eastAsia="Arial" w:hAnsi="Times New Roman" w:cs="Times New Roman"/>
          <w:sz w:val="24"/>
          <w:szCs w:val="24"/>
        </w:rPr>
        <w:t>Ftec</w:t>
      </w:r>
      <w:proofErr w:type="spellEnd"/>
      <w:r w:rsidRPr="002B1F05">
        <w:rPr>
          <w:rFonts w:ascii="Times New Roman" w:eastAsia="Arial" w:hAnsi="Times New Roman" w:cs="Times New Roman"/>
          <w:sz w:val="24"/>
          <w:szCs w:val="24"/>
        </w:rPr>
        <w:t xml:space="preserve">, Especialista em Marketing e Vendas pelo Centro Universitário </w:t>
      </w:r>
      <w:proofErr w:type="spellStart"/>
      <w:r w:rsidRPr="002B1F05">
        <w:rPr>
          <w:rFonts w:ascii="Times New Roman" w:eastAsia="Arial" w:hAnsi="Times New Roman" w:cs="Times New Roman"/>
          <w:sz w:val="24"/>
          <w:szCs w:val="24"/>
        </w:rPr>
        <w:t>Ftec</w:t>
      </w:r>
      <w:proofErr w:type="spellEnd"/>
      <w:r w:rsidRPr="002B1F05">
        <w:rPr>
          <w:rFonts w:ascii="Times New Roman" w:eastAsia="Arial" w:hAnsi="Times New Roman" w:cs="Times New Roman"/>
          <w:sz w:val="24"/>
          <w:szCs w:val="24"/>
        </w:rPr>
        <w:t xml:space="preserve">. Estudante do MBA em Gestão Empreendedora e Empreendedorismo Pelo IFRS- </w:t>
      </w:r>
      <w:proofErr w:type="spellStart"/>
      <w:r w:rsidRPr="002B1F05">
        <w:rPr>
          <w:rFonts w:ascii="Times New Roman" w:eastAsia="Arial" w:hAnsi="Times New Roman" w:cs="Times New Roman"/>
          <w:sz w:val="24"/>
          <w:szCs w:val="24"/>
        </w:rPr>
        <w:t>Câmpus</w:t>
      </w:r>
      <w:proofErr w:type="spellEnd"/>
      <w:r w:rsidRPr="002B1F05">
        <w:rPr>
          <w:rFonts w:ascii="Times New Roman" w:eastAsia="Arial" w:hAnsi="Times New Roman" w:cs="Times New Roman"/>
          <w:sz w:val="24"/>
          <w:szCs w:val="24"/>
        </w:rPr>
        <w:t xml:space="preserve"> Feliz. </w:t>
      </w:r>
      <w:hyperlink r:id="rId7">
        <w:r w:rsidRPr="002B1F05">
          <w:rPr>
            <w:rStyle w:val="Hyperlink"/>
            <w:rFonts w:ascii="Times New Roman" w:eastAsia="Arial" w:hAnsi="Times New Roman" w:cs="Times New Roman"/>
            <w:color w:val="0000FF"/>
            <w:sz w:val="24"/>
            <w:szCs w:val="24"/>
          </w:rPr>
          <w:t>ataiz@ibest.com.br</w:t>
        </w:r>
      </w:hyperlink>
    </w:p>
    <w:p w14:paraId="7C1A0D05" w14:textId="77777777" w:rsidR="00E8336B" w:rsidRPr="002B1F05" w:rsidRDefault="00E8336B" w:rsidP="00E8336B">
      <w:pPr>
        <w:rPr>
          <w:rFonts w:ascii="Times New Roman" w:hAnsi="Times New Roman" w:cs="Times New Roman"/>
        </w:rPr>
      </w:pPr>
    </w:p>
    <w:p w14:paraId="0E72780C" w14:textId="77777777" w:rsidR="00E8336B" w:rsidRPr="002B1F05" w:rsidRDefault="00E8336B" w:rsidP="00E8336B">
      <w:pPr>
        <w:spacing w:after="0" w:line="360" w:lineRule="auto"/>
        <w:jc w:val="center"/>
        <w:rPr>
          <w:rFonts w:ascii="Times New Roman" w:hAnsi="Times New Roman" w:cs="Times New Roman"/>
        </w:rPr>
      </w:pPr>
      <w:r w:rsidRPr="002B1F05">
        <w:rPr>
          <w:rFonts w:ascii="Times New Roman" w:eastAsia="Arial" w:hAnsi="Times New Roman" w:cs="Times New Roman"/>
          <w:b/>
          <w:bCs/>
          <w:sz w:val="24"/>
          <w:szCs w:val="24"/>
        </w:rPr>
        <w:t>Bruno César Brito Miyamoto</w:t>
      </w:r>
    </w:p>
    <w:p w14:paraId="58742851" w14:textId="77777777" w:rsidR="00E8336B" w:rsidRPr="002B1F05" w:rsidRDefault="00E8336B" w:rsidP="00E8336B">
      <w:pPr>
        <w:spacing w:after="0" w:line="360" w:lineRule="auto"/>
        <w:jc w:val="center"/>
        <w:rPr>
          <w:rFonts w:ascii="Times New Roman" w:hAnsi="Times New Roman" w:cs="Times New Roman"/>
        </w:rPr>
      </w:pPr>
      <w:r w:rsidRPr="002B1F05">
        <w:rPr>
          <w:rFonts w:ascii="Times New Roman" w:eastAsia="Arial" w:hAnsi="Times New Roman" w:cs="Times New Roman"/>
          <w:sz w:val="24"/>
          <w:szCs w:val="24"/>
        </w:rPr>
        <w:t xml:space="preserve">Graduação em Administração pela Universidade Estadual Paulista – Unesp. Mestre e Doutor em Desenvolvimento Econômico pelo Instituto de Economia da Unicamp. Professor do Instituto Federal do Rio Grande do Sul- </w:t>
      </w:r>
      <w:proofErr w:type="spellStart"/>
      <w:r w:rsidRPr="002B1F05">
        <w:rPr>
          <w:rFonts w:ascii="Times New Roman" w:eastAsia="Arial" w:hAnsi="Times New Roman" w:cs="Times New Roman"/>
          <w:sz w:val="24"/>
          <w:szCs w:val="24"/>
        </w:rPr>
        <w:t>Câmpus</w:t>
      </w:r>
      <w:proofErr w:type="spellEnd"/>
      <w:r w:rsidRPr="002B1F05">
        <w:rPr>
          <w:rFonts w:ascii="Times New Roman" w:eastAsia="Arial" w:hAnsi="Times New Roman" w:cs="Times New Roman"/>
          <w:sz w:val="24"/>
          <w:szCs w:val="24"/>
        </w:rPr>
        <w:t xml:space="preserve"> Feliz. </w:t>
      </w:r>
      <w:hyperlink r:id="rId8">
        <w:r w:rsidRPr="002B1F05">
          <w:rPr>
            <w:rStyle w:val="Hyperlink"/>
            <w:rFonts w:ascii="Times New Roman" w:eastAsia="Arial" w:hAnsi="Times New Roman" w:cs="Times New Roman"/>
            <w:color w:val="0000FF"/>
            <w:sz w:val="24"/>
            <w:szCs w:val="24"/>
          </w:rPr>
          <w:t>miyamototup@gmail.com</w:t>
        </w:r>
      </w:hyperlink>
    </w:p>
    <w:p w14:paraId="7B3BA1F6" w14:textId="77777777" w:rsidR="00E8336B" w:rsidRDefault="00E8336B" w:rsidP="00E8336B">
      <w:pPr>
        <w:rPr>
          <w:rFonts w:ascii="Times New Roman" w:eastAsia="Arial" w:hAnsi="Times New Roman" w:cs="Times New Roman"/>
          <w:sz w:val="24"/>
          <w:szCs w:val="24"/>
        </w:rPr>
      </w:pPr>
    </w:p>
    <w:p w14:paraId="39C141D8" w14:textId="77777777" w:rsidR="00E8336B" w:rsidRDefault="00E8336B" w:rsidP="00E8336B">
      <w:pPr>
        <w:rPr>
          <w:rFonts w:ascii="Times New Roman" w:eastAsia="Arial" w:hAnsi="Times New Roman" w:cs="Times New Roman"/>
          <w:sz w:val="24"/>
          <w:szCs w:val="24"/>
        </w:rPr>
      </w:pPr>
      <w:r w:rsidRPr="002B1F05">
        <w:rPr>
          <w:rFonts w:ascii="Times New Roman" w:eastAsia="Arial" w:hAnsi="Times New Roman" w:cs="Times New Roman"/>
          <w:sz w:val="24"/>
          <w:szCs w:val="24"/>
        </w:rPr>
        <w:t>Resumo:</w:t>
      </w:r>
    </w:p>
    <w:p w14:paraId="4607CF77" w14:textId="77777777" w:rsidR="00E8336B" w:rsidRDefault="00E8336B" w:rsidP="00E8336B">
      <w:pPr>
        <w:rPr>
          <w:rFonts w:ascii="Times New Roman" w:eastAsia="Arial" w:hAnsi="Times New Roman" w:cs="Times New Roman"/>
          <w:sz w:val="24"/>
          <w:szCs w:val="24"/>
        </w:rPr>
      </w:pPr>
      <w:r>
        <w:rPr>
          <w:rFonts w:ascii="Times New Roman" w:eastAsia="Arial" w:hAnsi="Times New Roman" w:cs="Times New Roman"/>
          <w:sz w:val="24"/>
          <w:szCs w:val="24"/>
        </w:rPr>
        <w:t>Considerando (</w:t>
      </w:r>
      <w:r w:rsidRPr="00195746">
        <w:rPr>
          <w:rFonts w:ascii="Times New Roman" w:eastAsia="Arial" w:hAnsi="Times New Roman" w:cs="Times New Roman"/>
          <w:color w:val="FF0000"/>
          <w:sz w:val="24"/>
          <w:szCs w:val="24"/>
        </w:rPr>
        <w:t>JUSTIFICATIVA/PROBLEMA</w:t>
      </w:r>
      <w:r>
        <w:rPr>
          <w:rFonts w:ascii="Times New Roman" w:eastAsia="Arial" w:hAnsi="Times New Roman" w:cs="Times New Roman"/>
          <w:sz w:val="24"/>
          <w:szCs w:val="24"/>
        </w:rPr>
        <w:t>), objetiva-se (</w:t>
      </w:r>
      <w:r w:rsidRPr="00195746">
        <w:rPr>
          <w:rFonts w:ascii="Times New Roman" w:eastAsia="Arial" w:hAnsi="Times New Roman" w:cs="Times New Roman"/>
          <w:color w:val="FF0000"/>
          <w:sz w:val="24"/>
          <w:szCs w:val="24"/>
        </w:rPr>
        <w:t>OBJETIVOS)</w:t>
      </w:r>
      <w:r>
        <w:rPr>
          <w:rFonts w:ascii="Times New Roman" w:eastAsia="Arial" w:hAnsi="Times New Roman" w:cs="Times New Roman"/>
          <w:sz w:val="24"/>
          <w:szCs w:val="24"/>
        </w:rPr>
        <w:t xml:space="preserve">. Para tanto, procede-se à </w:t>
      </w:r>
      <w:r w:rsidRPr="00195746">
        <w:rPr>
          <w:rFonts w:ascii="Times New Roman" w:eastAsia="Arial" w:hAnsi="Times New Roman" w:cs="Times New Roman"/>
          <w:color w:val="FF0000"/>
          <w:sz w:val="24"/>
          <w:szCs w:val="24"/>
        </w:rPr>
        <w:t>(METODOLOGIA</w:t>
      </w:r>
      <w:r>
        <w:rPr>
          <w:rFonts w:ascii="Times New Roman" w:eastAsia="Arial" w:hAnsi="Times New Roman" w:cs="Times New Roman"/>
          <w:sz w:val="24"/>
          <w:szCs w:val="24"/>
        </w:rPr>
        <w:t xml:space="preserve">). Desse modo, observa-se que </w:t>
      </w:r>
      <w:r w:rsidRPr="00195746">
        <w:rPr>
          <w:rFonts w:ascii="Times New Roman" w:eastAsia="Arial" w:hAnsi="Times New Roman" w:cs="Times New Roman"/>
          <w:color w:val="FF0000"/>
          <w:sz w:val="24"/>
          <w:szCs w:val="24"/>
        </w:rPr>
        <w:t>(RESULTADOS)</w:t>
      </w:r>
      <w:r>
        <w:rPr>
          <w:rFonts w:ascii="Times New Roman" w:eastAsia="Arial" w:hAnsi="Times New Roman" w:cs="Times New Roman"/>
          <w:sz w:val="24"/>
          <w:szCs w:val="24"/>
        </w:rPr>
        <w:t xml:space="preserve">, o que permite concluir que </w:t>
      </w:r>
      <w:r w:rsidRPr="00195746">
        <w:rPr>
          <w:rFonts w:ascii="Times New Roman" w:eastAsia="Arial" w:hAnsi="Times New Roman" w:cs="Times New Roman"/>
          <w:color w:val="FF0000"/>
          <w:sz w:val="24"/>
          <w:szCs w:val="24"/>
        </w:rPr>
        <w:t xml:space="preserve">(CONCLUSÃO) </w:t>
      </w:r>
    </w:p>
    <w:p w14:paraId="34AED376" w14:textId="77777777" w:rsidR="00E8336B" w:rsidRPr="00C80500" w:rsidRDefault="00E8336B" w:rsidP="00E8336B">
      <w:pPr>
        <w:rPr>
          <w:rFonts w:ascii="Times New Roman" w:hAnsi="Times New Roman" w:cs="Times New Roman"/>
          <w:b/>
        </w:rPr>
      </w:pPr>
      <w:r w:rsidRPr="00C80500">
        <w:rPr>
          <w:rFonts w:ascii="Times New Roman" w:eastAsia="Arial" w:hAnsi="Times New Roman" w:cs="Times New Roman"/>
          <w:b/>
          <w:sz w:val="24"/>
          <w:szCs w:val="24"/>
        </w:rPr>
        <w:t>Palavras-chave:</w:t>
      </w:r>
      <w:r>
        <w:rPr>
          <w:rFonts w:ascii="Times New Roman" w:eastAsia="Arial" w:hAnsi="Times New Roman" w:cs="Times New Roman"/>
          <w:b/>
          <w:sz w:val="24"/>
          <w:szCs w:val="24"/>
        </w:rPr>
        <w:t xml:space="preserve"> de 3 a 5, entre ponto final.</w:t>
      </w:r>
    </w:p>
    <w:p w14:paraId="31F3176E" w14:textId="77777777" w:rsidR="00E8336B" w:rsidRPr="002B1F05" w:rsidRDefault="00E8336B" w:rsidP="00E8336B">
      <w:pPr>
        <w:rPr>
          <w:rFonts w:ascii="Times New Roman" w:hAnsi="Times New Roman" w:cs="Times New Roman"/>
        </w:rPr>
      </w:pPr>
      <w:r w:rsidRPr="002B1F05">
        <w:rPr>
          <w:rFonts w:ascii="Times New Roman" w:eastAsia="Arial" w:hAnsi="Times New Roman" w:cs="Times New Roman"/>
          <w:sz w:val="24"/>
          <w:szCs w:val="24"/>
        </w:rPr>
        <w:t>Abstract:</w:t>
      </w:r>
    </w:p>
    <w:p w14:paraId="55D6AE54" w14:textId="77777777" w:rsidR="00E8336B" w:rsidRDefault="00E8336B" w:rsidP="00E8336B">
      <w:pPr>
        <w:rPr>
          <w:rFonts w:ascii="Times New Roman" w:eastAsia="Arial" w:hAnsi="Times New Roman" w:cs="Times New Roman"/>
          <w:b/>
          <w:sz w:val="24"/>
          <w:szCs w:val="24"/>
        </w:rPr>
      </w:pPr>
      <w:r w:rsidRPr="00C80500">
        <w:rPr>
          <w:rFonts w:ascii="Times New Roman" w:eastAsia="Arial" w:hAnsi="Times New Roman" w:cs="Times New Roman"/>
          <w:b/>
          <w:sz w:val="24"/>
          <w:szCs w:val="24"/>
        </w:rPr>
        <w:t>1 CONSIDERAÇÕES INICIAIS</w:t>
      </w:r>
    </w:p>
    <w:p w14:paraId="27EA9E6A" w14:textId="77777777" w:rsidR="00E8336B" w:rsidRDefault="00E8336B" w:rsidP="00E8336B">
      <w:pPr>
        <w:rPr>
          <w:rFonts w:ascii="Times New Roman" w:eastAsia="Arial" w:hAnsi="Times New Roman" w:cs="Times New Roman"/>
          <w:b/>
          <w:sz w:val="24"/>
          <w:szCs w:val="24"/>
        </w:rPr>
      </w:pPr>
    </w:p>
    <w:p w14:paraId="6ECC1070" w14:textId="77777777" w:rsidR="00E8336B" w:rsidRDefault="00E8336B" w:rsidP="00E8336B">
      <w:hyperlink r:id="rId9" w:history="1">
        <w:r>
          <w:rPr>
            <w:rStyle w:val="Hyperlink"/>
          </w:rPr>
          <w:t>http://cienciaecultura.bvs.br/scielo.php?script=sci_arttext&amp;pid=S0009-67252006000400020</w:t>
        </w:r>
      </w:hyperlink>
    </w:p>
    <w:p w14:paraId="259F80EA" w14:textId="77777777" w:rsidR="00E8336B" w:rsidRPr="00C80500" w:rsidRDefault="00E8336B" w:rsidP="00E8336B">
      <w:pPr>
        <w:rPr>
          <w:rFonts w:ascii="Times New Roman" w:hAnsi="Times New Roman" w:cs="Times New Roman"/>
          <w:b/>
        </w:rPr>
      </w:pPr>
    </w:p>
    <w:p w14:paraId="73215DF5" w14:textId="77777777" w:rsidR="00E8336B" w:rsidRPr="00C80500" w:rsidRDefault="00E8336B" w:rsidP="00E8336B">
      <w:pPr>
        <w:rPr>
          <w:rFonts w:ascii="Times New Roman" w:hAnsi="Times New Roman" w:cs="Times New Roman"/>
          <w:b/>
        </w:rPr>
      </w:pPr>
      <w:r w:rsidRPr="00C80500">
        <w:rPr>
          <w:rFonts w:ascii="Times New Roman" w:eastAsia="Arial" w:hAnsi="Times New Roman" w:cs="Times New Roman"/>
          <w:b/>
          <w:sz w:val="24"/>
          <w:szCs w:val="24"/>
        </w:rPr>
        <w:t>2 REVISÃO BIBLIOGRÁFICA</w:t>
      </w:r>
    </w:p>
    <w:p w14:paraId="621E6EBF" w14:textId="77777777" w:rsidR="00E8336B" w:rsidRPr="00E8336B" w:rsidRDefault="00E8336B" w:rsidP="00E8336B">
      <w:pPr>
        <w:spacing w:after="0" w:line="240" w:lineRule="auto"/>
        <w:ind w:firstLine="709"/>
        <w:jc w:val="both"/>
        <w:rPr>
          <w:rFonts w:ascii="Times New Roman" w:eastAsia="Arial" w:hAnsi="Times New Roman" w:cs="Times New Roman"/>
          <w:sz w:val="24"/>
          <w:szCs w:val="24"/>
        </w:rPr>
      </w:pPr>
      <w:r w:rsidRPr="00E8336B">
        <w:rPr>
          <w:rFonts w:ascii="Times New Roman" w:eastAsia="Arial" w:hAnsi="Times New Roman" w:cs="Times New Roman"/>
          <w:sz w:val="24"/>
          <w:szCs w:val="24"/>
        </w:rPr>
        <w:t xml:space="preserve">De acordo com o Fundo Monetário </w:t>
      </w:r>
      <w:commentRangeStart w:id="0"/>
      <w:r w:rsidRPr="00E8336B">
        <w:rPr>
          <w:rFonts w:ascii="Times New Roman" w:eastAsia="Arial" w:hAnsi="Times New Roman" w:cs="Times New Roman"/>
          <w:sz w:val="24"/>
          <w:szCs w:val="24"/>
        </w:rPr>
        <w:t>Internacional</w:t>
      </w:r>
      <w:commentRangeEnd w:id="0"/>
      <w:r w:rsidRPr="00E8336B">
        <w:rPr>
          <w:rStyle w:val="Refdecomentrio"/>
          <w:rFonts w:ascii="Times New Roman" w:hAnsi="Times New Roman" w:cs="Times New Roman"/>
          <w:sz w:val="24"/>
          <w:szCs w:val="24"/>
        </w:rPr>
        <w:commentReference w:id="0"/>
      </w:r>
      <w:r w:rsidRPr="00E8336B">
        <w:rPr>
          <w:rFonts w:ascii="Times New Roman" w:eastAsia="Arial" w:hAnsi="Times New Roman" w:cs="Times New Roman"/>
          <w:sz w:val="24"/>
          <w:szCs w:val="24"/>
        </w:rPr>
        <w:t xml:space="preserve"> (2017), o Brasil configura-se entre as dez maiores economias do mundo, criando um ambiente de oportunidades e ao mesmo tempo sendo marcado por desigualdades na distribuição de renda. Sua história econômica recente enfatiza uma expressiva desigualdade distributiva, em um cenário marcado por uma intensa concentração de renda, que se reduz lentamente ao longo dos anos. (SILVA FILHO; MIYAMOTO; SANTOS, 2017).</w:t>
      </w:r>
    </w:p>
    <w:p w14:paraId="448B8135" w14:textId="77777777" w:rsidR="00E8336B" w:rsidRPr="00E8336B" w:rsidRDefault="00E8336B" w:rsidP="00E8336B">
      <w:pPr>
        <w:spacing w:after="0" w:line="240" w:lineRule="auto"/>
        <w:ind w:firstLine="709"/>
        <w:jc w:val="both"/>
        <w:rPr>
          <w:rFonts w:ascii="Times New Roman" w:eastAsia="Arial" w:hAnsi="Times New Roman" w:cs="Times New Roman"/>
          <w:sz w:val="24"/>
          <w:szCs w:val="24"/>
        </w:rPr>
      </w:pPr>
      <w:r w:rsidRPr="00E8336B">
        <w:rPr>
          <w:rFonts w:ascii="Times New Roman" w:eastAsia="Arial" w:hAnsi="Times New Roman" w:cs="Times New Roman"/>
          <w:sz w:val="24"/>
          <w:szCs w:val="24"/>
        </w:rPr>
        <w:t xml:space="preserve">A vasta extensão territorial brasileira propicia uma ampla abordagem da forte desigualdade de renda existente entre os indivíduos e suas regiões, evidenciando uma desigualdade na distribuição das suas atividades produtivas. Sua distribuição desigual gera desigualdades no mercado de trabalho e, consequentemente, nos níveis salariais. (MELO, 2009).  </w:t>
      </w:r>
    </w:p>
    <w:p w14:paraId="36E8B6B4" w14:textId="77777777" w:rsidR="00E8336B" w:rsidRPr="00E8336B" w:rsidRDefault="00E8336B" w:rsidP="00E8336B">
      <w:pPr>
        <w:spacing w:after="0" w:line="240" w:lineRule="auto"/>
        <w:ind w:firstLine="709"/>
        <w:jc w:val="both"/>
        <w:rPr>
          <w:rFonts w:ascii="Times New Roman" w:eastAsia="Arial" w:hAnsi="Times New Roman" w:cs="Times New Roman"/>
          <w:sz w:val="24"/>
          <w:szCs w:val="24"/>
        </w:rPr>
      </w:pPr>
      <w:r w:rsidRPr="00E8336B">
        <w:rPr>
          <w:rFonts w:ascii="Times New Roman" w:eastAsia="Arial" w:hAnsi="Times New Roman" w:cs="Times New Roman"/>
          <w:sz w:val="24"/>
          <w:szCs w:val="24"/>
        </w:rPr>
        <w:t xml:space="preserve">Para Barros e Mendonça (1993; 1996) existem duas razões que explicam as disparidades na remuneração: as decorrentes da produtividade e as que decorrem de discriminação ou de </w:t>
      </w:r>
      <w:r w:rsidRPr="00E8336B">
        <w:rPr>
          <w:rFonts w:ascii="Times New Roman" w:eastAsia="Arial" w:hAnsi="Times New Roman" w:cs="Times New Roman"/>
          <w:sz w:val="24"/>
          <w:szCs w:val="24"/>
        </w:rPr>
        <w:lastRenderedPageBreak/>
        <w:t xml:space="preserve">segmentação de trabalhadores com a mesma produtividade. Araújo e Ribeiro (2001) enfatizam que a discriminação pode ser caracterizada tanto sob o ponto de vista social, quanto sob o ponto de vista econômico. Sob o ponto de vista econômico, ela ocorre quando há uma avaliação equivocada dos diferentes custos e benefícios produtivos de cada trabalhador, a partir das percepções dos indivíduos envolvidos. Os prejulgamentos conduzem a ações discriminatórias (raça, gênero, </w:t>
      </w:r>
      <w:proofErr w:type="spellStart"/>
      <w:r w:rsidRPr="00E8336B">
        <w:rPr>
          <w:rFonts w:ascii="Times New Roman" w:eastAsia="Arial" w:hAnsi="Times New Roman" w:cs="Times New Roman"/>
          <w:sz w:val="24"/>
          <w:szCs w:val="24"/>
        </w:rPr>
        <w:t>etc</w:t>
      </w:r>
      <w:proofErr w:type="spellEnd"/>
      <w:r w:rsidRPr="00E8336B">
        <w:rPr>
          <w:rFonts w:ascii="Times New Roman" w:eastAsia="Arial" w:hAnsi="Times New Roman" w:cs="Times New Roman"/>
          <w:sz w:val="24"/>
          <w:szCs w:val="24"/>
        </w:rPr>
        <w:t xml:space="preserve">), sem que ao menos tenham a capacidade de demonstrar suas capacidades produtivas. Assim, a discriminação econômica ocorre quando trabalhadores com as mesmas habilidades, no mesmo emprego, apresentam diferenças de rendimentos e de oportunidade. </w:t>
      </w:r>
      <w:proofErr w:type="gramStart"/>
      <w:r w:rsidRPr="00E8336B">
        <w:rPr>
          <w:rFonts w:ascii="Times New Roman" w:eastAsia="Arial" w:hAnsi="Times New Roman" w:cs="Times New Roman"/>
          <w:sz w:val="24"/>
          <w:szCs w:val="24"/>
        </w:rPr>
        <w:t>Assim</w:t>
      </w:r>
      <w:commentRangeStart w:id="1"/>
      <w:r w:rsidRPr="00E8336B">
        <w:rPr>
          <w:rFonts w:ascii="Times New Roman" w:eastAsia="Arial" w:hAnsi="Times New Roman" w:cs="Times New Roman"/>
          <w:sz w:val="24"/>
          <w:szCs w:val="24"/>
        </w:rPr>
        <w:t>,  trabalhadores</w:t>
      </w:r>
      <w:proofErr w:type="gramEnd"/>
      <w:r w:rsidRPr="00E8336B">
        <w:rPr>
          <w:rFonts w:ascii="Times New Roman" w:eastAsia="Arial" w:hAnsi="Times New Roman" w:cs="Times New Roman"/>
          <w:sz w:val="24"/>
          <w:szCs w:val="24"/>
        </w:rPr>
        <w:t xml:space="preserve"> com o mesmo nível educacional, experiência, treinamento e produtividade apresentam rendimentos diferenciados em virtude à sua religião, raça, gênero, entre outras características irrelevantes para o exercício da sua profissão. (BORJAS, 1996). </w:t>
      </w:r>
      <w:commentRangeEnd w:id="1"/>
      <w:r w:rsidRPr="00E8336B">
        <w:rPr>
          <w:rStyle w:val="Refdecomentrio"/>
          <w:rFonts w:ascii="Times New Roman" w:hAnsi="Times New Roman" w:cs="Times New Roman"/>
          <w:sz w:val="24"/>
          <w:szCs w:val="24"/>
        </w:rPr>
        <w:commentReference w:id="1"/>
      </w:r>
    </w:p>
    <w:p w14:paraId="18B5F92D" w14:textId="77777777" w:rsidR="00E8336B" w:rsidRPr="00E8336B" w:rsidRDefault="00E8336B" w:rsidP="00E8336B">
      <w:pPr>
        <w:spacing w:after="0" w:line="240" w:lineRule="auto"/>
        <w:ind w:firstLine="709"/>
        <w:jc w:val="both"/>
        <w:rPr>
          <w:rFonts w:ascii="Times New Roman" w:eastAsia="Arial" w:hAnsi="Times New Roman" w:cs="Times New Roman"/>
          <w:sz w:val="24"/>
          <w:szCs w:val="24"/>
        </w:rPr>
      </w:pPr>
      <w:r w:rsidRPr="00E8336B">
        <w:rPr>
          <w:rFonts w:ascii="Times New Roman" w:eastAsia="Arial" w:hAnsi="Times New Roman" w:cs="Times New Roman"/>
          <w:sz w:val="24"/>
          <w:szCs w:val="24"/>
        </w:rPr>
        <w:t xml:space="preserve">A discriminação no mercado de trabalho é teorizada sob três fontes, cada uma sugerindo um modelo de como é implementada e quais são suas consequências. (EHREMBERG, SMITH, 2000). A primeira fonte de discriminação é o preconceito pessoal, em que empregadores, empregados ou consumidores não aceitam o convívio no ambiente de trabalho com funcionários pertencentes a um grupo com características especificas (sexo, raça, </w:t>
      </w:r>
      <w:proofErr w:type="spellStart"/>
      <w:r w:rsidRPr="00E8336B">
        <w:rPr>
          <w:rFonts w:ascii="Times New Roman" w:eastAsia="Arial" w:hAnsi="Times New Roman" w:cs="Times New Roman"/>
          <w:sz w:val="24"/>
          <w:szCs w:val="24"/>
        </w:rPr>
        <w:t>etc</w:t>
      </w:r>
      <w:proofErr w:type="spellEnd"/>
      <w:r w:rsidRPr="00E8336B">
        <w:rPr>
          <w:rFonts w:ascii="Times New Roman" w:eastAsia="Arial" w:hAnsi="Times New Roman" w:cs="Times New Roman"/>
          <w:sz w:val="24"/>
          <w:szCs w:val="24"/>
        </w:rPr>
        <w:t xml:space="preserve">). Esta classe teve início com o trabalho seminal de Becker (1957). A segunda fonte é o preconceito estatístico, onde em um ambiente de informação incompleta, empregadores usam caraterísticas pessoais produtivas e, principalmente não produtivas, para projetar nos indivíduos algumas características médias notadas no grupo. Logo, trabalhadores com produtividade acima da média recebem rendimentos abaixo de seu potencial. Estes modelos foram iniciados por </w:t>
      </w:r>
      <w:proofErr w:type="spellStart"/>
      <w:r w:rsidRPr="00E8336B">
        <w:rPr>
          <w:rFonts w:ascii="Times New Roman" w:eastAsia="Arial" w:hAnsi="Times New Roman" w:cs="Times New Roman"/>
          <w:sz w:val="24"/>
          <w:szCs w:val="24"/>
        </w:rPr>
        <w:t>Phelps</w:t>
      </w:r>
      <w:proofErr w:type="spellEnd"/>
      <w:r w:rsidRPr="00E8336B">
        <w:rPr>
          <w:rFonts w:ascii="Times New Roman" w:eastAsia="Arial" w:hAnsi="Times New Roman" w:cs="Times New Roman"/>
          <w:sz w:val="24"/>
          <w:szCs w:val="24"/>
        </w:rPr>
        <w:t xml:space="preserve"> (1972), </w:t>
      </w:r>
      <w:proofErr w:type="spellStart"/>
      <w:r w:rsidRPr="00E8336B">
        <w:rPr>
          <w:rFonts w:ascii="Times New Roman" w:eastAsia="Arial" w:hAnsi="Times New Roman" w:cs="Times New Roman"/>
          <w:sz w:val="24"/>
          <w:szCs w:val="24"/>
        </w:rPr>
        <w:t>Aigner</w:t>
      </w:r>
      <w:proofErr w:type="spellEnd"/>
      <w:r w:rsidRPr="00E8336B">
        <w:rPr>
          <w:rFonts w:ascii="Times New Roman" w:eastAsia="Arial" w:hAnsi="Times New Roman" w:cs="Times New Roman"/>
          <w:sz w:val="24"/>
          <w:szCs w:val="24"/>
        </w:rPr>
        <w:t xml:space="preserve"> e Cain (1977) e Spence (1973). Por final, existem modelos de discriminação nos quais o desejo e uso do poder de monopólio são a fonte de discriminação, como em Piore (1970) e </w:t>
      </w:r>
      <w:proofErr w:type="spellStart"/>
      <w:r w:rsidRPr="00E8336B">
        <w:rPr>
          <w:rFonts w:ascii="Times New Roman" w:eastAsia="Arial" w:hAnsi="Times New Roman" w:cs="Times New Roman"/>
          <w:sz w:val="24"/>
          <w:szCs w:val="24"/>
        </w:rPr>
        <w:t>Bulow</w:t>
      </w:r>
      <w:proofErr w:type="spellEnd"/>
      <w:r w:rsidRPr="00E8336B">
        <w:rPr>
          <w:rFonts w:ascii="Times New Roman" w:eastAsia="Arial" w:hAnsi="Times New Roman" w:cs="Times New Roman"/>
          <w:sz w:val="24"/>
          <w:szCs w:val="24"/>
        </w:rPr>
        <w:t xml:space="preserve"> e Summers (1986). Em todos os modelos a discriminação ocorre quando trabalhadores não são remunerados de modo "justo", ou seja, de acordo com suas produtividades. Assim, a caracterização da discriminação se dá quando não é possível justificar, a partir de medidas de produtividade pessoais, os diferenciais de rendimentos.</w:t>
      </w:r>
    </w:p>
    <w:p w14:paraId="1824E866" w14:textId="77777777" w:rsidR="00E8336B" w:rsidRPr="00E8336B" w:rsidRDefault="00E8336B" w:rsidP="00E8336B">
      <w:pPr>
        <w:spacing w:after="0" w:line="240" w:lineRule="auto"/>
        <w:ind w:firstLine="709"/>
        <w:jc w:val="both"/>
        <w:rPr>
          <w:rFonts w:ascii="Times New Roman" w:eastAsia="Arial" w:hAnsi="Times New Roman" w:cs="Times New Roman"/>
          <w:sz w:val="24"/>
          <w:szCs w:val="24"/>
        </w:rPr>
      </w:pPr>
      <w:r w:rsidRPr="00E8336B">
        <w:rPr>
          <w:rFonts w:ascii="Times New Roman" w:eastAsia="Arial" w:hAnsi="Times New Roman" w:cs="Times New Roman"/>
          <w:sz w:val="24"/>
          <w:szCs w:val="24"/>
        </w:rPr>
        <w:t xml:space="preserve">De acordo com a literatura, tanto características individuais quanto características do mercado de trabalho e sua estrutura produtiva influenciam no rendimento do trabalhador (MELO, 2009). Os principais determinantes para a existência de diferenças salariais entre as regiões, refere-se aos diferenciais salariais compensatórios, onde regiões com um custo de vida maior tendem a ter salários maiores, como forma de equilibrar o padrão de vida e os salários reais dos trabalhadores (MOLHO, 1992). Assim, tanto a diferença no custo de vida quanto diferença de salário apresentam vantagens e desvantagens locacionais. Sua explicação ocorre em virtude das diferenças na composição da força de trabalho e por diferenças inter-regionais de produtividade (COMBES; DURANTON; GOBILLON, 2004). Para Nogueira e Marinho (2006) o componente regional exerce influência sob a determinação dos rendimentos obtidos pelos trabalhadores. </w:t>
      </w:r>
    </w:p>
    <w:p w14:paraId="5AF45B9B" w14:textId="77777777" w:rsidR="00E8336B" w:rsidRPr="00E8336B" w:rsidRDefault="00E8336B" w:rsidP="00E8336B">
      <w:pPr>
        <w:spacing w:after="0" w:line="240" w:lineRule="auto"/>
        <w:ind w:firstLine="709"/>
        <w:jc w:val="both"/>
        <w:rPr>
          <w:rFonts w:ascii="Times New Roman" w:eastAsia="Arial" w:hAnsi="Times New Roman" w:cs="Times New Roman"/>
          <w:sz w:val="24"/>
          <w:szCs w:val="24"/>
        </w:rPr>
      </w:pPr>
      <w:r w:rsidRPr="00E8336B">
        <w:rPr>
          <w:rFonts w:ascii="Times New Roman" w:eastAsia="Arial" w:hAnsi="Times New Roman" w:cs="Times New Roman"/>
          <w:sz w:val="24"/>
          <w:szCs w:val="24"/>
        </w:rPr>
        <w:t xml:space="preserve">A fim de buscar explicar os diferenciais salariais, algumas teorias foram desenvolvidas, destacando-se a Teoria do Capital Humano, elaborada por Schultz (1961; 1962; 1964). A mesma aborda a relação entre educação e rendimento, a partir da concepção de que o investimento em educação é realizado com o intuito de aumentar a produtividade e consequentemente o rendimento do trabalhador. Dessa forma, o nível de escolaridade configura-se como um dos fatores principais para compreender o perfil de renda do trabalhador. Em contrapartida, a Teoria do Capital Humano apresenta algumas limitações, pelo fato de explicar apenas alguns dos determinantes da diferença salarial, como a experiência e o nível de escolaridade. </w:t>
      </w:r>
    </w:p>
    <w:p w14:paraId="6B6B3F3E" w14:textId="77777777" w:rsidR="00E8336B" w:rsidRPr="00E8336B" w:rsidRDefault="00E8336B" w:rsidP="00E8336B">
      <w:pPr>
        <w:spacing w:after="0" w:line="240" w:lineRule="auto"/>
        <w:ind w:firstLine="709"/>
        <w:jc w:val="both"/>
        <w:rPr>
          <w:rFonts w:ascii="Times New Roman" w:hAnsi="Times New Roman" w:cs="Times New Roman"/>
          <w:sz w:val="24"/>
          <w:szCs w:val="24"/>
        </w:rPr>
      </w:pPr>
      <w:proofErr w:type="spellStart"/>
      <w:r w:rsidRPr="00E8336B">
        <w:rPr>
          <w:rFonts w:ascii="Times New Roman" w:eastAsia="Arial" w:hAnsi="Times New Roman" w:cs="Times New Roman"/>
          <w:sz w:val="24"/>
          <w:szCs w:val="24"/>
        </w:rPr>
        <w:t>Oaxaca</w:t>
      </w:r>
      <w:proofErr w:type="spellEnd"/>
      <w:r w:rsidRPr="00E8336B">
        <w:rPr>
          <w:rFonts w:ascii="Times New Roman" w:eastAsia="Arial" w:hAnsi="Times New Roman" w:cs="Times New Roman"/>
          <w:sz w:val="24"/>
          <w:szCs w:val="24"/>
        </w:rPr>
        <w:t xml:space="preserve"> (1973) e </w:t>
      </w:r>
      <w:proofErr w:type="spellStart"/>
      <w:r w:rsidRPr="00E8336B">
        <w:rPr>
          <w:rFonts w:ascii="Times New Roman" w:eastAsia="Arial" w:hAnsi="Times New Roman" w:cs="Times New Roman"/>
          <w:sz w:val="24"/>
          <w:szCs w:val="24"/>
        </w:rPr>
        <w:t>Blinder</w:t>
      </w:r>
      <w:proofErr w:type="spellEnd"/>
      <w:r w:rsidRPr="00E8336B">
        <w:rPr>
          <w:rFonts w:ascii="Times New Roman" w:eastAsia="Arial" w:hAnsi="Times New Roman" w:cs="Times New Roman"/>
          <w:sz w:val="24"/>
          <w:szCs w:val="24"/>
        </w:rPr>
        <w:t xml:space="preserve"> (1973), com o intuito de realizar uma abordagem mais ampla e profunda, sugerem que pode haver discriminação no mercado de trabalho quando há diferença salarial não explicada pela experiência e pelo nível de escolaridade. Assim, eles propõem </w:t>
      </w:r>
      <w:r w:rsidRPr="00E8336B">
        <w:rPr>
          <w:rFonts w:ascii="Times New Roman" w:eastAsia="Arial" w:hAnsi="Times New Roman" w:cs="Times New Roman"/>
          <w:sz w:val="24"/>
          <w:szCs w:val="24"/>
        </w:rPr>
        <w:lastRenderedPageBreak/>
        <w:t xml:space="preserve">analisar estatisticamente a diferença de rendimentos entre dois grupos e demonstrar os efeitos conhecidos como “explicado” e “não explicado”. O “efeito explicado” corresponde à diferença salarial entendida como resultado direto das características médias de cada grupo, como os atributos individuais socioeconômicos (experiência, idade, anos de estudo, raça, </w:t>
      </w:r>
      <w:proofErr w:type="spellStart"/>
      <w:r w:rsidRPr="00E8336B">
        <w:rPr>
          <w:rFonts w:ascii="Times New Roman" w:eastAsia="Arial" w:hAnsi="Times New Roman" w:cs="Times New Roman"/>
          <w:sz w:val="24"/>
          <w:szCs w:val="24"/>
        </w:rPr>
        <w:t>etc</w:t>
      </w:r>
      <w:proofErr w:type="spellEnd"/>
      <w:r w:rsidRPr="00E8336B">
        <w:rPr>
          <w:rFonts w:ascii="Times New Roman" w:eastAsia="Arial" w:hAnsi="Times New Roman" w:cs="Times New Roman"/>
          <w:sz w:val="24"/>
          <w:szCs w:val="24"/>
        </w:rPr>
        <w:t xml:space="preserve">), dos seus respectivos domicílios (região geográfica, rural ou urbano, </w:t>
      </w:r>
      <w:proofErr w:type="spellStart"/>
      <w:r w:rsidRPr="00E8336B">
        <w:rPr>
          <w:rFonts w:ascii="Times New Roman" w:eastAsia="Arial" w:hAnsi="Times New Roman" w:cs="Times New Roman"/>
          <w:sz w:val="24"/>
          <w:szCs w:val="24"/>
        </w:rPr>
        <w:t>etc</w:t>
      </w:r>
      <w:proofErr w:type="spellEnd"/>
      <w:r w:rsidRPr="00E8336B">
        <w:rPr>
          <w:rFonts w:ascii="Times New Roman" w:eastAsia="Arial" w:hAnsi="Times New Roman" w:cs="Times New Roman"/>
          <w:sz w:val="24"/>
          <w:szCs w:val="24"/>
        </w:rPr>
        <w:t>) e do trabalho (setor de atividade, posição na ocupação, tempo de emprego, entre outros). Esse efeito compreende a divergências salariais advindas de um grupo com maior escolaridade, por exemplo. O “efeito não explicado” corresponde à parcela que não pode ser atribuída as diferenças observáveis, sendo representado como as características do mercado de trabalho ou de discriminação. Abrangendo as influências realizadas por atributos não observáveis.</w:t>
      </w:r>
    </w:p>
    <w:p w14:paraId="0C6629FC" w14:textId="77777777" w:rsidR="00E8336B" w:rsidRPr="00E8336B" w:rsidRDefault="00E8336B" w:rsidP="00E8336B">
      <w:pPr>
        <w:spacing w:after="0" w:line="240" w:lineRule="auto"/>
        <w:ind w:firstLine="709"/>
        <w:jc w:val="both"/>
        <w:rPr>
          <w:rFonts w:ascii="Times New Roman" w:eastAsia="Arial" w:hAnsi="Times New Roman" w:cs="Times New Roman"/>
          <w:sz w:val="24"/>
          <w:szCs w:val="24"/>
        </w:rPr>
      </w:pPr>
      <w:r w:rsidRPr="00E8336B">
        <w:rPr>
          <w:rFonts w:ascii="Times New Roman" w:eastAsia="Arial" w:hAnsi="Times New Roman" w:cs="Times New Roman"/>
          <w:sz w:val="24"/>
          <w:szCs w:val="24"/>
        </w:rPr>
        <w:t>Ramos e Vieira (2000) enfatizam que o principal determinante da desigualdade de renda entre os indivíduos é a escolaridade, seguido da sua posição de ocupação. Becker (1964) e Ben-</w:t>
      </w:r>
      <w:proofErr w:type="spellStart"/>
      <w:r w:rsidRPr="00E8336B">
        <w:rPr>
          <w:rFonts w:ascii="Times New Roman" w:eastAsia="Arial" w:hAnsi="Times New Roman" w:cs="Times New Roman"/>
          <w:sz w:val="24"/>
          <w:szCs w:val="24"/>
        </w:rPr>
        <w:t>Porath</w:t>
      </w:r>
      <w:proofErr w:type="spellEnd"/>
      <w:r w:rsidRPr="00E8336B">
        <w:rPr>
          <w:rFonts w:ascii="Times New Roman" w:eastAsia="Arial" w:hAnsi="Times New Roman" w:cs="Times New Roman"/>
          <w:sz w:val="24"/>
          <w:szCs w:val="24"/>
        </w:rPr>
        <w:t xml:space="preserve"> (1967) enfatizam a relação entre a educação e o rendimento do trabalho sob o ponto de vista teórico, demonstrando que trabalhadores mais escolarizados possuem maiores salários e melhores ocupações.</w:t>
      </w:r>
    </w:p>
    <w:p w14:paraId="466550C9" w14:textId="77777777" w:rsidR="00E8336B" w:rsidRPr="00E8336B" w:rsidRDefault="00E8336B" w:rsidP="00E8336B">
      <w:pPr>
        <w:spacing w:after="0" w:line="240" w:lineRule="auto"/>
        <w:ind w:firstLine="709"/>
        <w:jc w:val="both"/>
        <w:rPr>
          <w:rFonts w:ascii="Times New Roman" w:eastAsia="Arial" w:hAnsi="Times New Roman" w:cs="Times New Roman"/>
          <w:sz w:val="24"/>
          <w:szCs w:val="24"/>
        </w:rPr>
      </w:pPr>
      <w:r w:rsidRPr="00E8336B">
        <w:rPr>
          <w:rFonts w:ascii="Times New Roman" w:eastAsia="Arial" w:hAnsi="Times New Roman" w:cs="Times New Roman"/>
          <w:sz w:val="24"/>
          <w:szCs w:val="24"/>
        </w:rPr>
        <w:t>Dentre os fatores que podem provocar discriminação no mercado de trabalho e diferença de rendimentos está a questão de gênero.  A diferença de rendimentos auferidos entre homens e mulheres pode ser explicada por diferenças como: experiência, educação, idade, setor de trabalho, porém estas se limitam a explicar apenas uma parte das diferenças existentes, sendo as demais atribuídas à discriminação (GIUBERTI; MENEZES FILHO, 2005). A discriminação ocorre no mercado de trabalho, quando mulheres com mesma qualificação, recebem pagamento menor no desempenho da mesma função e/ou por ter acesso a ocupações menos remuneradas. A primeira abordagem refere-se a uma discriminação salarial, enquanto a segunda, a uma discriminação ocupacional, onde a variável de seleção é o sexo. (ARAÚJO; RIBEIRO, 2001).</w:t>
      </w:r>
    </w:p>
    <w:p w14:paraId="37D8F740" w14:textId="77777777" w:rsidR="00E8336B" w:rsidRPr="00E8336B" w:rsidRDefault="00E8336B" w:rsidP="00E8336B">
      <w:pPr>
        <w:spacing w:after="0" w:line="240" w:lineRule="auto"/>
        <w:ind w:firstLine="709"/>
        <w:jc w:val="both"/>
        <w:rPr>
          <w:rFonts w:ascii="Times New Roman" w:eastAsia="Arial" w:hAnsi="Times New Roman" w:cs="Times New Roman"/>
          <w:sz w:val="24"/>
          <w:szCs w:val="24"/>
        </w:rPr>
      </w:pPr>
      <w:r w:rsidRPr="00E8336B">
        <w:rPr>
          <w:rFonts w:ascii="Times New Roman" w:eastAsia="Arial" w:hAnsi="Times New Roman" w:cs="Times New Roman"/>
          <w:sz w:val="24"/>
          <w:szCs w:val="24"/>
        </w:rPr>
        <w:t>Matos e Machado (2006) afirmam que mulheres e homens, no mesmo posto de trabalho, recebem remunerações diferentes, e que embora as mulheres possuam em média mais anos de estudo, inserem-se em atividades ditas “femininas” (localizadas na base da pirâmide salarial). Soares e Oliveira (2004) concordam com os autores, e complementam que as atividades da base da pirâmide (ditas “femininas”), corresponde a empregos domésticos, prestação de serviços pessoais, entre outros.</w:t>
      </w:r>
    </w:p>
    <w:p w14:paraId="19922FFD" w14:textId="77777777" w:rsidR="00E8336B" w:rsidRPr="00E8336B" w:rsidRDefault="00E8336B" w:rsidP="00E8336B">
      <w:pPr>
        <w:spacing w:after="0" w:line="240" w:lineRule="auto"/>
        <w:ind w:firstLine="709"/>
        <w:jc w:val="both"/>
        <w:rPr>
          <w:rFonts w:ascii="Times New Roman" w:eastAsia="Arial" w:hAnsi="Times New Roman" w:cs="Times New Roman"/>
          <w:sz w:val="24"/>
          <w:szCs w:val="24"/>
        </w:rPr>
      </w:pPr>
      <w:r w:rsidRPr="00E8336B">
        <w:rPr>
          <w:rFonts w:ascii="Times New Roman" w:eastAsia="Arial" w:hAnsi="Times New Roman" w:cs="Times New Roman"/>
          <w:sz w:val="24"/>
          <w:szCs w:val="24"/>
        </w:rPr>
        <w:t>A partir da década de 1970, a participação da mão de obra feminina no mercado de trabalho aumentou consideravelmente, atividades anteriormente desenvolvidas apenas pelos homens, passaram a ser desenvolvidas pelas mulheres, que até então se restringiam aos afazeres domésticos e aos cuidados com os filhos. (GULARTE; BEZERRA; PINTO; 2013). Embora a participação feminina no mercado de trabalho tenha aumentado e o diferencial de rendimentos entre homens e mulheres tenha reduzido, ainda é considerável. Os homens ganham, em média, 60% a mais do que as mulheres (MACHADO; OLIVEIRA; WAJNMAN, 2005).</w:t>
      </w:r>
    </w:p>
    <w:p w14:paraId="1847B94E" w14:textId="77777777" w:rsidR="00E8336B" w:rsidRPr="00E8336B" w:rsidRDefault="00E8336B" w:rsidP="00E8336B">
      <w:pPr>
        <w:spacing w:after="0" w:line="240" w:lineRule="auto"/>
        <w:ind w:firstLine="709"/>
        <w:jc w:val="both"/>
        <w:rPr>
          <w:rFonts w:ascii="Times New Roman" w:hAnsi="Times New Roman" w:cs="Times New Roman"/>
          <w:sz w:val="24"/>
          <w:szCs w:val="24"/>
        </w:rPr>
      </w:pPr>
      <w:r w:rsidRPr="00E8336B">
        <w:rPr>
          <w:rFonts w:ascii="Times New Roman" w:eastAsia="Arial" w:hAnsi="Times New Roman" w:cs="Times New Roman"/>
          <w:sz w:val="24"/>
          <w:szCs w:val="24"/>
        </w:rPr>
        <w:t>Um estudo pioneiro realizado no Brasil em 1989 demonstra que os salários dos homens eram em média 58,38% maiores que o das mulheres. Além disso, constatam que, quando controles são adicionados para tentar explicar esse diferencial, ele permanece constante. (CAVALIERI; FERNANDES, 1998)</w:t>
      </w:r>
    </w:p>
    <w:p w14:paraId="129CA840" w14:textId="77777777" w:rsidR="00E8336B" w:rsidRPr="00E8336B" w:rsidRDefault="00E8336B" w:rsidP="00E8336B">
      <w:pPr>
        <w:spacing w:after="0" w:line="240" w:lineRule="auto"/>
        <w:ind w:firstLine="709"/>
        <w:jc w:val="both"/>
        <w:rPr>
          <w:rFonts w:ascii="Times New Roman" w:hAnsi="Times New Roman" w:cs="Times New Roman"/>
          <w:sz w:val="24"/>
          <w:szCs w:val="24"/>
        </w:rPr>
      </w:pPr>
      <w:r w:rsidRPr="00E8336B">
        <w:rPr>
          <w:rFonts w:ascii="Times New Roman" w:eastAsia="Arial" w:hAnsi="Times New Roman" w:cs="Times New Roman"/>
          <w:color w:val="E36C0A"/>
          <w:sz w:val="24"/>
          <w:szCs w:val="24"/>
        </w:rPr>
        <w:t xml:space="preserve">Leme e </w:t>
      </w:r>
      <w:proofErr w:type="spellStart"/>
      <w:r w:rsidRPr="00E8336B">
        <w:rPr>
          <w:rFonts w:ascii="Times New Roman" w:eastAsia="Arial" w:hAnsi="Times New Roman" w:cs="Times New Roman"/>
          <w:color w:val="E36C0A"/>
          <w:sz w:val="24"/>
          <w:szCs w:val="24"/>
        </w:rPr>
        <w:t>Wajnman</w:t>
      </w:r>
      <w:proofErr w:type="spellEnd"/>
      <w:r w:rsidRPr="00E8336B">
        <w:rPr>
          <w:rFonts w:ascii="Times New Roman" w:eastAsia="Arial" w:hAnsi="Times New Roman" w:cs="Times New Roman"/>
          <w:color w:val="E36C0A"/>
          <w:sz w:val="24"/>
          <w:szCs w:val="24"/>
        </w:rPr>
        <w:t xml:space="preserve"> (2000), estudando as coortes de 1952 e de 1962, observadas entre os anos de 1977 e 1997, concluem, por meio de uma análise de decomposição, que nas duas coortes o diferencial de salários ocorre principalmente devido à discriminação. A </w:t>
      </w:r>
      <w:commentRangeStart w:id="2"/>
      <w:r w:rsidRPr="00E8336B">
        <w:rPr>
          <w:rFonts w:ascii="Times New Roman" w:eastAsia="Arial" w:hAnsi="Times New Roman" w:cs="Times New Roman"/>
          <w:color w:val="E36C0A"/>
          <w:sz w:val="24"/>
          <w:szCs w:val="24"/>
        </w:rPr>
        <w:t>diferença</w:t>
      </w:r>
      <w:commentRangeEnd w:id="2"/>
      <w:r w:rsidRPr="00E8336B">
        <w:rPr>
          <w:rStyle w:val="Refdecomentrio"/>
          <w:rFonts w:ascii="Times New Roman" w:hAnsi="Times New Roman" w:cs="Times New Roman"/>
          <w:sz w:val="24"/>
          <w:szCs w:val="24"/>
        </w:rPr>
        <w:commentReference w:id="2"/>
      </w:r>
      <w:r w:rsidRPr="00E8336B">
        <w:rPr>
          <w:rFonts w:ascii="Times New Roman" w:eastAsia="Arial" w:hAnsi="Times New Roman" w:cs="Times New Roman"/>
          <w:color w:val="E36C0A"/>
          <w:sz w:val="24"/>
          <w:szCs w:val="24"/>
        </w:rPr>
        <w:t xml:space="preserve"> encontrada entre os salários dos homens e das mulheres na coorte de 1952 é de 38%, enquanto que na de 1962 é de 21%. Contudo, se apenas as características determinassem os salários, os homens ganhariam 21% (nascidos em 1952) e 18,3% (nascidos em 1962) a menos do que as mulheres. Entretanto, as autoras ressaltam que o componente de discriminação pode estar sendo superestimado devido à má captação de atributos produtivos por parte das variáveis de escolaridade e idade, por exemplo, ou subestimado, devido a certos tipos de discriminação, </w:t>
      </w:r>
      <w:r w:rsidRPr="00E8336B">
        <w:rPr>
          <w:rFonts w:ascii="Times New Roman" w:eastAsia="Arial" w:hAnsi="Times New Roman" w:cs="Times New Roman"/>
          <w:color w:val="E36C0A"/>
          <w:sz w:val="24"/>
          <w:szCs w:val="24"/>
        </w:rPr>
        <w:lastRenderedPageBreak/>
        <w:t xml:space="preserve">como a cultural (que pode afetar a escolaridade das mulheres) e a </w:t>
      </w:r>
      <w:proofErr w:type="spellStart"/>
      <w:r w:rsidRPr="00E8336B">
        <w:rPr>
          <w:rFonts w:ascii="Times New Roman" w:eastAsia="Arial" w:hAnsi="Times New Roman" w:cs="Times New Roman"/>
          <w:color w:val="E36C0A"/>
          <w:sz w:val="24"/>
          <w:szCs w:val="24"/>
        </w:rPr>
        <w:t>alocativa</w:t>
      </w:r>
      <w:proofErr w:type="spellEnd"/>
      <w:r w:rsidRPr="00E8336B">
        <w:rPr>
          <w:rFonts w:ascii="Times New Roman" w:eastAsia="Arial" w:hAnsi="Times New Roman" w:cs="Times New Roman"/>
          <w:color w:val="E36C0A"/>
          <w:sz w:val="24"/>
          <w:szCs w:val="24"/>
        </w:rPr>
        <w:t xml:space="preserve"> (que afeta o setor e a ocupação em que as mulheres se encontram).</w:t>
      </w:r>
    </w:p>
    <w:p w14:paraId="1EEF5A98" w14:textId="77777777" w:rsidR="00E8336B" w:rsidRPr="00E8336B" w:rsidRDefault="00E8336B" w:rsidP="00E8336B">
      <w:pPr>
        <w:spacing w:after="0" w:line="240" w:lineRule="auto"/>
        <w:ind w:firstLine="709"/>
        <w:jc w:val="both"/>
        <w:rPr>
          <w:rFonts w:ascii="Times New Roman" w:hAnsi="Times New Roman" w:cs="Times New Roman"/>
          <w:sz w:val="24"/>
          <w:szCs w:val="24"/>
        </w:rPr>
      </w:pPr>
      <w:r w:rsidRPr="00E8336B">
        <w:rPr>
          <w:rFonts w:ascii="Times New Roman" w:eastAsia="Arial" w:hAnsi="Times New Roman" w:cs="Times New Roman"/>
          <w:sz w:val="24"/>
          <w:szCs w:val="24"/>
        </w:rPr>
        <w:t xml:space="preserve">O relatório publicado pelo Banco Mundial (2019) intitulado </w:t>
      </w:r>
      <w:proofErr w:type="spellStart"/>
      <w:r w:rsidRPr="00E8336B">
        <w:rPr>
          <w:rFonts w:ascii="Times New Roman" w:eastAsia="Arial" w:hAnsi="Times New Roman" w:cs="Times New Roman"/>
          <w:i/>
          <w:iCs/>
          <w:sz w:val="24"/>
          <w:szCs w:val="24"/>
        </w:rPr>
        <w:t>Women</w:t>
      </w:r>
      <w:proofErr w:type="spellEnd"/>
      <w:r w:rsidRPr="00E8336B">
        <w:rPr>
          <w:rFonts w:ascii="Times New Roman" w:eastAsia="Arial" w:hAnsi="Times New Roman" w:cs="Times New Roman"/>
          <w:i/>
          <w:iCs/>
          <w:sz w:val="24"/>
          <w:szCs w:val="24"/>
        </w:rPr>
        <w:t xml:space="preserve">, Business </w:t>
      </w:r>
      <w:proofErr w:type="spellStart"/>
      <w:r w:rsidRPr="00E8336B">
        <w:rPr>
          <w:rFonts w:ascii="Times New Roman" w:eastAsia="Arial" w:hAnsi="Times New Roman" w:cs="Times New Roman"/>
          <w:i/>
          <w:iCs/>
          <w:sz w:val="24"/>
          <w:szCs w:val="24"/>
        </w:rPr>
        <w:t>and</w:t>
      </w:r>
      <w:proofErr w:type="spellEnd"/>
      <w:r w:rsidRPr="00E8336B">
        <w:rPr>
          <w:rFonts w:ascii="Times New Roman" w:eastAsia="Arial" w:hAnsi="Times New Roman" w:cs="Times New Roman"/>
          <w:i/>
          <w:iCs/>
          <w:sz w:val="24"/>
          <w:szCs w:val="24"/>
        </w:rPr>
        <w:t xml:space="preserve"> </w:t>
      </w:r>
      <w:proofErr w:type="spellStart"/>
      <w:r w:rsidRPr="00E8336B">
        <w:rPr>
          <w:rFonts w:ascii="Times New Roman" w:eastAsia="Arial" w:hAnsi="Times New Roman" w:cs="Times New Roman"/>
          <w:i/>
          <w:iCs/>
          <w:sz w:val="24"/>
          <w:szCs w:val="24"/>
        </w:rPr>
        <w:t>the</w:t>
      </w:r>
      <w:proofErr w:type="spellEnd"/>
      <w:r w:rsidRPr="00E8336B">
        <w:rPr>
          <w:rFonts w:ascii="Times New Roman" w:eastAsia="Arial" w:hAnsi="Times New Roman" w:cs="Times New Roman"/>
          <w:i/>
          <w:iCs/>
          <w:sz w:val="24"/>
          <w:szCs w:val="24"/>
        </w:rPr>
        <w:t xml:space="preserve"> Law</w:t>
      </w:r>
      <w:r w:rsidRPr="00E8336B">
        <w:rPr>
          <w:rFonts w:ascii="Times New Roman" w:eastAsia="Arial" w:hAnsi="Times New Roman" w:cs="Times New Roman"/>
          <w:sz w:val="24"/>
          <w:szCs w:val="24"/>
        </w:rPr>
        <w:t xml:space="preserve"> 2019, apresenta um grande progresso quanto à igualdade de gênero na última década, a partir de mudanças nas leis. Ao longo dos últimos dez anos, 187 economias foram avaliadas. Seis economias representam condições igualitárias entre homens e mulheres, sendo elas: Bélgica, Dinamarca, França, Letónia e Luxemburgo, somando 100 pontos nas avaliações, com oito indicadores diferentes avaliados. Este relatório propõe uma visão mais abrangente quanto as possíveis diferenças de gênero existentes, ultrapassando as análises de discriminação.</w:t>
      </w:r>
    </w:p>
    <w:p w14:paraId="5F734DA9" w14:textId="77777777" w:rsidR="00E8336B" w:rsidRPr="00E8336B" w:rsidRDefault="00E8336B" w:rsidP="00E8336B">
      <w:pPr>
        <w:spacing w:after="0" w:line="240" w:lineRule="auto"/>
        <w:ind w:firstLine="709"/>
        <w:jc w:val="both"/>
        <w:rPr>
          <w:rFonts w:ascii="Times New Roman" w:eastAsia="Arial" w:hAnsi="Times New Roman" w:cs="Times New Roman"/>
          <w:sz w:val="24"/>
          <w:szCs w:val="24"/>
        </w:rPr>
      </w:pPr>
      <w:r w:rsidRPr="00E8336B">
        <w:rPr>
          <w:rFonts w:ascii="Times New Roman" w:eastAsia="Arial" w:hAnsi="Times New Roman" w:cs="Times New Roman"/>
          <w:sz w:val="24"/>
          <w:szCs w:val="24"/>
        </w:rPr>
        <w:t>Outra maneira de buscar compreender a razão das possíveis diferenças salariais é realizar uma análise quanto às desigualdades raciais. Ao realizar uma análise quanto às desigualdades raciais por cor, é possível verificar que os não brancos possuem uma média de estudo menor, e estão inseridos em piores postos de trabalho em relação aos brancos. Sob essa perspectiva, as mulheres não brancas sofrem dupla discriminação, a de ser mulher e não branca, encontrando obstáculos para ingressar no mercado de trabalho. Pesquisas realizadas ao longo dos últimos anos apontam que a mulher não branca tem um nível de escolaridade menor, uma carga horária maior e rendimento menor (COSTA, 2007).  Muitos negros por entrar precocemente no mercado de trabalho, acabam abandonando seus estudos. Em contrapartida, os brancos por ingressar mais tarde no mercado de trabalho, podem se dedicar ao processo de formação conseguindo melhores postos, gerando desigualdades entre negros e não negros. (HENRIQUES, 2001).</w:t>
      </w:r>
    </w:p>
    <w:p w14:paraId="6577416E" w14:textId="77777777" w:rsidR="00E8336B" w:rsidRPr="00E8336B" w:rsidRDefault="00E8336B" w:rsidP="00E8336B">
      <w:pPr>
        <w:spacing w:after="0" w:line="240" w:lineRule="auto"/>
        <w:ind w:firstLine="709"/>
        <w:jc w:val="both"/>
        <w:rPr>
          <w:rFonts w:ascii="Times New Roman" w:eastAsia="Arial" w:hAnsi="Times New Roman" w:cs="Times New Roman"/>
          <w:sz w:val="24"/>
          <w:szCs w:val="24"/>
        </w:rPr>
      </w:pPr>
      <w:r w:rsidRPr="00E8336B">
        <w:rPr>
          <w:rFonts w:ascii="Times New Roman" w:eastAsia="Arial" w:hAnsi="Times New Roman" w:cs="Times New Roman"/>
          <w:sz w:val="24"/>
          <w:szCs w:val="24"/>
        </w:rPr>
        <w:t xml:space="preserve">Em relação aos rendimentos auferidos entre homens brancos e negros, há uma diferença significativa, de modo que os brancos recebem rendimentos superiores aos negros. Quanto às mulheres negras, essa diferença apresenta-se de forma mais significativa, sendo o grupo que recebe menos em qualquer contexto. (DIEESE, 2001; EHRENBERG; SMITH, 2000). Em relação </w:t>
      </w:r>
      <w:commentRangeStart w:id="3"/>
      <w:r w:rsidRPr="00E8336B">
        <w:rPr>
          <w:rFonts w:ascii="Times New Roman" w:eastAsia="Arial" w:hAnsi="Times New Roman" w:cs="Times New Roman"/>
          <w:sz w:val="24"/>
          <w:szCs w:val="24"/>
        </w:rPr>
        <w:t>à</w:t>
      </w:r>
      <w:commentRangeEnd w:id="3"/>
      <w:r w:rsidRPr="00E8336B">
        <w:rPr>
          <w:rStyle w:val="Refdecomentrio"/>
          <w:rFonts w:ascii="Times New Roman" w:hAnsi="Times New Roman" w:cs="Times New Roman"/>
          <w:sz w:val="24"/>
          <w:szCs w:val="24"/>
        </w:rPr>
        <w:commentReference w:id="3"/>
      </w:r>
      <w:r w:rsidRPr="00E8336B">
        <w:rPr>
          <w:rFonts w:ascii="Times New Roman" w:eastAsia="Arial" w:hAnsi="Times New Roman" w:cs="Times New Roman"/>
          <w:sz w:val="24"/>
          <w:szCs w:val="24"/>
        </w:rPr>
        <w:t xml:space="preserve"> taxa de desemprego no Brasil, é possível constatar que é maior para homens negros e mulheres negras, em comparação à dos homens e mulheres brancas. (EHRENBERG; SMITH, 2000).</w:t>
      </w:r>
    </w:p>
    <w:p w14:paraId="2B160E86" w14:textId="77777777" w:rsidR="00E8336B" w:rsidRPr="00E8336B" w:rsidRDefault="00E8336B" w:rsidP="00E8336B">
      <w:pPr>
        <w:spacing w:after="0" w:line="240" w:lineRule="auto"/>
        <w:ind w:firstLine="709"/>
        <w:jc w:val="both"/>
        <w:rPr>
          <w:rFonts w:ascii="Times New Roman" w:eastAsia="Arial" w:hAnsi="Times New Roman" w:cs="Times New Roman"/>
          <w:sz w:val="24"/>
          <w:szCs w:val="24"/>
        </w:rPr>
      </w:pPr>
      <w:r w:rsidRPr="00E8336B">
        <w:rPr>
          <w:rFonts w:ascii="Times New Roman" w:eastAsia="Arial" w:hAnsi="Times New Roman" w:cs="Times New Roman"/>
          <w:sz w:val="24"/>
          <w:szCs w:val="24"/>
        </w:rPr>
        <w:t>De acordo com dados do Censo de 2010, trabalhadores com ensino superior completo representam cerca de 15% dos ocupados no mercado de trabalho brasileiro. Importante ressaltar que indivíduos com um nível de qualificação mais elevado (ensino superior completo), auferem salários três vezes maiores comparados aos indivíduos sem nível superior. O curso superior escolhido pode influenciar nos rendimentos recebidos. Outra constatação importante foi que uma parcela relativa de trabalhadores com ensino superior atua em ocupações não relacionadas à sua formação, esses indivíduos normalmente recebem rendimentos menores em relação a sua área de formação. Sendo mais visível quando a ocupação não exige nível superior.  Esses dois fatores contribuem para a desigualdade de rendimento entre os indivíduos com nível superior. (REIS; MACHADO, 2016)</w:t>
      </w:r>
    </w:p>
    <w:p w14:paraId="0838044C" w14:textId="77777777" w:rsidR="00E8336B" w:rsidRPr="00E8336B" w:rsidRDefault="00E8336B" w:rsidP="00E8336B">
      <w:pPr>
        <w:spacing w:after="0" w:line="240" w:lineRule="auto"/>
        <w:ind w:firstLine="709"/>
        <w:jc w:val="both"/>
        <w:rPr>
          <w:rFonts w:ascii="Times New Roman" w:eastAsia="Arial" w:hAnsi="Times New Roman" w:cs="Times New Roman"/>
          <w:sz w:val="24"/>
          <w:szCs w:val="24"/>
        </w:rPr>
      </w:pPr>
      <w:r w:rsidRPr="00E8336B">
        <w:rPr>
          <w:rFonts w:ascii="Times New Roman" w:eastAsia="Arial" w:hAnsi="Times New Roman" w:cs="Times New Roman"/>
          <w:sz w:val="24"/>
          <w:szCs w:val="24"/>
        </w:rPr>
        <w:t>Diferenças entre os rendimentos de trabalho por área de formação no ensino superior são bem documentadas na literatura Internacional e Nacional. Em geral, os resultados demonstram que pessoas com formação nas áreas de engenharia e ciências normalmente auferem rendimentos mais elevados em relação aos indivíduos com formação nas áreas de ciências sociais e humanidades e artes. (REIS; MACHADO, 2016)</w:t>
      </w:r>
    </w:p>
    <w:p w14:paraId="68099460" w14:textId="77777777" w:rsidR="00E8336B" w:rsidRPr="00E8336B" w:rsidRDefault="00E8336B" w:rsidP="00E8336B">
      <w:pPr>
        <w:spacing w:after="0" w:line="240" w:lineRule="auto"/>
        <w:ind w:firstLine="709"/>
        <w:jc w:val="both"/>
        <w:rPr>
          <w:rFonts w:ascii="Times New Roman" w:eastAsia="Arial" w:hAnsi="Times New Roman" w:cs="Times New Roman"/>
          <w:sz w:val="24"/>
          <w:szCs w:val="24"/>
        </w:rPr>
      </w:pPr>
      <w:r w:rsidRPr="00E8336B">
        <w:rPr>
          <w:rFonts w:ascii="Times New Roman" w:eastAsia="Arial" w:hAnsi="Times New Roman" w:cs="Times New Roman"/>
          <w:sz w:val="24"/>
          <w:szCs w:val="24"/>
        </w:rPr>
        <w:t xml:space="preserve">Quando realizado uma análise da diferença de rendimentos médios auferidos entre homens e mulheres no agronegócio, é possível constatar uma diferença salarial de 27% em favor a mão de obra masculina, representando R$227,25 no ano de 2014/15 ante a R$149,04 em 2004/05. Embora a mão de obra masculina tenha seu perfil pautado no segmento primário ou “dentro da porteira”, a mão de obra feminina concentra-se em atividades agroindustriais e </w:t>
      </w:r>
      <w:proofErr w:type="spellStart"/>
      <w:r w:rsidRPr="00E8336B">
        <w:rPr>
          <w:rFonts w:ascii="Times New Roman" w:eastAsia="Arial" w:hAnsi="Times New Roman" w:cs="Times New Roman"/>
          <w:sz w:val="24"/>
          <w:szCs w:val="24"/>
        </w:rPr>
        <w:t>agrosserviços</w:t>
      </w:r>
      <w:proofErr w:type="spellEnd"/>
      <w:r w:rsidRPr="00E8336B">
        <w:rPr>
          <w:rFonts w:ascii="Times New Roman" w:eastAsia="Arial" w:hAnsi="Times New Roman" w:cs="Times New Roman"/>
          <w:sz w:val="24"/>
          <w:szCs w:val="24"/>
        </w:rPr>
        <w:t xml:space="preserve">. Apesar da mão de obra feminina apresentar em média, alguns atributos que fundamentam a existência de um rendimento médio superior ao dos homens (referente a </w:t>
      </w:r>
      <w:r w:rsidRPr="00E8336B">
        <w:rPr>
          <w:rFonts w:ascii="Times New Roman" w:eastAsia="Arial" w:hAnsi="Times New Roman" w:cs="Times New Roman"/>
          <w:sz w:val="24"/>
          <w:szCs w:val="24"/>
        </w:rPr>
        <w:lastRenderedPageBreak/>
        <w:t>instrução, classificação de ocupação e regiões de domicílio), recebem um salário inferior. (CEPEA, 2019). Um estudo realizado pelo Centro de Estudos do Agronegócio da Fundação Getúlio Vargas enfatiza que as mulheres recebem cerca de 78,3% em relação ao que é pago aos homens.</w:t>
      </w:r>
    </w:p>
    <w:p w14:paraId="528E0CA0" w14:textId="77777777" w:rsidR="00E8336B" w:rsidRPr="00E8336B" w:rsidRDefault="00E8336B" w:rsidP="00E8336B">
      <w:pPr>
        <w:spacing w:after="0" w:line="240" w:lineRule="auto"/>
        <w:ind w:firstLine="709"/>
        <w:jc w:val="both"/>
        <w:rPr>
          <w:rFonts w:ascii="Times New Roman" w:eastAsia="Arial" w:hAnsi="Times New Roman" w:cs="Times New Roman"/>
          <w:sz w:val="24"/>
          <w:szCs w:val="24"/>
        </w:rPr>
      </w:pPr>
      <w:r w:rsidRPr="00E8336B">
        <w:rPr>
          <w:rFonts w:ascii="Times New Roman" w:eastAsia="Arial" w:hAnsi="Times New Roman" w:cs="Times New Roman"/>
          <w:sz w:val="24"/>
          <w:szCs w:val="24"/>
        </w:rPr>
        <w:t>Em relação às diferenças de rendimentos existentes entre mulheres ocupadas no agronegócio e aquelas atuando em outros setores da economia, identificou-se um aumento das diferenças de rendimento de 37,07% (R$364,88) no período de 2014/15 ante 2004/05. Essa diferença deve-se ao fato das mulheres do agronegócio apresentar um grau de instrução menor, ocupar posições de emprego, classificação de ocupação e exercer atividades que pagam salários inferiores em relação aos demais setores da economia. O fato de residirem em regiões com média salarial mais baixa, também assume importância. No agronegócio, 44,01% da mão de obra feminina está vinculada ao caráter agrícola, com menor rendimento médio. (CEPEA, 2019)</w:t>
      </w:r>
    </w:p>
    <w:p w14:paraId="2E874997" w14:textId="77777777" w:rsidR="00E8336B" w:rsidRPr="00E8336B" w:rsidRDefault="00E8336B" w:rsidP="00E8336B">
      <w:pPr>
        <w:spacing w:after="0" w:line="240" w:lineRule="auto"/>
        <w:ind w:firstLine="709"/>
        <w:jc w:val="both"/>
        <w:rPr>
          <w:rFonts w:ascii="Times New Roman" w:hAnsi="Times New Roman" w:cs="Times New Roman"/>
          <w:sz w:val="24"/>
          <w:szCs w:val="24"/>
        </w:rPr>
      </w:pPr>
      <w:r w:rsidRPr="00E8336B">
        <w:rPr>
          <w:rFonts w:ascii="Times New Roman" w:hAnsi="Times New Roman" w:cs="Times New Roman"/>
          <w:sz w:val="24"/>
          <w:szCs w:val="24"/>
        </w:rPr>
        <w:br/>
      </w:r>
      <w:r w:rsidRPr="00E8336B">
        <w:rPr>
          <w:rFonts w:ascii="Times New Roman" w:eastAsia="Arial" w:hAnsi="Times New Roman" w:cs="Times New Roman"/>
          <w:b/>
          <w:bCs/>
          <w:color w:val="FF0000"/>
          <w:sz w:val="24"/>
          <w:szCs w:val="24"/>
        </w:rPr>
        <w:t>PARTE 2</w:t>
      </w:r>
    </w:p>
    <w:p w14:paraId="171EFC2D" w14:textId="77777777" w:rsidR="00E8336B" w:rsidRPr="00E8336B" w:rsidRDefault="00E8336B" w:rsidP="00E8336B">
      <w:pPr>
        <w:spacing w:after="0" w:line="240" w:lineRule="auto"/>
        <w:ind w:firstLine="709"/>
        <w:jc w:val="both"/>
        <w:rPr>
          <w:rFonts w:ascii="Times New Roman" w:eastAsia="Arial" w:hAnsi="Times New Roman" w:cs="Times New Roman"/>
          <w:sz w:val="24"/>
          <w:szCs w:val="24"/>
        </w:rPr>
      </w:pPr>
      <w:r w:rsidRPr="00E8336B">
        <w:rPr>
          <w:rFonts w:ascii="Times New Roman" w:eastAsia="Arial" w:hAnsi="Times New Roman" w:cs="Times New Roman"/>
          <w:sz w:val="24"/>
          <w:szCs w:val="24"/>
        </w:rPr>
        <w:t xml:space="preserve">Um relatório realizado no período de 2001-2013 analisa sob diferentes aspectos o mercado de trabalho do Rio Grande do Sul, realizando um comparativo do perfil do trabalhador médio, extensão de renda e disponibilidade de mão de obra gaúcha em relação ao Brasil. As análises foram baseadas em dados oficiais do Ministério do Trabalho e Emprego (MTE), através da Relação Anual de Informações Sociais (RAIS) e do Instituto Brasileiros de Geografia e Estatística (IBGE), através da Pesquisa </w:t>
      </w:r>
      <w:commentRangeStart w:id="4"/>
      <w:r w:rsidRPr="00E8336B">
        <w:rPr>
          <w:rFonts w:ascii="Times New Roman" w:eastAsia="Arial" w:hAnsi="Times New Roman" w:cs="Times New Roman"/>
          <w:sz w:val="24"/>
          <w:szCs w:val="24"/>
        </w:rPr>
        <w:t>Nacional</w:t>
      </w:r>
      <w:commentRangeEnd w:id="4"/>
      <w:r w:rsidRPr="00E8336B">
        <w:rPr>
          <w:rStyle w:val="Refdecomentrio"/>
          <w:rFonts w:ascii="Times New Roman" w:hAnsi="Times New Roman" w:cs="Times New Roman"/>
          <w:sz w:val="24"/>
          <w:szCs w:val="24"/>
        </w:rPr>
        <w:commentReference w:id="4"/>
      </w:r>
      <w:r w:rsidRPr="00E8336B">
        <w:rPr>
          <w:rFonts w:ascii="Times New Roman" w:eastAsia="Arial" w:hAnsi="Times New Roman" w:cs="Times New Roman"/>
          <w:sz w:val="24"/>
          <w:szCs w:val="24"/>
        </w:rPr>
        <w:t xml:space="preserve"> por Amostra de Domicílios (PNAD) e da Pesquisa Mensal de Emprego (PME). (STEIN; </w:t>
      </w:r>
      <w:proofErr w:type="gramStart"/>
      <w:r w:rsidRPr="00E8336B">
        <w:rPr>
          <w:rFonts w:ascii="Times New Roman" w:eastAsia="Arial" w:hAnsi="Times New Roman" w:cs="Times New Roman"/>
          <w:sz w:val="24"/>
          <w:szCs w:val="24"/>
        </w:rPr>
        <w:t>SULZBACH ;</w:t>
      </w:r>
      <w:proofErr w:type="gramEnd"/>
      <w:r w:rsidRPr="00E8336B">
        <w:rPr>
          <w:rFonts w:ascii="Times New Roman" w:eastAsia="Arial" w:hAnsi="Times New Roman" w:cs="Times New Roman"/>
          <w:sz w:val="24"/>
          <w:szCs w:val="24"/>
        </w:rPr>
        <w:t xml:space="preserve"> BARTELS, 2015).</w:t>
      </w:r>
    </w:p>
    <w:p w14:paraId="1ABD076B" w14:textId="77777777" w:rsidR="00E8336B" w:rsidRPr="00E8336B" w:rsidRDefault="00E8336B" w:rsidP="00E8336B">
      <w:pPr>
        <w:spacing w:after="0" w:line="240" w:lineRule="auto"/>
        <w:ind w:firstLine="709"/>
        <w:jc w:val="both"/>
        <w:rPr>
          <w:rFonts w:ascii="Times New Roman" w:eastAsia="Arial" w:hAnsi="Times New Roman" w:cs="Times New Roman"/>
          <w:sz w:val="24"/>
          <w:szCs w:val="24"/>
        </w:rPr>
      </w:pPr>
      <w:r w:rsidRPr="00E8336B">
        <w:rPr>
          <w:rFonts w:ascii="Times New Roman" w:eastAsia="Arial" w:hAnsi="Times New Roman" w:cs="Times New Roman"/>
          <w:sz w:val="24"/>
          <w:szCs w:val="24"/>
        </w:rPr>
        <w:t xml:space="preserve">Em dezembro de 2013, foram registrados no Rio Grande do Sul, 3,1 milhões de trabalhadores com emprego formal, dos quais 67,5% concentravam-se no setor de serviços (2.1 milhões), 29,8% na indústria (920 mil) e 2,7% na agropecuária (83,6 mil). Parte desses empregos está alocada em quatro Conselhos Regionais de Desenvolvimento </w:t>
      </w:r>
      <w:r w:rsidRPr="00E8336B">
        <w:rPr>
          <w:rFonts w:ascii="Times New Roman" w:hAnsi="Times New Roman" w:cs="Times New Roman"/>
          <w:sz w:val="24"/>
          <w:szCs w:val="24"/>
        </w:rPr>
        <w:t>(</w:t>
      </w:r>
      <w:proofErr w:type="spellStart"/>
      <w:r w:rsidRPr="00E8336B">
        <w:rPr>
          <w:rFonts w:ascii="Times New Roman" w:hAnsi="Times New Roman" w:cs="Times New Roman"/>
          <w:sz w:val="24"/>
          <w:szCs w:val="24"/>
        </w:rPr>
        <w:t>COREDEs</w:t>
      </w:r>
      <w:proofErr w:type="spellEnd"/>
      <w:r w:rsidRPr="00E8336B">
        <w:rPr>
          <w:rFonts w:ascii="Times New Roman" w:hAnsi="Times New Roman" w:cs="Times New Roman"/>
          <w:sz w:val="24"/>
          <w:szCs w:val="24"/>
        </w:rPr>
        <w:t xml:space="preserve">) sendo eles: Metropolitano Delta do Jacuí (31,5%), Vale do Rio dos Sinos (12,6%), Serra (11,2%) e Sul (5,7%) que totalizam 61,1% do total de emprego. Sua concentração tem relação com a estrutura produtiva do estado, que correspondeu em 2012 a 58,3% do PIB estadual. A distribuição do emprego formal no setor de serviços concentra-se no COREDE Metropolitano Delta do Jacuí, com 38,7% dos empregos do Estado. Já a indústria concentra-se em três regiões, sendo destaques no total da economia, Serra (19,2%), Metropolitano Delta do Jacuí (17,9%) e Vale do Rio dos Sinos (17,5). A agropecuária caracteriza-se por ser um pouco mais homogênea, tendo como destaque os COREDES Fronteira Oeste (17,2% do total), Sul (10,9%) e Campos de Cima da Serra (10,1%). Além dessas regiões, outras cinco participam com mais de 4,5% do total (Campanha, Alto Jacuí, Centro Sul, Metropolitano Delta do Jacuí e Serra). </w:t>
      </w:r>
      <w:r w:rsidRPr="00E8336B">
        <w:rPr>
          <w:rFonts w:ascii="Times New Roman" w:eastAsia="Arial" w:hAnsi="Times New Roman" w:cs="Times New Roman"/>
          <w:sz w:val="24"/>
          <w:szCs w:val="24"/>
        </w:rPr>
        <w:t xml:space="preserve">(STEIN; </w:t>
      </w:r>
      <w:proofErr w:type="gramStart"/>
      <w:r w:rsidRPr="00E8336B">
        <w:rPr>
          <w:rFonts w:ascii="Times New Roman" w:eastAsia="Arial" w:hAnsi="Times New Roman" w:cs="Times New Roman"/>
          <w:sz w:val="24"/>
          <w:szCs w:val="24"/>
        </w:rPr>
        <w:t>SULZBACH ;</w:t>
      </w:r>
      <w:proofErr w:type="gramEnd"/>
      <w:r w:rsidRPr="00E8336B">
        <w:rPr>
          <w:rFonts w:ascii="Times New Roman" w:eastAsia="Arial" w:hAnsi="Times New Roman" w:cs="Times New Roman"/>
          <w:sz w:val="24"/>
          <w:szCs w:val="24"/>
        </w:rPr>
        <w:t xml:space="preserve"> BARTELS, 2015).</w:t>
      </w:r>
    </w:p>
    <w:p w14:paraId="60D248C5" w14:textId="77777777" w:rsidR="00E8336B" w:rsidRPr="00E8336B" w:rsidRDefault="00E8336B" w:rsidP="00E8336B">
      <w:pPr>
        <w:spacing w:after="0" w:line="240" w:lineRule="auto"/>
        <w:ind w:firstLine="709"/>
        <w:jc w:val="both"/>
        <w:rPr>
          <w:rFonts w:ascii="Times New Roman" w:hAnsi="Times New Roman" w:cs="Times New Roman"/>
          <w:sz w:val="24"/>
          <w:szCs w:val="24"/>
        </w:rPr>
      </w:pPr>
    </w:p>
    <w:p w14:paraId="7E3E908B" w14:textId="77777777" w:rsidR="00E8336B" w:rsidRPr="00E8336B" w:rsidRDefault="00E8336B" w:rsidP="00E8336B">
      <w:pPr>
        <w:spacing w:after="0" w:line="240" w:lineRule="auto"/>
        <w:ind w:firstLine="709"/>
        <w:jc w:val="both"/>
        <w:rPr>
          <w:rFonts w:ascii="Times New Roman" w:eastAsia="Arial" w:hAnsi="Times New Roman" w:cs="Times New Roman"/>
          <w:sz w:val="24"/>
          <w:szCs w:val="24"/>
        </w:rPr>
      </w:pPr>
      <w:r w:rsidRPr="00E8336B">
        <w:rPr>
          <w:rFonts w:ascii="Times New Roman" w:eastAsia="Arial" w:hAnsi="Times New Roman" w:cs="Times New Roman"/>
          <w:sz w:val="24"/>
          <w:szCs w:val="24"/>
        </w:rPr>
        <w:t xml:space="preserve">As características e o perfil médio do trabalhador gaúcho foram observados com base nos dados </w:t>
      </w:r>
      <w:r w:rsidRPr="00E8336B">
        <w:rPr>
          <w:rFonts w:ascii="Times New Roman" w:hAnsi="Times New Roman" w:cs="Times New Roman"/>
          <w:sz w:val="24"/>
          <w:szCs w:val="24"/>
        </w:rPr>
        <w:t xml:space="preserve">da Pesquisa Nacional por Amostra de Domicílios (PNAD) do IBGE, onde foram consideradas pessoas com idade superior a 15 anos e inferior a 65 anos, se percebeu que ele tornou-se mais velho entre 2001 e 2013, permanecendo com idade superior </w:t>
      </w:r>
      <w:proofErr w:type="spellStart"/>
      <w:r w:rsidRPr="00E8336B">
        <w:rPr>
          <w:rFonts w:ascii="Times New Roman" w:hAnsi="Times New Roman" w:cs="Times New Roman"/>
          <w:sz w:val="24"/>
          <w:szCs w:val="24"/>
        </w:rPr>
        <w:t>a</w:t>
      </w:r>
      <w:proofErr w:type="spellEnd"/>
      <w:r w:rsidRPr="00E8336B">
        <w:rPr>
          <w:rFonts w:ascii="Times New Roman" w:hAnsi="Times New Roman" w:cs="Times New Roman"/>
          <w:sz w:val="24"/>
          <w:szCs w:val="24"/>
        </w:rPr>
        <w:t xml:space="preserve"> média brasileira. </w:t>
      </w:r>
      <w:r w:rsidRPr="00E8336B">
        <w:rPr>
          <w:rFonts w:ascii="Times New Roman" w:eastAsia="Arial" w:hAnsi="Times New Roman" w:cs="Times New Roman"/>
          <w:sz w:val="24"/>
          <w:szCs w:val="24"/>
        </w:rPr>
        <w:t xml:space="preserve">(STEIN; </w:t>
      </w:r>
      <w:proofErr w:type="gramStart"/>
      <w:r w:rsidRPr="00E8336B">
        <w:rPr>
          <w:rFonts w:ascii="Times New Roman" w:eastAsia="Arial" w:hAnsi="Times New Roman" w:cs="Times New Roman"/>
          <w:sz w:val="24"/>
          <w:szCs w:val="24"/>
        </w:rPr>
        <w:t>SULZBACH ;</w:t>
      </w:r>
      <w:proofErr w:type="gramEnd"/>
      <w:r w:rsidRPr="00E8336B">
        <w:rPr>
          <w:rFonts w:ascii="Times New Roman" w:eastAsia="Arial" w:hAnsi="Times New Roman" w:cs="Times New Roman"/>
          <w:sz w:val="24"/>
          <w:szCs w:val="24"/>
        </w:rPr>
        <w:t xml:space="preserve"> BARTELS, 2015).</w:t>
      </w:r>
    </w:p>
    <w:p w14:paraId="413C22AD" w14:textId="77777777" w:rsidR="00E8336B" w:rsidRPr="00E8336B" w:rsidRDefault="00E8336B" w:rsidP="00E8336B">
      <w:pPr>
        <w:spacing w:after="0" w:line="240" w:lineRule="auto"/>
        <w:ind w:firstLine="709"/>
        <w:jc w:val="both"/>
        <w:rPr>
          <w:rFonts w:ascii="Times New Roman" w:eastAsia="Arial" w:hAnsi="Times New Roman" w:cs="Times New Roman"/>
          <w:sz w:val="24"/>
          <w:szCs w:val="24"/>
        </w:rPr>
      </w:pPr>
      <w:r w:rsidRPr="00E8336B">
        <w:rPr>
          <w:rFonts w:ascii="Times New Roman" w:eastAsia="Arial" w:hAnsi="Times New Roman" w:cs="Times New Roman"/>
          <w:sz w:val="24"/>
          <w:szCs w:val="24"/>
        </w:rPr>
        <w:t xml:space="preserve">A escolaridade do trabalhador médio gaúcho registrada em 2013, representou um aumento de 1,5 anos em relação a 2001, totalizando 10,5 anos. No Brasil, a escolaridade registrada em 2013 foi à mesma do Estado, porém com um avanço superior (1,9 anos em relação a 2001). (STEIN; </w:t>
      </w:r>
      <w:proofErr w:type="gramStart"/>
      <w:r w:rsidRPr="00E8336B">
        <w:rPr>
          <w:rFonts w:ascii="Times New Roman" w:eastAsia="Arial" w:hAnsi="Times New Roman" w:cs="Times New Roman"/>
          <w:sz w:val="24"/>
          <w:szCs w:val="24"/>
        </w:rPr>
        <w:t>SULZBACH ;</w:t>
      </w:r>
      <w:proofErr w:type="gramEnd"/>
      <w:r w:rsidRPr="00E8336B">
        <w:rPr>
          <w:rFonts w:ascii="Times New Roman" w:eastAsia="Arial" w:hAnsi="Times New Roman" w:cs="Times New Roman"/>
          <w:sz w:val="24"/>
          <w:szCs w:val="24"/>
        </w:rPr>
        <w:t xml:space="preserve"> BARTELS, 2015).</w:t>
      </w:r>
    </w:p>
    <w:p w14:paraId="3B0B1C31" w14:textId="77777777" w:rsidR="00E8336B" w:rsidRPr="00E8336B" w:rsidRDefault="00E8336B" w:rsidP="00E8336B">
      <w:pPr>
        <w:spacing w:after="0" w:line="240" w:lineRule="auto"/>
        <w:ind w:firstLine="709"/>
        <w:jc w:val="both"/>
        <w:rPr>
          <w:rFonts w:ascii="Times New Roman" w:eastAsia="Arial" w:hAnsi="Times New Roman" w:cs="Times New Roman"/>
          <w:sz w:val="24"/>
          <w:szCs w:val="24"/>
        </w:rPr>
      </w:pPr>
      <w:r w:rsidRPr="00E8336B">
        <w:rPr>
          <w:rFonts w:ascii="Times New Roman" w:hAnsi="Times New Roman" w:cs="Times New Roman"/>
          <w:sz w:val="24"/>
          <w:szCs w:val="24"/>
        </w:rPr>
        <w:t xml:space="preserve">O salário médio do trabalhador gaúcho representou um aumento 38,6% entre o período de 2001 a 2013, superior à média brasileira que foi de 34%. Em 2001, a renda média do trabalhador gaúcho era inferior à média brasileira (R$ 1.097 no RS contra R$ 1.103 no Brasil). </w:t>
      </w:r>
      <w:r w:rsidRPr="00E8336B">
        <w:rPr>
          <w:rFonts w:ascii="Times New Roman" w:hAnsi="Times New Roman" w:cs="Times New Roman"/>
          <w:sz w:val="24"/>
          <w:szCs w:val="24"/>
        </w:rPr>
        <w:lastRenderedPageBreak/>
        <w:t xml:space="preserve">Em contrapartida em 2013 esse quadro se reverteu, passando para R$ 1.521, 3,0% superior ao verificado no Brasil (R$1.477). </w:t>
      </w:r>
      <w:r w:rsidRPr="00E8336B">
        <w:rPr>
          <w:rFonts w:ascii="Times New Roman" w:eastAsia="Arial" w:hAnsi="Times New Roman" w:cs="Times New Roman"/>
          <w:sz w:val="24"/>
          <w:szCs w:val="24"/>
        </w:rPr>
        <w:t xml:space="preserve">(STEIN; </w:t>
      </w:r>
      <w:proofErr w:type="gramStart"/>
      <w:r w:rsidRPr="00E8336B">
        <w:rPr>
          <w:rFonts w:ascii="Times New Roman" w:eastAsia="Arial" w:hAnsi="Times New Roman" w:cs="Times New Roman"/>
          <w:sz w:val="24"/>
          <w:szCs w:val="24"/>
        </w:rPr>
        <w:t>SULZBACH ;</w:t>
      </w:r>
      <w:proofErr w:type="gramEnd"/>
      <w:r w:rsidRPr="00E8336B">
        <w:rPr>
          <w:rFonts w:ascii="Times New Roman" w:eastAsia="Arial" w:hAnsi="Times New Roman" w:cs="Times New Roman"/>
          <w:sz w:val="24"/>
          <w:szCs w:val="24"/>
        </w:rPr>
        <w:t xml:space="preserve"> BARTELS, 2015).</w:t>
      </w:r>
    </w:p>
    <w:p w14:paraId="3445595F" w14:textId="77777777" w:rsidR="00E8336B" w:rsidRPr="00E8336B" w:rsidRDefault="00E8336B" w:rsidP="00E8336B">
      <w:pPr>
        <w:spacing w:after="0" w:line="240" w:lineRule="auto"/>
        <w:ind w:firstLine="709"/>
        <w:jc w:val="both"/>
        <w:rPr>
          <w:rFonts w:ascii="Times New Roman" w:eastAsia="Arial" w:hAnsi="Times New Roman" w:cs="Times New Roman"/>
          <w:sz w:val="24"/>
          <w:szCs w:val="24"/>
        </w:rPr>
      </w:pPr>
      <w:r w:rsidRPr="00E8336B">
        <w:rPr>
          <w:rFonts w:ascii="Times New Roman" w:hAnsi="Times New Roman" w:cs="Times New Roman"/>
          <w:sz w:val="24"/>
          <w:szCs w:val="24"/>
        </w:rPr>
        <w:t xml:space="preserve"> Quanto à representatividade das mulheres gaúchas no mercado de trabalho, elas são mais representativas que a média brasileira (48,9% contra 45,4% em 2013, respectivamente). Tanto a nível estadual quanto nacional, houve uma incorporação da mão de obra feminina no mercado de trabalho no período entre 2001 e 2013. </w:t>
      </w:r>
      <w:r w:rsidRPr="00E8336B">
        <w:rPr>
          <w:rFonts w:ascii="Times New Roman" w:eastAsia="Arial" w:hAnsi="Times New Roman" w:cs="Times New Roman"/>
          <w:sz w:val="24"/>
          <w:szCs w:val="24"/>
        </w:rPr>
        <w:t xml:space="preserve">(STEIN; </w:t>
      </w:r>
      <w:proofErr w:type="gramStart"/>
      <w:r w:rsidRPr="00E8336B">
        <w:rPr>
          <w:rFonts w:ascii="Times New Roman" w:eastAsia="Arial" w:hAnsi="Times New Roman" w:cs="Times New Roman"/>
          <w:sz w:val="24"/>
          <w:szCs w:val="24"/>
        </w:rPr>
        <w:t>SULZBACH ;</w:t>
      </w:r>
      <w:proofErr w:type="gramEnd"/>
      <w:r w:rsidRPr="00E8336B">
        <w:rPr>
          <w:rFonts w:ascii="Times New Roman" w:eastAsia="Arial" w:hAnsi="Times New Roman" w:cs="Times New Roman"/>
          <w:sz w:val="24"/>
          <w:szCs w:val="24"/>
        </w:rPr>
        <w:t xml:space="preserve"> BARTELS, 2015).</w:t>
      </w:r>
    </w:p>
    <w:p w14:paraId="6382559F" w14:textId="77777777" w:rsidR="00E8336B" w:rsidRPr="00E8336B" w:rsidRDefault="00E8336B" w:rsidP="00E8336B">
      <w:pPr>
        <w:spacing w:after="0" w:line="240" w:lineRule="auto"/>
        <w:ind w:firstLine="709"/>
        <w:jc w:val="both"/>
        <w:rPr>
          <w:rFonts w:ascii="Times New Roman" w:eastAsia="Arial" w:hAnsi="Times New Roman" w:cs="Times New Roman"/>
          <w:sz w:val="24"/>
          <w:szCs w:val="24"/>
        </w:rPr>
      </w:pPr>
      <w:r w:rsidRPr="00E8336B">
        <w:rPr>
          <w:rFonts w:ascii="Times New Roman" w:eastAsia="Arial" w:hAnsi="Times New Roman" w:cs="Times New Roman"/>
          <w:sz w:val="24"/>
          <w:szCs w:val="24"/>
        </w:rPr>
        <w:t xml:space="preserve">A renda do trabalhador gaúcho aumentou no período entre 2001 a 2013, em média </w:t>
      </w:r>
      <w:r w:rsidRPr="00E8336B">
        <w:rPr>
          <w:rFonts w:ascii="Times New Roman" w:hAnsi="Times New Roman" w:cs="Times New Roman"/>
          <w:sz w:val="24"/>
          <w:szCs w:val="24"/>
        </w:rPr>
        <w:t xml:space="preserve">38,6% acima da inflação, superior </w:t>
      </w:r>
      <w:proofErr w:type="spellStart"/>
      <w:r w:rsidRPr="00E8336B">
        <w:rPr>
          <w:rFonts w:ascii="Times New Roman" w:hAnsi="Times New Roman" w:cs="Times New Roman"/>
          <w:sz w:val="24"/>
          <w:szCs w:val="24"/>
        </w:rPr>
        <w:t>a</w:t>
      </w:r>
      <w:proofErr w:type="spellEnd"/>
      <w:r w:rsidRPr="00E8336B">
        <w:rPr>
          <w:rFonts w:ascii="Times New Roman" w:hAnsi="Times New Roman" w:cs="Times New Roman"/>
          <w:sz w:val="24"/>
          <w:szCs w:val="24"/>
        </w:rPr>
        <w:t xml:space="preserve"> média nacional de 34,0%. Outra constatação foi que tanto para o Rio Grande do Sul, quanto para o Brasil, a renda média do trabalhador é maior para níveis de escolaridade mais altos. No Rio Grande do Sul, o retorno médio real a cada ano de estudo nos salários observado em 2013 foi de 9,0%, muito próximo ao do Brasil (8,</w:t>
      </w:r>
      <w:commentRangeStart w:id="5"/>
      <w:r w:rsidRPr="00E8336B">
        <w:rPr>
          <w:rFonts w:ascii="Times New Roman" w:hAnsi="Times New Roman" w:cs="Times New Roman"/>
          <w:sz w:val="24"/>
          <w:szCs w:val="24"/>
        </w:rPr>
        <w:t>8</w:t>
      </w:r>
      <w:commentRangeEnd w:id="5"/>
      <w:r w:rsidRPr="00E8336B">
        <w:rPr>
          <w:rStyle w:val="Refdecomentrio"/>
          <w:rFonts w:ascii="Times New Roman" w:hAnsi="Times New Roman" w:cs="Times New Roman"/>
          <w:sz w:val="24"/>
          <w:szCs w:val="24"/>
        </w:rPr>
        <w:commentReference w:id="5"/>
      </w:r>
      <w:r w:rsidRPr="00E8336B">
        <w:rPr>
          <w:rFonts w:ascii="Times New Roman" w:hAnsi="Times New Roman" w:cs="Times New Roman"/>
          <w:sz w:val="24"/>
          <w:szCs w:val="24"/>
        </w:rPr>
        <w:t xml:space="preserve">%). O retorno médio de cada ano a mais de estudos no setor de serviços é superior as demais atividades, sendo de 9,6% no Estado e 9,5% no Brasil. </w:t>
      </w:r>
      <w:r w:rsidRPr="00E8336B">
        <w:rPr>
          <w:rFonts w:ascii="Times New Roman" w:eastAsia="Arial" w:hAnsi="Times New Roman" w:cs="Times New Roman"/>
          <w:sz w:val="24"/>
          <w:szCs w:val="24"/>
        </w:rPr>
        <w:t xml:space="preserve">(STEIN; </w:t>
      </w:r>
      <w:proofErr w:type="gramStart"/>
      <w:r w:rsidRPr="00E8336B">
        <w:rPr>
          <w:rFonts w:ascii="Times New Roman" w:eastAsia="Arial" w:hAnsi="Times New Roman" w:cs="Times New Roman"/>
          <w:sz w:val="24"/>
          <w:szCs w:val="24"/>
        </w:rPr>
        <w:t>SULZBACH ;</w:t>
      </w:r>
      <w:proofErr w:type="gramEnd"/>
      <w:r w:rsidRPr="00E8336B">
        <w:rPr>
          <w:rFonts w:ascii="Times New Roman" w:eastAsia="Arial" w:hAnsi="Times New Roman" w:cs="Times New Roman"/>
          <w:sz w:val="24"/>
          <w:szCs w:val="24"/>
        </w:rPr>
        <w:t xml:space="preserve"> BARTELS, 2015).</w:t>
      </w:r>
    </w:p>
    <w:p w14:paraId="1A1B92E0" w14:textId="77777777" w:rsidR="00E8336B" w:rsidRPr="00E8336B" w:rsidRDefault="00E8336B" w:rsidP="00E8336B">
      <w:pPr>
        <w:spacing w:after="0" w:line="240" w:lineRule="auto"/>
        <w:jc w:val="both"/>
        <w:rPr>
          <w:rFonts w:ascii="Times New Roman" w:eastAsia="Arial" w:hAnsi="Times New Roman" w:cs="Times New Roman"/>
          <w:sz w:val="24"/>
          <w:szCs w:val="24"/>
        </w:rPr>
      </w:pPr>
      <w:r w:rsidRPr="00E8336B">
        <w:rPr>
          <w:rFonts w:ascii="Times New Roman" w:hAnsi="Times New Roman" w:cs="Times New Roman"/>
          <w:sz w:val="24"/>
          <w:szCs w:val="24"/>
        </w:rPr>
        <w:tab/>
        <w:t xml:space="preserve">A fim de buscar identificar possíveis causas entre que geram as diferenças salariais entre homens e mulheres foi realizada a decomposição de </w:t>
      </w:r>
      <w:proofErr w:type="spellStart"/>
      <w:r w:rsidRPr="00E8336B">
        <w:rPr>
          <w:rFonts w:ascii="Times New Roman" w:hAnsi="Times New Roman" w:cs="Times New Roman"/>
          <w:sz w:val="24"/>
          <w:szCs w:val="24"/>
        </w:rPr>
        <w:t>Oaxaca-Blinder</w:t>
      </w:r>
      <w:proofErr w:type="spellEnd"/>
      <w:r w:rsidRPr="00E8336B">
        <w:rPr>
          <w:rFonts w:ascii="Times New Roman" w:hAnsi="Times New Roman" w:cs="Times New Roman"/>
          <w:sz w:val="24"/>
          <w:szCs w:val="24"/>
        </w:rPr>
        <w:t xml:space="preserve">. Os resultados demonstram que os homens ganham, em média, cerca de 20,8% mais do que as mulheres. A escolaridade das mulheres é superior </w:t>
      </w:r>
      <w:proofErr w:type="spellStart"/>
      <w:r w:rsidRPr="00E8336B">
        <w:rPr>
          <w:rFonts w:ascii="Times New Roman" w:hAnsi="Times New Roman" w:cs="Times New Roman"/>
          <w:sz w:val="24"/>
          <w:szCs w:val="24"/>
        </w:rPr>
        <w:t>a</w:t>
      </w:r>
      <w:proofErr w:type="spellEnd"/>
      <w:r w:rsidRPr="00E8336B">
        <w:rPr>
          <w:rFonts w:ascii="Times New Roman" w:hAnsi="Times New Roman" w:cs="Times New Roman"/>
          <w:sz w:val="24"/>
          <w:szCs w:val="24"/>
        </w:rPr>
        <w:t xml:space="preserve"> dos homens: elas possuem, em média, 10,7anos de estudo (contra 9,17 dos homens). Em relação </w:t>
      </w:r>
      <w:proofErr w:type="spellStart"/>
      <w:r w:rsidRPr="00E8336B">
        <w:rPr>
          <w:rFonts w:ascii="Times New Roman" w:hAnsi="Times New Roman" w:cs="Times New Roman"/>
          <w:sz w:val="24"/>
          <w:szCs w:val="24"/>
        </w:rPr>
        <w:t>a</w:t>
      </w:r>
      <w:proofErr w:type="spellEnd"/>
      <w:r w:rsidRPr="00E8336B">
        <w:rPr>
          <w:rFonts w:ascii="Times New Roman" w:hAnsi="Times New Roman" w:cs="Times New Roman"/>
          <w:sz w:val="24"/>
          <w:szCs w:val="24"/>
        </w:rPr>
        <w:t xml:space="preserve"> média de horas dedicada aos afazeres domésticos: as mulheres dedicam, em média, aproximadamente três vezes mais horas que os homens. Quando observadas as variáveis que demonstram os percentuais de mulheres nas ocupações e atividades indivíduos, identificou-se que tendem a se concentrar e ocupar posições específicas, possuindo em média, 68% e 63% de indivíduos do gênero feminino. A possibilidade de interromper a carreira profissional é muito maior no gênero feminino. Tendo em média, 35,1% de chance de interromper a carreira profissional (contra 14,7% dos homens).</w:t>
      </w:r>
      <w:r w:rsidRPr="00E8336B">
        <w:rPr>
          <w:rFonts w:ascii="Times New Roman" w:eastAsia="Arial" w:hAnsi="Times New Roman" w:cs="Times New Roman"/>
          <w:sz w:val="24"/>
          <w:szCs w:val="24"/>
        </w:rPr>
        <w:t xml:space="preserve"> (STEIN; </w:t>
      </w:r>
      <w:proofErr w:type="gramStart"/>
      <w:r w:rsidRPr="00E8336B">
        <w:rPr>
          <w:rFonts w:ascii="Times New Roman" w:eastAsia="Arial" w:hAnsi="Times New Roman" w:cs="Times New Roman"/>
          <w:sz w:val="24"/>
          <w:szCs w:val="24"/>
        </w:rPr>
        <w:t>SULZBACH ;</w:t>
      </w:r>
      <w:proofErr w:type="gramEnd"/>
      <w:r w:rsidRPr="00E8336B">
        <w:rPr>
          <w:rFonts w:ascii="Times New Roman" w:eastAsia="Arial" w:hAnsi="Times New Roman" w:cs="Times New Roman"/>
          <w:sz w:val="24"/>
          <w:szCs w:val="24"/>
        </w:rPr>
        <w:t xml:space="preserve"> BARTELS, 2015).</w:t>
      </w:r>
    </w:p>
    <w:p w14:paraId="460F809C" w14:textId="43C0EADB" w:rsidR="1F07AD4D" w:rsidRPr="002B1F05" w:rsidRDefault="1F07AD4D" w:rsidP="1F07AD4D">
      <w:pPr>
        <w:ind w:firstLine="708"/>
        <w:jc w:val="both"/>
        <w:rPr>
          <w:rFonts w:ascii="Times New Roman" w:eastAsia="Arial" w:hAnsi="Times New Roman" w:cs="Times New Roman"/>
          <w:sz w:val="24"/>
          <w:szCs w:val="24"/>
        </w:rPr>
      </w:pPr>
    </w:p>
    <w:p w14:paraId="12867C3B" w14:textId="77777777" w:rsidR="00F51ACA" w:rsidRDefault="00F51ACA" w:rsidP="00F51ACA">
      <w:pPr>
        <w:rPr>
          <w:rFonts w:ascii="Times New Roman" w:eastAsia="Arial" w:hAnsi="Times New Roman" w:cs="Times New Roman"/>
          <w:b/>
          <w:bCs/>
          <w:sz w:val="24"/>
          <w:szCs w:val="24"/>
        </w:rPr>
      </w:pPr>
      <w:r w:rsidRPr="002B1F05">
        <w:rPr>
          <w:rFonts w:ascii="Times New Roman" w:eastAsia="Arial" w:hAnsi="Times New Roman" w:cs="Times New Roman"/>
          <w:b/>
          <w:bCs/>
          <w:sz w:val="24"/>
          <w:szCs w:val="24"/>
        </w:rPr>
        <w:t>3 PROCEDIMENTOS E RECURSOS METODOLÓGICOS</w:t>
      </w:r>
    </w:p>
    <w:p w14:paraId="5C9ED561" w14:textId="77777777" w:rsidR="00791ADC" w:rsidRDefault="00791ADC" w:rsidP="00F51ACA">
      <w:pPr>
        <w:rPr>
          <w:rFonts w:ascii="Times New Roman" w:eastAsia="Arial" w:hAnsi="Times New Roman" w:cs="Times New Roman"/>
          <w:b/>
          <w:bCs/>
          <w:sz w:val="24"/>
          <w:szCs w:val="24"/>
        </w:rPr>
      </w:pPr>
    </w:p>
    <w:p w14:paraId="77F52AFD" w14:textId="546CCDF8" w:rsidR="002B1F05" w:rsidRDefault="00791ADC" w:rsidP="00791ADC">
      <w:pPr>
        <w:tabs>
          <w:tab w:val="left" w:pos="3465"/>
        </w:tabs>
        <w:rPr>
          <w:rFonts w:ascii="Times New Roman" w:eastAsia="Arial" w:hAnsi="Times New Roman" w:cs="Times New Roman"/>
          <w:b/>
          <w:bCs/>
          <w:sz w:val="24"/>
          <w:szCs w:val="24"/>
        </w:rPr>
      </w:pPr>
      <w:r>
        <w:rPr>
          <w:rFonts w:ascii="Times New Roman" w:eastAsia="Arial" w:hAnsi="Times New Roman" w:cs="Times New Roman"/>
          <w:b/>
          <w:bCs/>
          <w:sz w:val="24"/>
          <w:szCs w:val="24"/>
        </w:rPr>
        <w:t>3.1 Origem e tratamento dos dados</w:t>
      </w:r>
    </w:p>
    <w:p w14:paraId="2CA16548" w14:textId="2B2A4D01" w:rsidR="003C074E" w:rsidRDefault="003A1593" w:rsidP="006E03B4">
      <w:pPr>
        <w:tabs>
          <w:tab w:val="left" w:pos="3465"/>
        </w:tabs>
        <w:spacing w:after="0" w:line="240" w:lineRule="auto"/>
        <w:ind w:firstLine="709"/>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Para </w:t>
      </w:r>
      <w:r w:rsidR="004E1089">
        <w:rPr>
          <w:rFonts w:ascii="Times New Roman" w:eastAsia="Arial" w:hAnsi="Times New Roman" w:cs="Times New Roman"/>
          <w:bCs/>
          <w:sz w:val="24"/>
          <w:szCs w:val="24"/>
        </w:rPr>
        <w:t>a realização do trabalho</w:t>
      </w:r>
      <w:r>
        <w:rPr>
          <w:rFonts w:ascii="Times New Roman" w:eastAsia="Arial" w:hAnsi="Times New Roman" w:cs="Times New Roman"/>
          <w:bCs/>
          <w:sz w:val="24"/>
          <w:szCs w:val="24"/>
        </w:rPr>
        <w:t xml:space="preserve"> foram utilizados </w:t>
      </w:r>
      <w:r w:rsidR="00BC3EFB">
        <w:rPr>
          <w:rFonts w:ascii="Times New Roman" w:eastAsia="Arial" w:hAnsi="Times New Roman" w:cs="Times New Roman"/>
          <w:bCs/>
          <w:sz w:val="24"/>
          <w:szCs w:val="24"/>
        </w:rPr>
        <w:t xml:space="preserve">os </w:t>
      </w:r>
      <w:r>
        <w:rPr>
          <w:rFonts w:ascii="Times New Roman" w:eastAsia="Arial" w:hAnsi="Times New Roman" w:cs="Times New Roman"/>
          <w:bCs/>
          <w:sz w:val="24"/>
          <w:szCs w:val="24"/>
        </w:rPr>
        <w:t xml:space="preserve">microdados da Relação Anual de Informações Sociais (RAIS), </w:t>
      </w:r>
      <w:r w:rsidR="00BC3EFB">
        <w:rPr>
          <w:rFonts w:ascii="Times New Roman" w:eastAsia="Arial" w:hAnsi="Times New Roman" w:cs="Times New Roman"/>
          <w:bCs/>
          <w:sz w:val="24"/>
          <w:szCs w:val="24"/>
        </w:rPr>
        <w:t xml:space="preserve">censo do mercado de trabalho formal brasileiro desenvolvido </w:t>
      </w:r>
      <w:r w:rsidR="007210B0">
        <w:rPr>
          <w:rFonts w:ascii="Times New Roman" w:eastAsia="Arial" w:hAnsi="Times New Roman" w:cs="Times New Roman"/>
          <w:bCs/>
          <w:sz w:val="24"/>
          <w:szCs w:val="24"/>
        </w:rPr>
        <w:t xml:space="preserve">e </w:t>
      </w:r>
      <w:r w:rsidR="00BC3EFB">
        <w:rPr>
          <w:rFonts w:ascii="Times New Roman" w:eastAsia="Arial" w:hAnsi="Times New Roman" w:cs="Times New Roman"/>
          <w:bCs/>
          <w:sz w:val="24"/>
          <w:szCs w:val="24"/>
        </w:rPr>
        <w:t>mantido</w:t>
      </w:r>
      <w:r w:rsidR="007210B0">
        <w:rPr>
          <w:rFonts w:ascii="Times New Roman" w:eastAsia="Arial" w:hAnsi="Times New Roman" w:cs="Times New Roman"/>
          <w:bCs/>
          <w:sz w:val="24"/>
          <w:szCs w:val="24"/>
        </w:rPr>
        <w:t xml:space="preserve"> até 2018 pelo Ministério do Trabalho e do Emprego (MTE) e atualmente pelo</w:t>
      </w:r>
      <w:r>
        <w:rPr>
          <w:rFonts w:ascii="Times New Roman" w:eastAsia="Arial" w:hAnsi="Times New Roman" w:cs="Times New Roman"/>
          <w:bCs/>
          <w:sz w:val="24"/>
          <w:szCs w:val="24"/>
        </w:rPr>
        <w:t xml:space="preserve"> Ministério da Economia.</w:t>
      </w:r>
      <w:r w:rsidR="00081C46">
        <w:rPr>
          <w:rFonts w:ascii="Times New Roman" w:eastAsia="Arial" w:hAnsi="Times New Roman" w:cs="Times New Roman"/>
          <w:bCs/>
          <w:sz w:val="24"/>
          <w:szCs w:val="24"/>
        </w:rPr>
        <w:t xml:space="preserve"> </w:t>
      </w:r>
      <w:r w:rsidR="00380881">
        <w:rPr>
          <w:rFonts w:ascii="Times New Roman" w:eastAsia="Arial" w:hAnsi="Times New Roman" w:cs="Times New Roman"/>
          <w:bCs/>
          <w:sz w:val="24"/>
          <w:szCs w:val="24"/>
        </w:rPr>
        <w:t>Os microdados da RAIS abrangem todos os empregados formais do país com vínculos estatutários, Consolidação das Leis do Trabalho (CLT) e militares.</w:t>
      </w:r>
      <w:r w:rsidR="003C074E">
        <w:rPr>
          <w:rFonts w:ascii="Times New Roman" w:eastAsia="Arial" w:hAnsi="Times New Roman" w:cs="Times New Roman"/>
          <w:bCs/>
          <w:sz w:val="24"/>
          <w:szCs w:val="24"/>
        </w:rPr>
        <w:t xml:space="preserve"> Portanto,</w:t>
      </w:r>
      <w:r w:rsidR="00081C46">
        <w:rPr>
          <w:rFonts w:ascii="Times New Roman" w:eastAsia="Arial" w:hAnsi="Times New Roman" w:cs="Times New Roman"/>
          <w:bCs/>
          <w:sz w:val="24"/>
          <w:szCs w:val="24"/>
        </w:rPr>
        <w:t xml:space="preserve"> </w:t>
      </w:r>
      <w:r w:rsidR="004E1089">
        <w:rPr>
          <w:rFonts w:ascii="Times New Roman" w:eastAsia="Arial" w:hAnsi="Times New Roman" w:cs="Times New Roman"/>
          <w:bCs/>
          <w:sz w:val="24"/>
          <w:szCs w:val="24"/>
        </w:rPr>
        <w:t xml:space="preserve">para atender a delimitação espacial desse trabalho, </w:t>
      </w:r>
      <w:r w:rsidR="003C074E">
        <w:rPr>
          <w:rFonts w:ascii="Times New Roman" w:eastAsia="Arial" w:hAnsi="Times New Roman" w:cs="Times New Roman"/>
          <w:bCs/>
          <w:sz w:val="24"/>
          <w:szCs w:val="24"/>
        </w:rPr>
        <w:t>a quantidade de observações utilizadas abrangeu</w:t>
      </w:r>
      <w:r w:rsidR="008821B7">
        <w:rPr>
          <w:rFonts w:ascii="Times New Roman" w:eastAsia="Arial" w:hAnsi="Times New Roman" w:cs="Times New Roman"/>
          <w:bCs/>
          <w:sz w:val="24"/>
          <w:szCs w:val="24"/>
        </w:rPr>
        <w:t xml:space="preserve"> todos os </w:t>
      </w:r>
      <w:r w:rsidR="00196C64">
        <w:rPr>
          <w:rFonts w:ascii="Times New Roman" w:eastAsia="Arial" w:hAnsi="Times New Roman" w:cs="Times New Roman"/>
          <w:bCs/>
          <w:sz w:val="24"/>
          <w:szCs w:val="24"/>
        </w:rPr>
        <w:t xml:space="preserve">indivíduos que </w:t>
      </w:r>
      <w:r w:rsidR="008821B7">
        <w:rPr>
          <w:rFonts w:ascii="Times New Roman" w:eastAsia="Arial" w:hAnsi="Times New Roman" w:cs="Times New Roman"/>
          <w:bCs/>
          <w:sz w:val="24"/>
          <w:szCs w:val="24"/>
        </w:rPr>
        <w:t xml:space="preserve">estiveram </w:t>
      </w:r>
      <w:r w:rsidR="00196C64">
        <w:rPr>
          <w:rFonts w:ascii="Times New Roman" w:eastAsia="Arial" w:hAnsi="Times New Roman" w:cs="Times New Roman"/>
          <w:bCs/>
          <w:sz w:val="24"/>
          <w:szCs w:val="24"/>
        </w:rPr>
        <w:t>ocupados</w:t>
      </w:r>
      <w:r w:rsidR="008821B7">
        <w:rPr>
          <w:rFonts w:ascii="Times New Roman" w:eastAsia="Arial" w:hAnsi="Times New Roman" w:cs="Times New Roman"/>
          <w:bCs/>
          <w:sz w:val="24"/>
          <w:szCs w:val="24"/>
        </w:rPr>
        <w:t xml:space="preserve"> </w:t>
      </w:r>
      <w:r w:rsidR="00196C64">
        <w:rPr>
          <w:rFonts w:ascii="Times New Roman" w:eastAsia="Arial" w:hAnsi="Times New Roman" w:cs="Times New Roman"/>
          <w:bCs/>
          <w:sz w:val="24"/>
          <w:szCs w:val="24"/>
        </w:rPr>
        <w:t>no mercado de trabalho formal do Estado do Rio Grande do Sul</w:t>
      </w:r>
      <w:r w:rsidR="008821B7">
        <w:rPr>
          <w:rFonts w:ascii="Times New Roman" w:eastAsia="Arial" w:hAnsi="Times New Roman" w:cs="Times New Roman"/>
          <w:bCs/>
          <w:sz w:val="24"/>
          <w:szCs w:val="24"/>
        </w:rPr>
        <w:t xml:space="preserve"> entre 2000 e 2017</w:t>
      </w:r>
      <w:r w:rsidR="00196C64">
        <w:rPr>
          <w:rFonts w:ascii="Times New Roman" w:eastAsia="Arial" w:hAnsi="Times New Roman" w:cs="Times New Roman"/>
          <w:bCs/>
          <w:sz w:val="24"/>
          <w:szCs w:val="24"/>
        </w:rPr>
        <w:t xml:space="preserve">. </w:t>
      </w:r>
    </w:p>
    <w:p w14:paraId="10D24CCB" w14:textId="446BD8ED" w:rsidR="007210B0" w:rsidRDefault="00196C64" w:rsidP="00DE7D6B">
      <w:pPr>
        <w:tabs>
          <w:tab w:val="left" w:pos="3465"/>
        </w:tabs>
        <w:spacing w:after="0" w:line="240" w:lineRule="auto"/>
        <w:ind w:firstLine="709"/>
        <w:jc w:val="both"/>
        <w:rPr>
          <w:rFonts w:ascii="Times New Roman" w:eastAsia="Arial" w:hAnsi="Times New Roman" w:cs="Times New Roman"/>
          <w:bCs/>
          <w:sz w:val="24"/>
          <w:szCs w:val="24"/>
        </w:rPr>
      </w:pPr>
      <w:r>
        <w:rPr>
          <w:rFonts w:ascii="Times New Roman" w:eastAsia="Arial" w:hAnsi="Times New Roman" w:cs="Times New Roman"/>
          <w:bCs/>
          <w:sz w:val="24"/>
          <w:szCs w:val="24"/>
        </w:rPr>
        <w:t>O tratamento dos dados</w:t>
      </w:r>
      <w:r w:rsidR="00F153EA">
        <w:rPr>
          <w:rFonts w:ascii="Times New Roman" w:eastAsia="Arial" w:hAnsi="Times New Roman" w:cs="Times New Roman"/>
          <w:bCs/>
          <w:sz w:val="24"/>
          <w:szCs w:val="24"/>
        </w:rPr>
        <w:t xml:space="preserve"> e as análises subsequentes foram realizadas</w:t>
      </w:r>
      <w:r>
        <w:rPr>
          <w:rFonts w:ascii="Times New Roman" w:eastAsia="Arial" w:hAnsi="Times New Roman" w:cs="Times New Roman"/>
          <w:bCs/>
          <w:sz w:val="24"/>
          <w:szCs w:val="24"/>
        </w:rPr>
        <w:t xml:space="preserve"> no software </w:t>
      </w:r>
      <w:r w:rsidRPr="00F42D6F">
        <w:rPr>
          <w:rFonts w:ascii="Times New Roman" w:eastAsia="Arial" w:hAnsi="Times New Roman" w:cs="Times New Roman"/>
          <w:bCs/>
          <w:i/>
          <w:sz w:val="24"/>
          <w:szCs w:val="24"/>
        </w:rPr>
        <w:t>R</w:t>
      </w:r>
      <w:r>
        <w:rPr>
          <w:rFonts w:ascii="Times New Roman" w:eastAsia="Arial" w:hAnsi="Times New Roman" w:cs="Times New Roman"/>
          <w:bCs/>
          <w:sz w:val="24"/>
          <w:szCs w:val="24"/>
        </w:rPr>
        <w:t xml:space="preserve"> </w:t>
      </w:r>
      <w:r w:rsidR="00F42D6F">
        <w:rPr>
          <w:rFonts w:ascii="Times New Roman" w:eastAsia="Arial" w:hAnsi="Times New Roman" w:cs="Times New Roman"/>
          <w:bCs/>
          <w:sz w:val="24"/>
          <w:szCs w:val="24"/>
        </w:rPr>
        <w:t>com o</w:t>
      </w:r>
      <w:r>
        <w:rPr>
          <w:rFonts w:ascii="Times New Roman" w:eastAsia="Arial" w:hAnsi="Times New Roman" w:cs="Times New Roman"/>
          <w:bCs/>
          <w:sz w:val="24"/>
          <w:szCs w:val="24"/>
        </w:rPr>
        <w:t xml:space="preserve"> suporte do</w:t>
      </w:r>
      <w:r w:rsidR="00F42D6F">
        <w:rPr>
          <w:rFonts w:ascii="Times New Roman" w:eastAsia="Arial" w:hAnsi="Times New Roman" w:cs="Times New Roman"/>
          <w:bCs/>
          <w:sz w:val="24"/>
          <w:szCs w:val="24"/>
        </w:rPr>
        <w:t xml:space="preserve"> pacote </w:t>
      </w:r>
      <w:proofErr w:type="spellStart"/>
      <w:r w:rsidR="00F42D6F" w:rsidRPr="00F42D6F">
        <w:rPr>
          <w:rFonts w:ascii="Times New Roman" w:eastAsia="Arial" w:hAnsi="Times New Roman" w:cs="Times New Roman"/>
          <w:bCs/>
          <w:i/>
          <w:sz w:val="24"/>
          <w:szCs w:val="24"/>
        </w:rPr>
        <w:t>RSQLite</w:t>
      </w:r>
      <w:proofErr w:type="spellEnd"/>
      <w:r w:rsidR="00F153EA">
        <w:rPr>
          <w:rFonts w:ascii="Times New Roman" w:eastAsia="Arial" w:hAnsi="Times New Roman" w:cs="Times New Roman"/>
          <w:bCs/>
          <w:sz w:val="24"/>
          <w:szCs w:val="24"/>
        </w:rPr>
        <w:t xml:space="preserve"> (R CORE TEAM, 2019; MULLER et. al., 2018)</w:t>
      </w:r>
      <w:r w:rsidR="00F42D6F">
        <w:rPr>
          <w:rFonts w:ascii="Times New Roman" w:eastAsia="Arial" w:hAnsi="Times New Roman" w:cs="Times New Roman"/>
          <w:bCs/>
          <w:sz w:val="24"/>
          <w:szCs w:val="24"/>
        </w:rPr>
        <w:t>.</w:t>
      </w:r>
      <w:r w:rsidR="003C074E">
        <w:rPr>
          <w:rFonts w:ascii="Times New Roman" w:eastAsia="Arial" w:hAnsi="Times New Roman" w:cs="Times New Roman"/>
          <w:bCs/>
          <w:sz w:val="24"/>
          <w:szCs w:val="24"/>
        </w:rPr>
        <w:t xml:space="preserve"> </w:t>
      </w:r>
      <w:r w:rsidR="005D41DF">
        <w:rPr>
          <w:rFonts w:ascii="Times New Roman" w:eastAsia="Arial" w:hAnsi="Times New Roman" w:cs="Times New Roman"/>
          <w:bCs/>
          <w:sz w:val="24"/>
          <w:szCs w:val="24"/>
        </w:rPr>
        <w:t xml:space="preserve">Após a organização da base de dados foi efetuada </w:t>
      </w:r>
      <w:r w:rsidR="00DE7D6B">
        <w:rPr>
          <w:rFonts w:ascii="Times New Roman" w:eastAsia="Arial" w:hAnsi="Times New Roman" w:cs="Times New Roman"/>
          <w:bCs/>
          <w:sz w:val="24"/>
          <w:szCs w:val="24"/>
        </w:rPr>
        <w:t xml:space="preserve">uma breve </w:t>
      </w:r>
      <w:r w:rsidR="00E03F5B">
        <w:rPr>
          <w:rFonts w:ascii="Times New Roman" w:eastAsia="Arial" w:hAnsi="Times New Roman" w:cs="Times New Roman"/>
          <w:bCs/>
          <w:sz w:val="24"/>
          <w:szCs w:val="24"/>
        </w:rPr>
        <w:t>análise d</w:t>
      </w:r>
      <w:r w:rsidR="00CB7718">
        <w:rPr>
          <w:rFonts w:ascii="Times New Roman" w:eastAsia="Arial" w:hAnsi="Times New Roman" w:cs="Times New Roman"/>
          <w:bCs/>
          <w:sz w:val="24"/>
          <w:szCs w:val="24"/>
        </w:rPr>
        <w:t>o</w:t>
      </w:r>
      <w:r w:rsidR="00DE7D6B">
        <w:rPr>
          <w:rFonts w:ascii="Times New Roman" w:eastAsia="Arial" w:hAnsi="Times New Roman" w:cs="Times New Roman"/>
          <w:bCs/>
          <w:sz w:val="24"/>
          <w:szCs w:val="24"/>
        </w:rPr>
        <w:t xml:space="preserve"> mercado de trabalho </w:t>
      </w:r>
      <w:r w:rsidR="00E03F5B">
        <w:rPr>
          <w:rFonts w:ascii="Times New Roman" w:eastAsia="Arial" w:hAnsi="Times New Roman" w:cs="Times New Roman"/>
          <w:bCs/>
          <w:sz w:val="24"/>
          <w:szCs w:val="24"/>
        </w:rPr>
        <w:t>d</w:t>
      </w:r>
      <w:r w:rsidR="00DD50EA">
        <w:rPr>
          <w:rFonts w:ascii="Times New Roman" w:eastAsia="Arial" w:hAnsi="Times New Roman" w:cs="Times New Roman"/>
          <w:bCs/>
          <w:sz w:val="24"/>
          <w:szCs w:val="24"/>
        </w:rPr>
        <w:t xml:space="preserve">o Rio Grande do Sul </w:t>
      </w:r>
      <w:r w:rsidR="00251C2C">
        <w:rPr>
          <w:rFonts w:ascii="Times New Roman" w:eastAsia="Arial" w:hAnsi="Times New Roman" w:cs="Times New Roman"/>
          <w:bCs/>
          <w:sz w:val="24"/>
          <w:szCs w:val="24"/>
        </w:rPr>
        <w:t>e de suas micro</w:t>
      </w:r>
      <w:r w:rsidR="00E03F5B">
        <w:rPr>
          <w:rFonts w:ascii="Times New Roman" w:eastAsia="Arial" w:hAnsi="Times New Roman" w:cs="Times New Roman"/>
          <w:bCs/>
          <w:sz w:val="24"/>
          <w:szCs w:val="24"/>
        </w:rPr>
        <w:t>rregiões</w:t>
      </w:r>
      <w:r w:rsidR="00DE7D6B">
        <w:rPr>
          <w:rFonts w:ascii="Times New Roman" w:eastAsia="Arial" w:hAnsi="Times New Roman" w:cs="Times New Roman"/>
          <w:bCs/>
          <w:sz w:val="24"/>
          <w:szCs w:val="24"/>
        </w:rPr>
        <w:t xml:space="preserve"> </w:t>
      </w:r>
      <w:r w:rsidR="00CB7718">
        <w:rPr>
          <w:rFonts w:ascii="Times New Roman" w:eastAsia="Arial" w:hAnsi="Times New Roman" w:cs="Times New Roman"/>
          <w:bCs/>
          <w:sz w:val="24"/>
          <w:szCs w:val="24"/>
        </w:rPr>
        <w:t xml:space="preserve">a partir da evolução temporal e espacial </w:t>
      </w:r>
      <w:r w:rsidR="00DE7D6B">
        <w:rPr>
          <w:rFonts w:ascii="Times New Roman" w:eastAsia="Arial" w:hAnsi="Times New Roman" w:cs="Times New Roman"/>
          <w:bCs/>
          <w:sz w:val="24"/>
          <w:szCs w:val="24"/>
        </w:rPr>
        <w:t>das seguintes va</w:t>
      </w:r>
      <w:r w:rsidR="00E03F5B">
        <w:rPr>
          <w:rFonts w:ascii="Times New Roman" w:eastAsia="Arial" w:hAnsi="Times New Roman" w:cs="Times New Roman"/>
          <w:bCs/>
          <w:sz w:val="24"/>
          <w:szCs w:val="24"/>
        </w:rPr>
        <w:t>riá</w:t>
      </w:r>
      <w:r w:rsidR="00DE7D6B">
        <w:rPr>
          <w:rFonts w:ascii="Times New Roman" w:eastAsia="Arial" w:hAnsi="Times New Roman" w:cs="Times New Roman"/>
          <w:bCs/>
          <w:sz w:val="24"/>
          <w:szCs w:val="24"/>
        </w:rPr>
        <w:t xml:space="preserve">veis: quantidade de empregos formais, salário médio real, </w:t>
      </w:r>
      <w:r w:rsidR="00E03F5B">
        <w:rPr>
          <w:rFonts w:ascii="Times New Roman" w:eastAsia="Arial" w:hAnsi="Times New Roman" w:cs="Times New Roman"/>
          <w:bCs/>
          <w:sz w:val="24"/>
          <w:szCs w:val="24"/>
        </w:rPr>
        <w:t>proporção de empregados sem educação formal e proporção de</w:t>
      </w:r>
      <w:r w:rsidR="009101A3">
        <w:rPr>
          <w:rFonts w:ascii="Times New Roman" w:eastAsia="Arial" w:hAnsi="Times New Roman" w:cs="Times New Roman"/>
          <w:bCs/>
          <w:sz w:val="24"/>
          <w:szCs w:val="24"/>
        </w:rPr>
        <w:t xml:space="preserve"> empregados com ensino superior. </w:t>
      </w:r>
      <w:r w:rsidR="00DD50EA">
        <w:rPr>
          <w:rFonts w:ascii="Times New Roman" w:eastAsia="Arial" w:hAnsi="Times New Roman" w:cs="Times New Roman"/>
          <w:bCs/>
          <w:sz w:val="24"/>
          <w:szCs w:val="24"/>
        </w:rPr>
        <w:t>A distribuição espacial</w:t>
      </w:r>
      <w:r w:rsidR="009101A3">
        <w:rPr>
          <w:rFonts w:ascii="Times New Roman" w:eastAsia="Arial" w:hAnsi="Times New Roman" w:cs="Times New Roman"/>
          <w:bCs/>
          <w:sz w:val="24"/>
          <w:szCs w:val="24"/>
        </w:rPr>
        <w:t xml:space="preserve"> dessas variáveis fo</w:t>
      </w:r>
      <w:r w:rsidR="00DD50EA">
        <w:rPr>
          <w:rFonts w:ascii="Times New Roman" w:eastAsia="Arial" w:hAnsi="Times New Roman" w:cs="Times New Roman"/>
          <w:bCs/>
          <w:sz w:val="24"/>
          <w:szCs w:val="24"/>
        </w:rPr>
        <w:t>i representada</w:t>
      </w:r>
      <w:r w:rsidR="009101A3">
        <w:rPr>
          <w:rFonts w:ascii="Times New Roman" w:eastAsia="Arial" w:hAnsi="Times New Roman" w:cs="Times New Roman"/>
          <w:bCs/>
          <w:sz w:val="24"/>
          <w:szCs w:val="24"/>
        </w:rPr>
        <w:t xml:space="preserve"> por mapas </w:t>
      </w:r>
      <w:proofErr w:type="spellStart"/>
      <w:r w:rsidR="009101A3">
        <w:rPr>
          <w:rFonts w:ascii="Times New Roman" w:eastAsia="Arial" w:hAnsi="Times New Roman" w:cs="Times New Roman"/>
          <w:bCs/>
          <w:sz w:val="24"/>
          <w:szCs w:val="24"/>
        </w:rPr>
        <w:t>coroplético</w:t>
      </w:r>
      <w:r w:rsidR="00F452F4">
        <w:rPr>
          <w:rFonts w:ascii="Times New Roman" w:eastAsia="Arial" w:hAnsi="Times New Roman" w:cs="Times New Roman"/>
          <w:bCs/>
          <w:sz w:val="24"/>
          <w:szCs w:val="24"/>
        </w:rPr>
        <w:t>s</w:t>
      </w:r>
      <w:proofErr w:type="spellEnd"/>
      <w:r w:rsidR="009101A3">
        <w:rPr>
          <w:rFonts w:ascii="Times New Roman" w:eastAsia="Arial" w:hAnsi="Times New Roman" w:cs="Times New Roman"/>
          <w:bCs/>
          <w:sz w:val="24"/>
          <w:szCs w:val="24"/>
        </w:rPr>
        <w:t xml:space="preserve"> criados a partir dos pacotes </w:t>
      </w:r>
      <w:proofErr w:type="spellStart"/>
      <w:r w:rsidR="009101A3" w:rsidRPr="00F153EA">
        <w:rPr>
          <w:rFonts w:ascii="Times New Roman" w:eastAsia="Arial" w:hAnsi="Times New Roman" w:cs="Times New Roman"/>
          <w:bCs/>
          <w:i/>
          <w:sz w:val="24"/>
          <w:szCs w:val="24"/>
        </w:rPr>
        <w:t>maptools</w:t>
      </w:r>
      <w:proofErr w:type="spellEnd"/>
      <w:r w:rsidR="00F153EA">
        <w:rPr>
          <w:rFonts w:ascii="Times New Roman" w:eastAsia="Arial" w:hAnsi="Times New Roman" w:cs="Times New Roman"/>
          <w:bCs/>
          <w:sz w:val="24"/>
          <w:szCs w:val="24"/>
        </w:rPr>
        <w:t xml:space="preserve"> e </w:t>
      </w:r>
      <w:proofErr w:type="spellStart"/>
      <w:r w:rsidR="00F153EA" w:rsidRPr="00F153EA">
        <w:rPr>
          <w:rFonts w:ascii="Times New Roman" w:eastAsia="Arial" w:hAnsi="Times New Roman" w:cs="Times New Roman"/>
          <w:bCs/>
          <w:i/>
          <w:sz w:val="24"/>
          <w:szCs w:val="24"/>
        </w:rPr>
        <w:t>maps</w:t>
      </w:r>
      <w:proofErr w:type="spellEnd"/>
      <w:r w:rsidR="009101A3">
        <w:rPr>
          <w:rFonts w:ascii="Times New Roman" w:eastAsia="Arial" w:hAnsi="Times New Roman" w:cs="Times New Roman"/>
          <w:bCs/>
          <w:sz w:val="24"/>
          <w:szCs w:val="24"/>
        </w:rPr>
        <w:t xml:space="preserve"> (</w:t>
      </w:r>
      <w:r w:rsidR="00F153EA">
        <w:rPr>
          <w:rFonts w:ascii="Times New Roman" w:eastAsia="Arial" w:hAnsi="Times New Roman" w:cs="Times New Roman"/>
          <w:bCs/>
          <w:sz w:val="24"/>
          <w:szCs w:val="24"/>
        </w:rPr>
        <w:t xml:space="preserve">BIVAND; </w:t>
      </w:r>
      <w:r w:rsidR="009101A3">
        <w:rPr>
          <w:rFonts w:ascii="Times New Roman" w:eastAsia="Arial" w:hAnsi="Times New Roman" w:cs="Times New Roman"/>
          <w:bCs/>
          <w:sz w:val="24"/>
          <w:szCs w:val="24"/>
        </w:rPr>
        <w:t>LEWIN-KOH, 2018</w:t>
      </w:r>
      <w:r w:rsidR="00F153EA">
        <w:rPr>
          <w:rFonts w:ascii="Times New Roman" w:eastAsia="Arial" w:hAnsi="Times New Roman" w:cs="Times New Roman"/>
          <w:bCs/>
          <w:sz w:val="24"/>
          <w:szCs w:val="24"/>
        </w:rPr>
        <w:t>; BECKER; WILKS, 2018</w:t>
      </w:r>
      <w:r w:rsidR="009101A3">
        <w:rPr>
          <w:rFonts w:ascii="Times New Roman" w:eastAsia="Arial" w:hAnsi="Times New Roman" w:cs="Times New Roman"/>
          <w:bCs/>
          <w:sz w:val="24"/>
          <w:szCs w:val="24"/>
        </w:rPr>
        <w:t>)</w:t>
      </w:r>
      <w:r w:rsidR="00F153EA">
        <w:rPr>
          <w:rFonts w:ascii="Times New Roman" w:eastAsia="Arial" w:hAnsi="Times New Roman" w:cs="Times New Roman"/>
          <w:bCs/>
          <w:sz w:val="24"/>
          <w:szCs w:val="24"/>
        </w:rPr>
        <w:t>.</w:t>
      </w:r>
      <w:r w:rsidR="009101A3">
        <w:rPr>
          <w:rFonts w:ascii="Times New Roman" w:eastAsia="Arial" w:hAnsi="Times New Roman" w:cs="Times New Roman"/>
          <w:bCs/>
          <w:sz w:val="24"/>
          <w:szCs w:val="24"/>
        </w:rPr>
        <w:t xml:space="preserve"> </w:t>
      </w:r>
    </w:p>
    <w:p w14:paraId="456475B6" w14:textId="77777777" w:rsidR="00F42D6F" w:rsidRPr="003A1593" w:rsidRDefault="00F42D6F" w:rsidP="007210B0">
      <w:pPr>
        <w:tabs>
          <w:tab w:val="left" w:pos="3465"/>
        </w:tabs>
        <w:spacing w:after="0" w:line="240" w:lineRule="auto"/>
        <w:ind w:firstLine="709"/>
        <w:jc w:val="both"/>
        <w:rPr>
          <w:rFonts w:ascii="Times New Roman" w:eastAsia="Arial" w:hAnsi="Times New Roman" w:cs="Times New Roman"/>
          <w:bCs/>
          <w:sz w:val="24"/>
          <w:szCs w:val="24"/>
        </w:rPr>
      </w:pPr>
    </w:p>
    <w:p w14:paraId="20AEA515" w14:textId="2C28C887" w:rsidR="00791ADC" w:rsidRDefault="00791ADC" w:rsidP="00791ADC">
      <w:pPr>
        <w:tabs>
          <w:tab w:val="left" w:pos="3465"/>
        </w:tabs>
        <w:rPr>
          <w:rFonts w:ascii="Times New Roman" w:eastAsia="Arial" w:hAnsi="Times New Roman" w:cs="Times New Roman"/>
          <w:b/>
          <w:bCs/>
          <w:sz w:val="24"/>
          <w:szCs w:val="24"/>
        </w:rPr>
      </w:pPr>
      <w:r>
        <w:rPr>
          <w:rFonts w:ascii="Times New Roman" w:eastAsia="Arial" w:hAnsi="Times New Roman" w:cs="Times New Roman"/>
          <w:b/>
          <w:bCs/>
          <w:sz w:val="24"/>
          <w:szCs w:val="24"/>
        </w:rPr>
        <w:lastRenderedPageBreak/>
        <w:t>3.2 Elaboração dos modelos empíricos</w:t>
      </w:r>
    </w:p>
    <w:p w14:paraId="10D8F576" w14:textId="77777777" w:rsidR="004E1089" w:rsidRDefault="004638BD" w:rsidP="00AC7899">
      <w:pPr>
        <w:tabs>
          <w:tab w:val="left" w:pos="3465"/>
        </w:tabs>
        <w:spacing w:after="0" w:line="240" w:lineRule="auto"/>
        <w:ind w:firstLine="709"/>
        <w:contextualSpacing/>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A análise dos diferenciais de rendimentos e de seus determinantes no mercado de trabalho formal do Rio Grande do Sul foi efetuada a partir da estimação da equação </w:t>
      </w:r>
      <w:proofErr w:type="spellStart"/>
      <w:r>
        <w:rPr>
          <w:rFonts w:ascii="Times New Roman" w:eastAsia="Arial" w:hAnsi="Times New Roman" w:cs="Times New Roman"/>
          <w:bCs/>
          <w:sz w:val="24"/>
          <w:szCs w:val="24"/>
        </w:rPr>
        <w:t>minceriana</w:t>
      </w:r>
      <w:proofErr w:type="spellEnd"/>
      <w:r>
        <w:rPr>
          <w:rFonts w:ascii="Times New Roman" w:eastAsia="Arial" w:hAnsi="Times New Roman" w:cs="Times New Roman"/>
          <w:bCs/>
          <w:sz w:val="24"/>
          <w:szCs w:val="24"/>
        </w:rPr>
        <w:t xml:space="preserve"> de salários pelos método </w:t>
      </w:r>
      <w:r w:rsidR="00AC7899">
        <w:rPr>
          <w:rFonts w:ascii="Times New Roman" w:eastAsia="Arial" w:hAnsi="Times New Roman" w:cs="Times New Roman"/>
          <w:bCs/>
          <w:sz w:val="24"/>
          <w:szCs w:val="24"/>
        </w:rPr>
        <w:t>dos</w:t>
      </w:r>
      <w:r>
        <w:rPr>
          <w:rFonts w:ascii="Times New Roman" w:eastAsia="Arial" w:hAnsi="Times New Roman" w:cs="Times New Roman"/>
          <w:bCs/>
          <w:sz w:val="24"/>
          <w:szCs w:val="24"/>
        </w:rPr>
        <w:t xml:space="preserve"> Mí</w:t>
      </w:r>
      <w:r w:rsidR="00AC7899">
        <w:rPr>
          <w:rFonts w:ascii="Times New Roman" w:eastAsia="Arial" w:hAnsi="Times New Roman" w:cs="Times New Roman"/>
          <w:bCs/>
          <w:sz w:val="24"/>
          <w:szCs w:val="24"/>
        </w:rPr>
        <w:t xml:space="preserve">nimos Quadrados Ordinários (MQO) e por regressão </w:t>
      </w:r>
      <w:proofErr w:type="spellStart"/>
      <w:r w:rsidR="00AC7899">
        <w:rPr>
          <w:rFonts w:ascii="Times New Roman" w:eastAsia="Arial" w:hAnsi="Times New Roman" w:cs="Times New Roman"/>
          <w:bCs/>
          <w:sz w:val="24"/>
          <w:szCs w:val="24"/>
        </w:rPr>
        <w:t>quantílica</w:t>
      </w:r>
      <w:proofErr w:type="spellEnd"/>
      <w:r w:rsidR="00AC7899">
        <w:rPr>
          <w:rFonts w:ascii="Times New Roman" w:eastAsia="Arial" w:hAnsi="Times New Roman" w:cs="Times New Roman"/>
          <w:bCs/>
          <w:sz w:val="24"/>
          <w:szCs w:val="24"/>
        </w:rPr>
        <w:t>.</w:t>
      </w:r>
      <w:r w:rsidR="00074B2D">
        <w:rPr>
          <w:rFonts w:ascii="Times New Roman" w:eastAsia="Arial" w:hAnsi="Times New Roman" w:cs="Times New Roman"/>
          <w:bCs/>
          <w:sz w:val="24"/>
          <w:szCs w:val="24"/>
        </w:rPr>
        <w:t xml:space="preserve"> A equação </w:t>
      </w:r>
      <w:proofErr w:type="spellStart"/>
      <w:r w:rsidR="00074B2D">
        <w:rPr>
          <w:rFonts w:ascii="Times New Roman" w:eastAsia="Arial" w:hAnsi="Times New Roman" w:cs="Times New Roman"/>
          <w:bCs/>
          <w:sz w:val="24"/>
          <w:szCs w:val="24"/>
        </w:rPr>
        <w:t>minceriana</w:t>
      </w:r>
      <w:proofErr w:type="spellEnd"/>
      <w:r w:rsidR="00074B2D">
        <w:rPr>
          <w:rFonts w:ascii="Times New Roman" w:eastAsia="Arial" w:hAnsi="Times New Roman" w:cs="Times New Roman"/>
          <w:bCs/>
          <w:sz w:val="24"/>
          <w:szCs w:val="24"/>
        </w:rPr>
        <w:t xml:space="preserve"> de salários foi concebida por </w:t>
      </w:r>
      <w:proofErr w:type="spellStart"/>
      <w:r w:rsidR="00074B2D">
        <w:rPr>
          <w:rFonts w:ascii="Times New Roman" w:eastAsia="Arial" w:hAnsi="Times New Roman" w:cs="Times New Roman"/>
          <w:bCs/>
          <w:sz w:val="24"/>
          <w:szCs w:val="24"/>
        </w:rPr>
        <w:t>Mincer</w:t>
      </w:r>
      <w:proofErr w:type="spellEnd"/>
      <w:r w:rsidR="00074B2D">
        <w:rPr>
          <w:rFonts w:ascii="Times New Roman" w:eastAsia="Arial" w:hAnsi="Times New Roman" w:cs="Times New Roman"/>
          <w:bCs/>
          <w:sz w:val="24"/>
          <w:szCs w:val="24"/>
        </w:rPr>
        <w:t xml:space="preserve"> (1974) com o intuito de explicar as variações nos rendimentos do trabalho a partir do nível de escolaridade e de experiência dos indivíduos, além de outros possíveis atributos como sexo e cor. </w:t>
      </w:r>
    </w:p>
    <w:p w14:paraId="558409D4" w14:textId="6E4D5807" w:rsidR="009853C5" w:rsidRDefault="00074B2D" w:rsidP="00AC7899">
      <w:pPr>
        <w:tabs>
          <w:tab w:val="left" w:pos="3465"/>
        </w:tabs>
        <w:spacing w:after="0" w:line="240" w:lineRule="auto"/>
        <w:ind w:firstLine="709"/>
        <w:contextualSpacing/>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Dessa forma, a equação </w:t>
      </w:r>
      <w:proofErr w:type="spellStart"/>
      <w:r>
        <w:rPr>
          <w:rFonts w:ascii="Times New Roman" w:eastAsia="Arial" w:hAnsi="Times New Roman" w:cs="Times New Roman"/>
          <w:bCs/>
          <w:sz w:val="24"/>
          <w:szCs w:val="24"/>
        </w:rPr>
        <w:t>minceriana</w:t>
      </w:r>
      <w:proofErr w:type="spellEnd"/>
      <w:r>
        <w:rPr>
          <w:rFonts w:ascii="Times New Roman" w:eastAsia="Arial" w:hAnsi="Times New Roman" w:cs="Times New Roman"/>
          <w:bCs/>
          <w:sz w:val="24"/>
          <w:szCs w:val="24"/>
        </w:rPr>
        <w:t xml:space="preserve"> </w:t>
      </w:r>
      <w:r w:rsidR="00183B9D">
        <w:rPr>
          <w:rFonts w:ascii="Times New Roman" w:eastAsia="Arial" w:hAnsi="Times New Roman" w:cs="Times New Roman"/>
          <w:bCs/>
          <w:sz w:val="24"/>
          <w:szCs w:val="24"/>
        </w:rPr>
        <w:t>revela</w:t>
      </w:r>
      <w:r>
        <w:rPr>
          <w:rFonts w:ascii="Times New Roman" w:eastAsia="Arial" w:hAnsi="Times New Roman" w:cs="Times New Roman"/>
          <w:bCs/>
          <w:sz w:val="24"/>
          <w:szCs w:val="24"/>
        </w:rPr>
        <w:t xml:space="preserve"> </w:t>
      </w:r>
      <w:r w:rsidR="00183B9D">
        <w:rPr>
          <w:rFonts w:ascii="Times New Roman" w:eastAsia="Arial" w:hAnsi="Times New Roman" w:cs="Times New Roman"/>
          <w:bCs/>
          <w:sz w:val="24"/>
          <w:szCs w:val="24"/>
        </w:rPr>
        <w:t>a remuneração ou preço que um determinado conjunto de atributos produtivos</w:t>
      </w:r>
      <w:r w:rsidR="00A9456A">
        <w:rPr>
          <w:rFonts w:ascii="Times New Roman" w:eastAsia="Arial" w:hAnsi="Times New Roman" w:cs="Times New Roman"/>
          <w:bCs/>
          <w:sz w:val="24"/>
          <w:szCs w:val="24"/>
        </w:rPr>
        <w:t xml:space="preserve"> relacionados ao indivíduos</w:t>
      </w:r>
      <w:r w:rsidR="00183B9D">
        <w:rPr>
          <w:rFonts w:ascii="Times New Roman" w:eastAsia="Arial" w:hAnsi="Times New Roman" w:cs="Times New Roman"/>
          <w:bCs/>
          <w:sz w:val="24"/>
          <w:szCs w:val="24"/>
        </w:rPr>
        <w:t xml:space="preserve"> recebe do mercado de trabalho e a taxa de retorno da educação</w:t>
      </w:r>
      <w:r w:rsidR="00A9456A">
        <w:rPr>
          <w:rFonts w:ascii="Times New Roman" w:eastAsia="Arial" w:hAnsi="Times New Roman" w:cs="Times New Roman"/>
          <w:bCs/>
          <w:sz w:val="24"/>
          <w:szCs w:val="24"/>
        </w:rPr>
        <w:t>,</w:t>
      </w:r>
      <w:r w:rsidR="00183B9D">
        <w:rPr>
          <w:rFonts w:ascii="Times New Roman" w:eastAsia="Arial" w:hAnsi="Times New Roman" w:cs="Times New Roman"/>
          <w:bCs/>
          <w:sz w:val="24"/>
          <w:szCs w:val="24"/>
        </w:rPr>
        <w:t xml:space="preserve"> que serve de </w:t>
      </w:r>
      <w:r w:rsidR="009853C5">
        <w:rPr>
          <w:rFonts w:ascii="Times New Roman" w:eastAsia="Arial" w:hAnsi="Times New Roman" w:cs="Times New Roman"/>
          <w:bCs/>
          <w:sz w:val="24"/>
          <w:szCs w:val="24"/>
        </w:rPr>
        <w:t>balizadora para</w:t>
      </w:r>
      <w:r w:rsidR="00183B9D">
        <w:rPr>
          <w:rFonts w:ascii="Times New Roman" w:eastAsia="Arial" w:hAnsi="Times New Roman" w:cs="Times New Roman"/>
          <w:bCs/>
          <w:sz w:val="24"/>
          <w:szCs w:val="24"/>
        </w:rPr>
        <w:t xml:space="preserve"> determinar o nível de investimento</w:t>
      </w:r>
      <w:r w:rsidR="002720A9">
        <w:rPr>
          <w:rFonts w:ascii="Times New Roman" w:eastAsia="Arial" w:hAnsi="Times New Roman" w:cs="Times New Roman"/>
          <w:bCs/>
          <w:sz w:val="24"/>
          <w:szCs w:val="24"/>
        </w:rPr>
        <w:t xml:space="preserve"> ótimo em capital humano</w:t>
      </w:r>
      <w:r>
        <w:rPr>
          <w:rFonts w:ascii="Times New Roman" w:eastAsia="Arial" w:hAnsi="Times New Roman" w:cs="Times New Roman"/>
          <w:bCs/>
          <w:sz w:val="24"/>
          <w:szCs w:val="24"/>
        </w:rPr>
        <w:t xml:space="preserve">. </w:t>
      </w:r>
    </w:p>
    <w:p w14:paraId="253FC761" w14:textId="18BC933D" w:rsidR="00AC7899" w:rsidRDefault="00C4065C" w:rsidP="009853C5">
      <w:pPr>
        <w:tabs>
          <w:tab w:val="left" w:pos="4260"/>
        </w:tabs>
        <w:spacing w:after="0" w:line="240" w:lineRule="auto"/>
        <w:ind w:firstLine="709"/>
        <w:contextualSpacing/>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Para a estimar </w:t>
      </w:r>
      <w:r w:rsidR="009853C5">
        <w:rPr>
          <w:rFonts w:ascii="Times New Roman" w:eastAsia="Arial" w:hAnsi="Times New Roman" w:cs="Times New Roman"/>
          <w:bCs/>
          <w:sz w:val="24"/>
          <w:szCs w:val="24"/>
        </w:rPr>
        <w:t xml:space="preserve">a equação </w:t>
      </w:r>
      <w:proofErr w:type="spellStart"/>
      <w:r w:rsidR="009853C5">
        <w:rPr>
          <w:rFonts w:ascii="Times New Roman" w:eastAsia="Arial" w:hAnsi="Times New Roman" w:cs="Times New Roman"/>
          <w:bCs/>
          <w:sz w:val="24"/>
          <w:szCs w:val="24"/>
        </w:rPr>
        <w:t>minceriana</w:t>
      </w:r>
      <w:proofErr w:type="spellEnd"/>
      <w:r w:rsidR="009853C5">
        <w:rPr>
          <w:rFonts w:ascii="Times New Roman" w:eastAsia="Arial" w:hAnsi="Times New Roman" w:cs="Times New Roman"/>
          <w:bCs/>
          <w:sz w:val="24"/>
          <w:szCs w:val="24"/>
        </w:rPr>
        <w:t xml:space="preserve"> deste trabalho foram construídas variáveis binárias para representar:</w:t>
      </w:r>
    </w:p>
    <w:p w14:paraId="0FDF1030" w14:textId="6E454DC2" w:rsidR="009853C5" w:rsidRDefault="009853C5" w:rsidP="009853C5">
      <w:pPr>
        <w:tabs>
          <w:tab w:val="left" w:pos="4260"/>
        </w:tabs>
        <w:spacing w:after="0" w:line="240" w:lineRule="auto"/>
        <w:ind w:firstLine="709"/>
        <w:contextualSpacing/>
        <w:jc w:val="both"/>
        <w:rPr>
          <w:rFonts w:ascii="Times New Roman" w:eastAsia="Arial" w:hAnsi="Times New Roman" w:cs="Times New Roman"/>
          <w:bCs/>
          <w:sz w:val="24"/>
          <w:szCs w:val="24"/>
        </w:rPr>
      </w:pPr>
      <w:r>
        <w:rPr>
          <w:rFonts w:ascii="Times New Roman" w:eastAsia="Arial" w:hAnsi="Times New Roman" w:cs="Times New Roman"/>
          <w:bCs/>
          <w:sz w:val="24"/>
          <w:szCs w:val="24"/>
        </w:rPr>
        <w:t>- mesorregiões:</w:t>
      </w:r>
      <w:r w:rsidR="00270E64" w:rsidRPr="00270E64">
        <w:rPr>
          <w:rFonts w:ascii="Times New Roman" w:eastAsia="Arial" w:hAnsi="Times New Roman" w:cs="Times New Roman"/>
          <w:bCs/>
          <w:sz w:val="24"/>
          <w:szCs w:val="24"/>
        </w:rPr>
        <w:t xml:space="preserve"> </w:t>
      </w:r>
      <w:r w:rsidR="00270E64">
        <w:rPr>
          <w:rFonts w:ascii="Times New Roman" w:eastAsia="Arial" w:hAnsi="Times New Roman" w:cs="Times New Roman"/>
          <w:bCs/>
          <w:sz w:val="24"/>
          <w:szCs w:val="24"/>
        </w:rPr>
        <w:t>Nordeste-RG</w:t>
      </w:r>
      <w:r>
        <w:rPr>
          <w:rFonts w:ascii="Times New Roman" w:eastAsia="Arial" w:hAnsi="Times New Roman" w:cs="Times New Roman"/>
          <w:bCs/>
          <w:sz w:val="24"/>
          <w:szCs w:val="24"/>
        </w:rPr>
        <w:t xml:space="preserve"> </w:t>
      </w:r>
      <w:r w:rsidR="00C4065C">
        <w:rPr>
          <w:rFonts w:ascii="Times New Roman" w:eastAsia="Arial" w:hAnsi="Times New Roman" w:cs="Times New Roman"/>
          <w:bCs/>
          <w:sz w:val="24"/>
          <w:szCs w:val="24"/>
        </w:rPr>
        <w:t>(</w:t>
      </w:r>
      <w:r w:rsidR="00270E64">
        <w:rPr>
          <w:rFonts w:ascii="Times New Roman" w:eastAsia="Arial" w:hAnsi="Times New Roman" w:cs="Times New Roman"/>
          <w:bCs/>
          <w:sz w:val="24"/>
          <w:szCs w:val="24"/>
        </w:rPr>
        <w:t>nordeste rio-grandense</w:t>
      </w:r>
      <w:r w:rsidR="00C4065C">
        <w:rPr>
          <w:rFonts w:ascii="Times New Roman" w:eastAsia="Arial" w:hAnsi="Times New Roman" w:cs="Times New Roman"/>
          <w:bCs/>
          <w:sz w:val="24"/>
          <w:szCs w:val="24"/>
        </w:rPr>
        <w:t xml:space="preserve">), </w:t>
      </w:r>
      <w:r w:rsidR="00270E64">
        <w:rPr>
          <w:rFonts w:ascii="Times New Roman" w:eastAsia="Arial" w:hAnsi="Times New Roman" w:cs="Times New Roman"/>
          <w:bCs/>
          <w:sz w:val="24"/>
          <w:szCs w:val="24"/>
        </w:rPr>
        <w:t>Centro Ocidental-RG</w:t>
      </w:r>
      <w:r w:rsidR="00270E64" w:rsidRPr="00270E64">
        <w:rPr>
          <w:rFonts w:ascii="Times New Roman" w:eastAsia="Arial" w:hAnsi="Times New Roman" w:cs="Times New Roman"/>
          <w:bCs/>
          <w:sz w:val="24"/>
          <w:szCs w:val="24"/>
        </w:rPr>
        <w:t xml:space="preserve"> </w:t>
      </w:r>
      <w:r w:rsidR="00C4065C">
        <w:rPr>
          <w:rFonts w:ascii="Times New Roman" w:eastAsia="Arial" w:hAnsi="Times New Roman" w:cs="Times New Roman"/>
          <w:bCs/>
          <w:sz w:val="24"/>
          <w:szCs w:val="24"/>
        </w:rPr>
        <w:t>(</w:t>
      </w:r>
      <w:r w:rsidR="00270E64">
        <w:rPr>
          <w:rFonts w:ascii="Times New Roman" w:eastAsia="Arial" w:hAnsi="Times New Roman" w:cs="Times New Roman"/>
          <w:bCs/>
          <w:sz w:val="24"/>
          <w:szCs w:val="24"/>
        </w:rPr>
        <w:t>centro ocidental rio-grandense</w:t>
      </w:r>
      <w:r w:rsidR="000C78F2">
        <w:rPr>
          <w:rFonts w:ascii="Times New Roman" w:eastAsia="Arial" w:hAnsi="Times New Roman" w:cs="Times New Roman"/>
          <w:bCs/>
          <w:sz w:val="24"/>
          <w:szCs w:val="24"/>
        </w:rPr>
        <w:t xml:space="preserve">), </w:t>
      </w:r>
      <w:r w:rsidR="00270E64">
        <w:rPr>
          <w:rFonts w:ascii="Times New Roman" w:eastAsia="Arial" w:hAnsi="Times New Roman" w:cs="Times New Roman"/>
          <w:bCs/>
          <w:sz w:val="24"/>
          <w:szCs w:val="24"/>
        </w:rPr>
        <w:t xml:space="preserve">Centro Oriental – RG </w:t>
      </w:r>
      <w:r w:rsidR="00C4065C">
        <w:rPr>
          <w:rFonts w:ascii="Times New Roman" w:eastAsia="Arial" w:hAnsi="Times New Roman" w:cs="Times New Roman"/>
          <w:bCs/>
          <w:sz w:val="24"/>
          <w:szCs w:val="24"/>
        </w:rPr>
        <w:t>(</w:t>
      </w:r>
      <w:r w:rsidR="00270E64">
        <w:rPr>
          <w:rFonts w:ascii="Times New Roman" w:eastAsia="Arial" w:hAnsi="Times New Roman" w:cs="Times New Roman"/>
          <w:bCs/>
          <w:sz w:val="24"/>
          <w:szCs w:val="24"/>
        </w:rPr>
        <w:t>centro oriental rio-grandense</w:t>
      </w:r>
      <w:r w:rsidR="00C4065C">
        <w:rPr>
          <w:rFonts w:ascii="Times New Roman" w:eastAsia="Arial" w:hAnsi="Times New Roman" w:cs="Times New Roman"/>
          <w:bCs/>
          <w:sz w:val="24"/>
          <w:szCs w:val="24"/>
        </w:rPr>
        <w:t xml:space="preserve">), </w:t>
      </w:r>
      <w:r w:rsidR="00270E64">
        <w:rPr>
          <w:rFonts w:ascii="Times New Roman" w:eastAsia="Arial" w:hAnsi="Times New Roman" w:cs="Times New Roman"/>
          <w:bCs/>
          <w:sz w:val="24"/>
          <w:szCs w:val="24"/>
        </w:rPr>
        <w:t>Metropolitana de PA</w:t>
      </w:r>
      <w:r w:rsidR="00270E64" w:rsidRPr="00270E64">
        <w:rPr>
          <w:rFonts w:ascii="Times New Roman" w:eastAsia="Arial" w:hAnsi="Times New Roman" w:cs="Times New Roman"/>
          <w:bCs/>
          <w:sz w:val="24"/>
          <w:szCs w:val="24"/>
        </w:rPr>
        <w:t xml:space="preserve"> </w:t>
      </w:r>
      <w:r w:rsidR="00C4065C">
        <w:rPr>
          <w:rFonts w:ascii="Times New Roman" w:eastAsia="Arial" w:hAnsi="Times New Roman" w:cs="Times New Roman"/>
          <w:bCs/>
          <w:sz w:val="24"/>
          <w:szCs w:val="24"/>
        </w:rPr>
        <w:t>(</w:t>
      </w:r>
      <w:r w:rsidR="00270E64">
        <w:rPr>
          <w:rFonts w:ascii="Times New Roman" w:eastAsia="Arial" w:hAnsi="Times New Roman" w:cs="Times New Roman"/>
          <w:bCs/>
          <w:sz w:val="24"/>
          <w:szCs w:val="24"/>
        </w:rPr>
        <w:t>metropolitana de Porto Alegre</w:t>
      </w:r>
      <w:r w:rsidR="00C4065C">
        <w:rPr>
          <w:rFonts w:ascii="Times New Roman" w:eastAsia="Arial" w:hAnsi="Times New Roman" w:cs="Times New Roman"/>
          <w:bCs/>
          <w:sz w:val="24"/>
          <w:szCs w:val="24"/>
        </w:rPr>
        <w:t>),</w:t>
      </w:r>
      <w:r w:rsidR="00270E64">
        <w:rPr>
          <w:rFonts w:ascii="Times New Roman" w:eastAsia="Arial" w:hAnsi="Times New Roman" w:cs="Times New Roman"/>
          <w:bCs/>
          <w:sz w:val="24"/>
          <w:szCs w:val="24"/>
        </w:rPr>
        <w:t xml:space="preserve"> Sudoeste – RG</w:t>
      </w:r>
      <w:r w:rsidR="000C78F2">
        <w:rPr>
          <w:rFonts w:ascii="Times New Roman" w:eastAsia="Arial" w:hAnsi="Times New Roman" w:cs="Times New Roman"/>
          <w:bCs/>
          <w:sz w:val="24"/>
          <w:szCs w:val="24"/>
        </w:rPr>
        <w:t xml:space="preserve"> (</w:t>
      </w:r>
      <w:r w:rsidR="00270E64">
        <w:rPr>
          <w:rFonts w:ascii="Times New Roman" w:eastAsia="Arial" w:hAnsi="Times New Roman" w:cs="Times New Roman"/>
          <w:bCs/>
          <w:sz w:val="24"/>
          <w:szCs w:val="24"/>
        </w:rPr>
        <w:t>sudoeste rio-grandense</w:t>
      </w:r>
      <w:r w:rsidR="000C78F2">
        <w:rPr>
          <w:rFonts w:ascii="Times New Roman" w:eastAsia="Arial" w:hAnsi="Times New Roman" w:cs="Times New Roman"/>
          <w:bCs/>
          <w:sz w:val="24"/>
          <w:szCs w:val="24"/>
        </w:rPr>
        <w:t xml:space="preserve">) e </w:t>
      </w:r>
      <w:r w:rsidR="00270E64">
        <w:rPr>
          <w:rFonts w:ascii="Times New Roman" w:eastAsia="Arial" w:hAnsi="Times New Roman" w:cs="Times New Roman"/>
          <w:bCs/>
          <w:sz w:val="24"/>
          <w:szCs w:val="24"/>
        </w:rPr>
        <w:t>Sudeste – RG</w:t>
      </w:r>
      <w:r w:rsidR="00270E64" w:rsidRPr="00270E64">
        <w:rPr>
          <w:rFonts w:ascii="Times New Roman" w:eastAsia="Arial" w:hAnsi="Times New Roman" w:cs="Times New Roman"/>
          <w:bCs/>
          <w:sz w:val="24"/>
          <w:szCs w:val="24"/>
        </w:rPr>
        <w:t xml:space="preserve"> </w:t>
      </w:r>
      <w:r w:rsidR="000C78F2">
        <w:rPr>
          <w:rFonts w:ascii="Times New Roman" w:eastAsia="Arial" w:hAnsi="Times New Roman" w:cs="Times New Roman"/>
          <w:bCs/>
          <w:sz w:val="24"/>
          <w:szCs w:val="24"/>
        </w:rPr>
        <w:t>(</w:t>
      </w:r>
      <w:r w:rsidR="00270E64">
        <w:rPr>
          <w:rFonts w:ascii="Times New Roman" w:eastAsia="Arial" w:hAnsi="Times New Roman" w:cs="Times New Roman"/>
          <w:bCs/>
          <w:sz w:val="24"/>
          <w:szCs w:val="24"/>
        </w:rPr>
        <w:t>sudeste rio-grandense</w:t>
      </w:r>
      <w:r w:rsidR="000C78F2">
        <w:rPr>
          <w:rFonts w:ascii="Times New Roman" w:eastAsia="Arial" w:hAnsi="Times New Roman" w:cs="Times New Roman"/>
          <w:bCs/>
          <w:sz w:val="24"/>
          <w:szCs w:val="24"/>
        </w:rPr>
        <w:t>).</w:t>
      </w:r>
      <w:r w:rsidR="003F193A">
        <w:rPr>
          <w:rFonts w:ascii="Times New Roman" w:eastAsia="Arial" w:hAnsi="Times New Roman" w:cs="Times New Roman"/>
          <w:bCs/>
          <w:sz w:val="24"/>
          <w:szCs w:val="24"/>
        </w:rPr>
        <w:t xml:space="preserve"> A mesorregião Noroeste Rio-Grandense foi definida como categoria de referência;</w:t>
      </w:r>
    </w:p>
    <w:p w14:paraId="625169CE" w14:textId="0BBF7161" w:rsidR="003F193A" w:rsidRDefault="003F193A" w:rsidP="009853C5">
      <w:pPr>
        <w:tabs>
          <w:tab w:val="left" w:pos="4260"/>
        </w:tabs>
        <w:spacing w:after="0" w:line="240" w:lineRule="auto"/>
        <w:ind w:firstLine="709"/>
        <w:contextualSpacing/>
        <w:jc w:val="both"/>
        <w:rPr>
          <w:rFonts w:ascii="Times New Roman" w:eastAsia="Arial" w:hAnsi="Times New Roman" w:cs="Times New Roman"/>
          <w:bCs/>
          <w:sz w:val="24"/>
          <w:szCs w:val="24"/>
        </w:rPr>
      </w:pPr>
      <w:r>
        <w:rPr>
          <w:rFonts w:ascii="Times New Roman" w:eastAsia="Arial" w:hAnsi="Times New Roman" w:cs="Times New Roman"/>
          <w:bCs/>
          <w:sz w:val="24"/>
          <w:szCs w:val="24"/>
        </w:rPr>
        <w:t>-</w:t>
      </w:r>
      <w:r w:rsidR="00270E64">
        <w:rPr>
          <w:rFonts w:ascii="Times New Roman" w:eastAsia="Arial" w:hAnsi="Times New Roman" w:cs="Times New Roman"/>
          <w:bCs/>
          <w:sz w:val="24"/>
          <w:szCs w:val="24"/>
        </w:rPr>
        <w:t xml:space="preserve"> </w:t>
      </w:r>
      <w:r>
        <w:rPr>
          <w:rFonts w:ascii="Times New Roman" w:eastAsia="Arial" w:hAnsi="Times New Roman" w:cs="Times New Roman"/>
          <w:bCs/>
          <w:sz w:val="24"/>
          <w:szCs w:val="24"/>
        </w:rPr>
        <w:t>nível de ensino formal:</w:t>
      </w:r>
      <w:r w:rsidR="00270E64">
        <w:rPr>
          <w:rFonts w:ascii="Times New Roman" w:eastAsia="Arial" w:hAnsi="Times New Roman" w:cs="Times New Roman"/>
          <w:bCs/>
          <w:sz w:val="24"/>
          <w:szCs w:val="24"/>
        </w:rPr>
        <w:t xml:space="preserve"> Fundamental I, Fundamental II, Médio Incompleto, Médio Completo, Superior Incompleto, Superior Completo, Pós-Graduação. Categoria de referência: ausência de ensino formal;</w:t>
      </w:r>
    </w:p>
    <w:p w14:paraId="3A0277EC" w14:textId="2BDDB025" w:rsidR="00270E64" w:rsidRDefault="00D0388C" w:rsidP="009853C5">
      <w:pPr>
        <w:tabs>
          <w:tab w:val="left" w:pos="4260"/>
        </w:tabs>
        <w:spacing w:after="0" w:line="240" w:lineRule="auto"/>
        <w:ind w:firstLine="709"/>
        <w:contextualSpacing/>
        <w:jc w:val="both"/>
        <w:rPr>
          <w:rFonts w:ascii="Times New Roman" w:eastAsia="Arial" w:hAnsi="Times New Roman" w:cs="Times New Roman"/>
          <w:bCs/>
          <w:sz w:val="24"/>
          <w:szCs w:val="24"/>
        </w:rPr>
      </w:pPr>
      <w:r>
        <w:rPr>
          <w:rFonts w:ascii="Times New Roman" w:eastAsia="Arial" w:hAnsi="Times New Roman" w:cs="Times New Roman"/>
          <w:bCs/>
          <w:sz w:val="24"/>
          <w:szCs w:val="24"/>
        </w:rPr>
        <w:t>- tempo de permanência no emprego: 1 a 3 anos, 2 a 5 anos, 5 a 10 anos, 10 anos ou mais. A categoria de referência para esse conjunto de binárias foi tempo de permanência no emprego inferior a 1 ano.</w:t>
      </w:r>
    </w:p>
    <w:p w14:paraId="0F2F7D11" w14:textId="72BB5368" w:rsidR="00D0388C" w:rsidRDefault="00D0388C" w:rsidP="009853C5">
      <w:pPr>
        <w:tabs>
          <w:tab w:val="left" w:pos="4260"/>
        </w:tabs>
        <w:spacing w:after="0" w:line="240" w:lineRule="auto"/>
        <w:ind w:firstLine="709"/>
        <w:contextualSpacing/>
        <w:jc w:val="both"/>
        <w:rPr>
          <w:rFonts w:ascii="Times New Roman" w:eastAsia="Arial" w:hAnsi="Times New Roman" w:cs="Times New Roman"/>
          <w:bCs/>
          <w:sz w:val="24"/>
          <w:szCs w:val="24"/>
        </w:rPr>
      </w:pPr>
      <w:r>
        <w:rPr>
          <w:rFonts w:ascii="Times New Roman" w:eastAsia="Arial" w:hAnsi="Times New Roman" w:cs="Times New Roman"/>
          <w:bCs/>
          <w:sz w:val="24"/>
          <w:szCs w:val="24"/>
        </w:rPr>
        <w:t>- anos: 2001, 2002, 2003, 2004, 2005, 2006, 2007, 2008, 2009, 2010, 2011, 2012, 2013, 2014, 2015, 2016 e 2017.</w:t>
      </w:r>
    </w:p>
    <w:p w14:paraId="4EC7B723" w14:textId="77777777" w:rsidR="00A9456A" w:rsidRDefault="00A9456A" w:rsidP="009853C5">
      <w:pPr>
        <w:tabs>
          <w:tab w:val="left" w:pos="4260"/>
        </w:tabs>
        <w:spacing w:after="0" w:line="240" w:lineRule="auto"/>
        <w:ind w:firstLine="709"/>
        <w:contextualSpacing/>
        <w:jc w:val="both"/>
        <w:rPr>
          <w:rFonts w:ascii="Times New Roman" w:eastAsia="Arial" w:hAnsi="Times New Roman" w:cs="Times New Roman"/>
          <w:bCs/>
          <w:sz w:val="24"/>
          <w:szCs w:val="24"/>
        </w:rPr>
      </w:pPr>
    </w:p>
    <w:p w14:paraId="56F8CDB4" w14:textId="512A09AE" w:rsidR="00A9456A" w:rsidRDefault="00A9456A" w:rsidP="00A9456A">
      <w:pPr>
        <w:tabs>
          <w:tab w:val="left" w:pos="4260"/>
        </w:tabs>
        <w:spacing w:after="0" w:line="240" w:lineRule="auto"/>
        <w:ind w:firstLine="709"/>
        <w:contextualSpacing/>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Além disso, foram </w:t>
      </w:r>
      <w:r w:rsidR="009B38B6">
        <w:rPr>
          <w:rFonts w:ascii="Times New Roman" w:eastAsia="Arial" w:hAnsi="Times New Roman" w:cs="Times New Roman"/>
          <w:bCs/>
          <w:sz w:val="24"/>
          <w:szCs w:val="24"/>
        </w:rPr>
        <w:t>inseridas</w:t>
      </w:r>
      <w:r w:rsidR="004E1089">
        <w:rPr>
          <w:rFonts w:ascii="Times New Roman" w:eastAsia="Arial" w:hAnsi="Times New Roman" w:cs="Times New Roman"/>
          <w:bCs/>
          <w:sz w:val="24"/>
          <w:szCs w:val="24"/>
        </w:rPr>
        <w:t xml:space="preserve"> no modelo as variáveis idade e</w:t>
      </w:r>
      <w:r>
        <w:rPr>
          <w:rFonts w:ascii="Times New Roman" w:eastAsia="Arial" w:hAnsi="Times New Roman" w:cs="Times New Roman"/>
          <w:bCs/>
          <w:sz w:val="24"/>
          <w:szCs w:val="24"/>
        </w:rPr>
        <w:t xml:space="preserve"> idade ao quadrado (idade^2),</w:t>
      </w:r>
      <w:r w:rsidR="004E1089">
        <w:rPr>
          <w:rFonts w:ascii="Times New Roman" w:eastAsia="Arial" w:hAnsi="Times New Roman" w:cs="Times New Roman"/>
          <w:bCs/>
          <w:sz w:val="24"/>
          <w:szCs w:val="24"/>
        </w:rPr>
        <w:t xml:space="preserve"> além de variáveis binárias para</w:t>
      </w:r>
      <w:r>
        <w:rPr>
          <w:rFonts w:ascii="Times New Roman" w:eastAsia="Arial" w:hAnsi="Times New Roman" w:cs="Times New Roman"/>
          <w:bCs/>
          <w:sz w:val="24"/>
          <w:szCs w:val="24"/>
        </w:rPr>
        <w:t xml:space="preserve"> sexo</w:t>
      </w:r>
      <w:r w:rsidR="0039231B">
        <w:rPr>
          <w:rFonts w:ascii="Times New Roman" w:eastAsia="Arial" w:hAnsi="Times New Roman" w:cs="Times New Roman"/>
          <w:bCs/>
          <w:sz w:val="24"/>
          <w:szCs w:val="24"/>
        </w:rPr>
        <w:t xml:space="preserve"> (feminino)</w:t>
      </w:r>
      <w:r>
        <w:rPr>
          <w:rFonts w:ascii="Times New Roman" w:eastAsia="Arial" w:hAnsi="Times New Roman" w:cs="Times New Roman"/>
          <w:bCs/>
          <w:sz w:val="24"/>
          <w:szCs w:val="24"/>
        </w:rPr>
        <w:t xml:space="preserve"> e cor</w:t>
      </w:r>
      <w:r w:rsidR="0039231B">
        <w:rPr>
          <w:rFonts w:ascii="Times New Roman" w:eastAsia="Arial" w:hAnsi="Times New Roman" w:cs="Times New Roman"/>
          <w:bCs/>
          <w:sz w:val="24"/>
          <w:szCs w:val="24"/>
        </w:rPr>
        <w:t xml:space="preserve"> </w:t>
      </w:r>
      <w:r w:rsidR="009B38B6">
        <w:rPr>
          <w:rFonts w:ascii="Times New Roman" w:eastAsia="Arial" w:hAnsi="Times New Roman" w:cs="Times New Roman"/>
          <w:bCs/>
          <w:sz w:val="24"/>
          <w:szCs w:val="24"/>
        </w:rPr>
        <w:t xml:space="preserve">do indivíduo </w:t>
      </w:r>
      <w:r w:rsidR="0039231B">
        <w:rPr>
          <w:rFonts w:ascii="Times New Roman" w:eastAsia="Arial" w:hAnsi="Times New Roman" w:cs="Times New Roman"/>
          <w:bCs/>
          <w:sz w:val="24"/>
          <w:szCs w:val="24"/>
        </w:rPr>
        <w:t>(branco)</w:t>
      </w:r>
      <w:r>
        <w:rPr>
          <w:rFonts w:ascii="Times New Roman" w:eastAsia="Arial" w:hAnsi="Times New Roman" w:cs="Times New Roman"/>
          <w:bCs/>
          <w:sz w:val="24"/>
          <w:szCs w:val="24"/>
        </w:rPr>
        <w:t>.</w:t>
      </w:r>
      <w:r w:rsidR="0039231B">
        <w:rPr>
          <w:rFonts w:ascii="Times New Roman" w:eastAsia="Arial" w:hAnsi="Times New Roman" w:cs="Times New Roman"/>
          <w:bCs/>
          <w:sz w:val="24"/>
          <w:szCs w:val="24"/>
        </w:rPr>
        <w:t xml:space="preserve"> Optou-se por representar a cor do indivíduo com apenas uma variável binária em razão da baixa frequência de outras declarações na população d</w:t>
      </w:r>
      <w:r w:rsidR="00B61008">
        <w:rPr>
          <w:rFonts w:ascii="Times New Roman" w:eastAsia="Arial" w:hAnsi="Times New Roman" w:cs="Times New Roman"/>
          <w:bCs/>
          <w:sz w:val="24"/>
          <w:szCs w:val="24"/>
        </w:rPr>
        <w:t>e</w:t>
      </w:r>
      <w:r w:rsidR="0039231B">
        <w:rPr>
          <w:rFonts w:ascii="Times New Roman" w:eastAsia="Arial" w:hAnsi="Times New Roman" w:cs="Times New Roman"/>
          <w:bCs/>
          <w:sz w:val="24"/>
          <w:szCs w:val="24"/>
        </w:rPr>
        <w:t xml:space="preserve"> estudo. Dessa forma, a interpretação dos resultados para essa variável ficou restrita a duas categorias: brancos e não brancos. </w:t>
      </w:r>
      <w:r>
        <w:rPr>
          <w:rFonts w:ascii="Times New Roman" w:eastAsia="Arial" w:hAnsi="Times New Roman" w:cs="Times New Roman"/>
          <w:bCs/>
          <w:sz w:val="24"/>
          <w:szCs w:val="24"/>
        </w:rPr>
        <w:t xml:space="preserve"> </w:t>
      </w:r>
      <w:r w:rsidR="0039231B">
        <w:rPr>
          <w:rFonts w:ascii="Times New Roman" w:eastAsia="Arial" w:hAnsi="Times New Roman" w:cs="Times New Roman"/>
          <w:bCs/>
          <w:sz w:val="24"/>
          <w:szCs w:val="24"/>
        </w:rPr>
        <w:t>A</w:t>
      </w:r>
      <w:r>
        <w:rPr>
          <w:rFonts w:ascii="Times New Roman" w:eastAsia="Arial" w:hAnsi="Times New Roman" w:cs="Times New Roman"/>
          <w:bCs/>
          <w:sz w:val="24"/>
          <w:szCs w:val="24"/>
        </w:rPr>
        <w:t xml:space="preserve"> equação </w:t>
      </w:r>
      <w:proofErr w:type="spellStart"/>
      <w:r>
        <w:rPr>
          <w:rFonts w:ascii="Times New Roman" w:eastAsia="Arial" w:hAnsi="Times New Roman" w:cs="Times New Roman"/>
          <w:bCs/>
          <w:sz w:val="24"/>
          <w:szCs w:val="24"/>
        </w:rPr>
        <w:t>minceriana</w:t>
      </w:r>
      <w:proofErr w:type="spellEnd"/>
      <w:r>
        <w:rPr>
          <w:rFonts w:ascii="Times New Roman" w:eastAsia="Arial" w:hAnsi="Times New Roman" w:cs="Times New Roman"/>
          <w:bCs/>
          <w:sz w:val="24"/>
          <w:szCs w:val="24"/>
        </w:rPr>
        <w:t xml:space="preserve"> de salários utilizada neste trabalho apresentou a seguinte forma:</w:t>
      </w:r>
    </w:p>
    <w:p w14:paraId="5EC9A263" w14:textId="77777777" w:rsidR="00A9456A" w:rsidRDefault="00A9456A" w:rsidP="00A9456A">
      <w:pPr>
        <w:tabs>
          <w:tab w:val="left" w:pos="4260"/>
        </w:tabs>
        <w:spacing w:after="0" w:line="240" w:lineRule="auto"/>
        <w:ind w:firstLine="709"/>
        <w:contextualSpacing/>
        <w:jc w:val="both"/>
        <w:rPr>
          <w:rFonts w:ascii="Times New Roman" w:eastAsia="Arial" w:hAnsi="Times New Roman" w:cs="Times New Roman"/>
          <w:bCs/>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775"/>
        <w:gridCol w:w="496"/>
      </w:tblGrid>
      <w:tr w:rsidR="00254D6B" w14:paraId="10647999" w14:textId="77777777" w:rsidTr="00254D6B">
        <w:trPr>
          <w:jc w:val="center"/>
        </w:trPr>
        <w:tc>
          <w:tcPr>
            <w:tcW w:w="0" w:type="auto"/>
          </w:tcPr>
          <w:p w14:paraId="7999AD22" w14:textId="1BF34CCD" w:rsidR="00254D6B" w:rsidRDefault="00254D6B" w:rsidP="00254D6B">
            <w:pPr>
              <w:tabs>
                <w:tab w:val="left" w:pos="4260"/>
              </w:tabs>
              <w:ind w:firstLine="709"/>
              <w:contextualSpacing/>
              <w:rPr>
                <w:rFonts w:ascii="Times New Roman" w:eastAsia="Arial" w:hAnsi="Times New Roman" w:cs="Times New Roman"/>
                <w:bCs/>
                <w:sz w:val="24"/>
                <w:szCs w:val="24"/>
              </w:rPr>
            </w:pPr>
            <m:oMath>
              <m:r>
                <w:rPr>
                  <w:rFonts w:ascii="Cambria Math" w:eastAsia="Arial" w:hAnsi="Cambria Math" w:cs="Times New Roman"/>
                  <w:sz w:val="24"/>
                  <w:szCs w:val="24"/>
                </w:rPr>
                <m:t>Log</m:t>
              </m:r>
              <m:d>
                <m:dPr>
                  <m:ctrlPr>
                    <w:rPr>
                      <w:rFonts w:ascii="Cambria Math" w:eastAsia="Arial" w:hAnsi="Cambria Math" w:cs="Times New Roman"/>
                      <w:bCs/>
                      <w:i/>
                      <w:sz w:val="24"/>
                      <w:szCs w:val="24"/>
                    </w:rPr>
                  </m:ctrlPr>
                </m:dPr>
                <m:e>
                  <m:r>
                    <w:rPr>
                      <w:rFonts w:ascii="Cambria Math" w:eastAsia="Arial" w:hAnsi="Cambria Math" w:cs="Times New Roman"/>
                      <w:sz w:val="24"/>
                      <w:szCs w:val="24"/>
                    </w:rPr>
                    <m:t>salário</m:t>
                  </m:r>
                </m:e>
              </m:d>
              <m:r>
                <w:rPr>
                  <w:rFonts w:ascii="Cambria Math" w:eastAsia="Arial" w:hAnsi="Cambria Math" w:cs="Times New Roman"/>
                  <w:sz w:val="24"/>
                  <w:szCs w:val="24"/>
                </w:rPr>
                <m:t>=</m:t>
              </m:r>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0</m:t>
                  </m:r>
                </m:sub>
              </m:sSub>
              <m:r>
                <w:rPr>
                  <w:rFonts w:ascii="Cambria Math" w:eastAsia="Arial" w:hAnsi="Cambria Math" w:cs="Times New Roman"/>
                  <w:sz w:val="24"/>
                  <w:szCs w:val="24"/>
                </w:rPr>
                <m:t>+</m:t>
              </m:r>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1</m:t>
                  </m:r>
                </m:sub>
              </m:sSub>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I</m:t>
                  </m:r>
                </m:e>
                <m:sub>
                  <m:r>
                    <w:rPr>
                      <w:rFonts w:ascii="Cambria Math" w:eastAsia="Arial" w:hAnsi="Cambria Math" w:cs="Times New Roman"/>
                      <w:sz w:val="24"/>
                      <w:szCs w:val="24"/>
                    </w:rPr>
                    <m:t>1</m:t>
                  </m:r>
                </m:sub>
              </m:sSub>
              <m:r>
                <w:rPr>
                  <w:rFonts w:ascii="Cambria Math" w:eastAsia="Arial" w:hAnsi="Cambria Math" w:cs="Times New Roman"/>
                  <w:sz w:val="24"/>
                  <w:szCs w:val="24"/>
                </w:rPr>
                <m:t>+</m:t>
              </m:r>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2</m:t>
                  </m:r>
                </m:sub>
              </m:sSub>
              <m:sSubSup>
                <m:sSubSupPr>
                  <m:ctrlPr>
                    <w:rPr>
                      <w:rFonts w:ascii="Cambria Math" w:eastAsia="Arial" w:hAnsi="Cambria Math" w:cs="Times New Roman"/>
                      <w:bCs/>
                      <w:i/>
                      <w:sz w:val="24"/>
                      <w:szCs w:val="24"/>
                    </w:rPr>
                  </m:ctrlPr>
                </m:sSubSupPr>
                <m:e>
                  <m:r>
                    <w:rPr>
                      <w:rFonts w:ascii="Cambria Math" w:eastAsia="Arial" w:hAnsi="Cambria Math" w:cs="Times New Roman"/>
                      <w:sz w:val="24"/>
                      <w:szCs w:val="24"/>
                    </w:rPr>
                    <m:t>I</m:t>
                  </m:r>
                </m:e>
                <m:sub>
                  <m:r>
                    <w:rPr>
                      <w:rFonts w:ascii="Cambria Math" w:eastAsia="Arial" w:hAnsi="Cambria Math" w:cs="Times New Roman"/>
                      <w:sz w:val="24"/>
                      <w:szCs w:val="24"/>
                    </w:rPr>
                    <m:t>1</m:t>
                  </m:r>
                </m:sub>
                <m:sup>
                  <m:r>
                    <w:rPr>
                      <w:rFonts w:ascii="Cambria Math" w:eastAsia="Arial" w:hAnsi="Cambria Math" w:cs="Times New Roman"/>
                      <w:sz w:val="24"/>
                      <w:szCs w:val="24"/>
                    </w:rPr>
                    <m:t>2</m:t>
                  </m:r>
                </m:sup>
              </m:sSubSup>
              <m:r>
                <w:rPr>
                  <w:rFonts w:ascii="Cambria Math" w:eastAsia="Arial" w:hAnsi="Cambria Math" w:cs="Times New Roman"/>
                  <w:sz w:val="24"/>
                  <w:szCs w:val="24"/>
                </w:rPr>
                <m:t>+</m:t>
              </m:r>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3</m:t>
                  </m:r>
                </m:sub>
              </m:sSub>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S</m:t>
                  </m:r>
                </m:e>
                <m:sub>
                  <m:r>
                    <w:rPr>
                      <w:rFonts w:ascii="Cambria Math" w:eastAsia="Arial" w:hAnsi="Cambria Math" w:cs="Times New Roman"/>
                      <w:sz w:val="24"/>
                      <w:szCs w:val="24"/>
                    </w:rPr>
                    <m:t>i</m:t>
                  </m:r>
                </m:sub>
              </m:sSub>
            </m:oMath>
            <w:r>
              <w:rPr>
                <w:rFonts w:ascii="Times New Roman" w:eastAsia="Arial" w:hAnsi="Times New Roman" w:cs="Times New Roman"/>
                <w:bCs/>
                <w:sz w:val="24"/>
                <w:szCs w:val="24"/>
              </w:rPr>
              <w:t>+</w:t>
            </w:r>
            <m:oMath>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4</m:t>
                  </m:r>
                </m:sub>
              </m:sSub>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C</m:t>
                  </m:r>
                </m:e>
                <m:sub>
                  <m:r>
                    <w:rPr>
                      <w:rFonts w:ascii="Cambria Math" w:eastAsia="Arial" w:hAnsi="Cambria Math" w:cs="Times New Roman"/>
                      <w:sz w:val="24"/>
                      <w:szCs w:val="24"/>
                    </w:rPr>
                    <m:t>4</m:t>
                  </m:r>
                </m:sub>
              </m:sSub>
            </m:oMath>
            <w:r>
              <w:rPr>
                <w:rFonts w:ascii="Times New Roman" w:eastAsia="Arial" w:hAnsi="Times New Roman" w:cs="Times New Roman"/>
                <w:bCs/>
                <w:sz w:val="24"/>
                <w:szCs w:val="24"/>
              </w:rPr>
              <w:t>+</w:t>
            </w:r>
            <m:oMath>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5</m:t>
                  </m:r>
                </m:sub>
              </m:sSub>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M</m:t>
                  </m:r>
                </m:e>
                <m:sub>
                  <m:r>
                    <w:rPr>
                      <w:rFonts w:ascii="Cambria Math" w:eastAsia="Arial" w:hAnsi="Cambria Math" w:cs="Times New Roman"/>
                      <w:sz w:val="24"/>
                      <w:szCs w:val="24"/>
                    </w:rPr>
                    <m:t>i</m:t>
                  </m:r>
                </m:sub>
              </m:sSub>
            </m:oMath>
            <w:r>
              <w:rPr>
                <w:rFonts w:ascii="Times New Roman" w:eastAsia="Arial" w:hAnsi="Times New Roman" w:cs="Times New Roman"/>
                <w:bCs/>
                <w:sz w:val="24"/>
                <w:szCs w:val="24"/>
              </w:rPr>
              <w:t>+</w:t>
            </w:r>
            <m:oMath>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6</m:t>
                  </m:r>
                </m:sub>
              </m:sSub>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E</m:t>
                  </m:r>
                </m:e>
                <m:sub>
                  <m:r>
                    <w:rPr>
                      <w:rFonts w:ascii="Cambria Math" w:eastAsia="Arial" w:hAnsi="Cambria Math" w:cs="Times New Roman"/>
                      <w:sz w:val="24"/>
                      <w:szCs w:val="24"/>
                    </w:rPr>
                    <m:t>i</m:t>
                  </m:r>
                </m:sub>
              </m:sSub>
            </m:oMath>
            <w:r>
              <w:rPr>
                <w:rFonts w:ascii="Times New Roman" w:eastAsia="Arial" w:hAnsi="Times New Roman" w:cs="Times New Roman"/>
                <w:bCs/>
                <w:sz w:val="24"/>
                <w:szCs w:val="24"/>
              </w:rPr>
              <w:t>+</w:t>
            </w:r>
            <m:oMath>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7</m:t>
                  </m:r>
                </m:sub>
              </m:sSub>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Te</m:t>
                  </m:r>
                </m:e>
                <m:sub>
                  <m:r>
                    <w:rPr>
                      <w:rFonts w:ascii="Cambria Math" w:eastAsia="Arial" w:hAnsi="Cambria Math" w:cs="Times New Roman"/>
                      <w:sz w:val="24"/>
                      <w:szCs w:val="24"/>
                    </w:rPr>
                    <m:t>i</m:t>
                  </m:r>
                </m:sub>
              </m:sSub>
            </m:oMath>
            <w:r w:rsidR="006128FB">
              <w:rPr>
                <w:rFonts w:ascii="Times New Roman" w:eastAsia="Arial" w:hAnsi="Times New Roman" w:cs="Times New Roman"/>
                <w:bCs/>
                <w:sz w:val="24"/>
                <w:szCs w:val="24"/>
              </w:rPr>
              <w:t>+</w:t>
            </w:r>
            <m:oMath>
              <m:r>
                <w:rPr>
                  <w:rFonts w:ascii="Cambria Math" w:eastAsia="Arial" w:hAnsi="Cambria Math" w:cs="Times New Roman"/>
                  <w:sz w:val="24"/>
                  <w:szCs w:val="24"/>
                </w:rPr>
                <m:t>ε</m:t>
              </m:r>
            </m:oMath>
          </w:p>
          <w:p w14:paraId="5A3640E2" w14:textId="77777777" w:rsidR="00254D6B" w:rsidRDefault="00254D6B" w:rsidP="00254D6B">
            <w:pPr>
              <w:tabs>
                <w:tab w:val="left" w:pos="4260"/>
              </w:tabs>
              <w:contextualSpacing/>
              <w:jc w:val="center"/>
              <w:rPr>
                <w:rFonts w:ascii="Times New Roman" w:eastAsia="Arial" w:hAnsi="Times New Roman" w:cs="Times New Roman"/>
                <w:bCs/>
                <w:sz w:val="24"/>
                <w:szCs w:val="24"/>
              </w:rPr>
            </w:pPr>
          </w:p>
        </w:tc>
        <w:tc>
          <w:tcPr>
            <w:tcW w:w="0" w:type="auto"/>
          </w:tcPr>
          <w:p w14:paraId="6E64141C" w14:textId="04E1CFEC" w:rsidR="00254D6B" w:rsidRDefault="00254D6B" w:rsidP="00254D6B">
            <w:pPr>
              <w:tabs>
                <w:tab w:val="left" w:pos="4260"/>
              </w:tabs>
              <w:contextualSpacing/>
              <w:jc w:val="center"/>
              <w:rPr>
                <w:rFonts w:ascii="Times New Roman" w:eastAsia="Arial" w:hAnsi="Times New Roman" w:cs="Times New Roman"/>
                <w:bCs/>
                <w:sz w:val="24"/>
                <w:szCs w:val="24"/>
              </w:rPr>
            </w:pPr>
            <w:r>
              <w:rPr>
                <w:rFonts w:ascii="Times New Roman" w:eastAsia="Arial" w:hAnsi="Times New Roman" w:cs="Times New Roman"/>
                <w:bCs/>
                <w:sz w:val="24"/>
                <w:szCs w:val="24"/>
              </w:rPr>
              <w:t>(1)</w:t>
            </w:r>
          </w:p>
        </w:tc>
      </w:tr>
    </w:tbl>
    <w:p w14:paraId="21C9BE62" w14:textId="237C8080" w:rsidR="0011246A" w:rsidRDefault="00AC7899" w:rsidP="0011246A">
      <w:pPr>
        <w:tabs>
          <w:tab w:val="left" w:pos="4345"/>
        </w:tabs>
        <w:spacing w:after="0" w:line="240" w:lineRule="auto"/>
        <w:ind w:firstLine="709"/>
        <w:contextualSpacing/>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r w:rsidR="0039231B">
        <w:rPr>
          <w:rFonts w:ascii="Times New Roman" w:eastAsia="Arial" w:hAnsi="Times New Roman" w:cs="Times New Roman"/>
          <w:bCs/>
          <w:sz w:val="24"/>
          <w:szCs w:val="24"/>
        </w:rPr>
        <w:t xml:space="preserve">Onde, </w:t>
      </w:r>
      <m:oMath>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0</m:t>
            </m:r>
          </m:sub>
        </m:sSub>
      </m:oMath>
      <w:r w:rsidR="0039231B">
        <w:rPr>
          <w:rFonts w:ascii="Times New Roman" w:eastAsia="Arial" w:hAnsi="Times New Roman" w:cs="Times New Roman"/>
          <w:bCs/>
          <w:sz w:val="24"/>
          <w:szCs w:val="24"/>
        </w:rPr>
        <w:t xml:space="preserve"> </w:t>
      </w:r>
      <w:proofErr w:type="spellStart"/>
      <w:r w:rsidR="0039231B">
        <w:rPr>
          <w:rFonts w:ascii="Times New Roman" w:eastAsia="Arial" w:hAnsi="Times New Roman" w:cs="Times New Roman"/>
          <w:bCs/>
          <w:sz w:val="24"/>
          <w:szCs w:val="24"/>
        </w:rPr>
        <w:t>é</w:t>
      </w:r>
      <w:proofErr w:type="spellEnd"/>
      <w:r w:rsidR="0039231B">
        <w:rPr>
          <w:rFonts w:ascii="Times New Roman" w:eastAsia="Arial" w:hAnsi="Times New Roman" w:cs="Times New Roman"/>
          <w:bCs/>
          <w:sz w:val="24"/>
          <w:szCs w:val="24"/>
        </w:rPr>
        <w:t xml:space="preserve"> intercepto da equação, </w:t>
      </w:r>
      <m:oMath>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1</m:t>
            </m:r>
          </m:sub>
        </m:sSub>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I</m:t>
            </m:r>
          </m:e>
          <m:sub>
            <m:r>
              <w:rPr>
                <w:rFonts w:ascii="Cambria Math" w:eastAsia="Arial" w:hAnsi="Cambria Math" w:cs="Times New Roman"/>
                <w:sz w:val="24"/>
                <w:szCs w:val="24"/>
              </w:rPr>
              <m:t>1</m:t>
            </m:r>
          </m:sub>
        </m:sSub>
      </m:oMath>
      <w:r w:rsidR="00373950">
        <w:rPr>
          <w:rFonts w:ascii="Times New Roman" w:eastAsia="Arial" w:hAnsi="Times New Roman" w:cs="Times New Roman"/>
          <w:bCs/>
          <w:sz w:val="24"/>
          <w:szCs w:val="24"/>
        </w:rPr>
        <w:t xml:space="preserve"> é a</w:t>
      </w:r>
      <w:r w:rsidR="0039231B">
        <w:rPr>
          <w:rFonts w:ascii="Times New Roman" w:eastAsia="Arial" w:hAnsi="Times New Roman" w:cs="Times New Roman"/>
          <w:bCs/>
          <w:sz w:val="24"/>
          <w:szCs w:val="24"/>
        </w:rPr>
        <w:t xml:space="preserve"> idade</w:t>
      </w:r>
      <w:r w:rsidR="00B61008">
        <w:rPr>
          <w:rFonts w:ascii="Times New Roman" w:eastAsia="Arial" w:hAnsi="Times New Roman" w:cs="Times New Roman"/>
          <w:bCs/>
          <w:sz w:val="24"/>
          <w:szCs w:val="24"/>
        </w:rPr>
        <w:t xml:space="preserve"> do indivíduo</w:t>
      </w:r>
      <w:r w:rsidR="0039231B">
        <w:rPr>
          <w:rFonts w:ascii="Times New Roman" w:eastAsia="Arial" w:hAnsi="Times New Roman" w:cs="Times New Roman"/>
          <w:bCs/>
          <w:sz w:val="24"/>
          <w:szCs w:val="24"/>
        </w:rPr>
        <w:t xml:space="preserve">, </w:t>
      </w:r>
      <m:oMath>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2</m:t>
            </m:r>
          </m:sub>
        </m:sSub>
        <m:sSubSup>
          <m:sSubSupPr>
            <m:ctrlPr>
              <w:rPr>
                <w:rFonts w:ascii="Cambria Math" w:eastAsia="Arial" w:hAnsi="Cambria Math" w:cs="Times New Roman"/>
                <w:bCs/>
                <w:i/>
                <w:sz w:val="24"/>
                <w:szCs w:val="24"/>
              </w:rPr>
            </m:ctrlPr>
          </m:sSubSupPr>
          <m:e>
            <m:r>
              <w:rPr>
                <w:rFonts w:ascii="Cambria Math" w:eastAsia="Arial" w:hAnsi="Cambria Math" w:cs="Times New Roman"/>
                <w:sz w:val="24"/>
                <w:szCs w:val="24"/>
              </w:rPr>
              <m:t>I</m:t>
            </m:r>
          </m:e>
          <m:sub>
            <m:r>
              <w:rPr>
                <w:rFonts w:ascii="Cambria Math" w:eastAsia="Arial" w:hAnsi="Cambria Math" w:cs="Times New Roman"/>
                <w:sz w:val="24"/>
                <w:szCs w:val="24"/>
              </w:rPr>
              <m:t>1</m:t>
            </m:r>
          </m:sub>
          <m:sup>
            <m:r>
              <w:rPr>
                <w:rFonts w:ascii="Cambria Math" w:eastAsia="Arial" w:hAnsi="Cambria Math" w:cs="Times New Roman"/>
                <w:sz w:val="24"/>
                <w:szCs w:val="24"/>
              </w:rPr>
              <m:t>2</m:t>
            </m:r>
          </m:sup>
        </m:sSubSup>
      </m:oMath>
      <w:r w:rsidR="0039231B">
        <w:rPr>
          <w:rFonts w:ascii="Times New Roman" w:eastAsia="Arial" w:hAnsi="Times New Roman" w:cs="Times New Roman"/>
          <w:bCs/>
          <w:sz w:val="24"/>
          <w:szCs w:val="24"/>
        </w:rPr>
        <w:t xml:space="preserve"> é </w:t>
      </w:r>
      <w:r w:rsidR="009B38B6">
        <w:rPr>
          <w:rFonts w:ascii="Times New Roman" w:eastAsia="Arial" w:hAnsi="Times New Roman" w:cs="Times New Roman"/>
          <w:bCs/>
          <w:sz w:val="24"/>
          <w:szCs w:val="24"/>
        </w:rPr>
        <w:t>um</w:t>
      </w:r>
      <w:r w:rsidR="0039231B">
        <w:rPr>
          <w:rFonts w:ascii="Times New Roman" w:eastAsia="Arial" w:hAnsi="Times New Roman" w:cs="Times New Roman"/>
          <w:bCs/>
          <w:sz w:val="24"/>
          <w:szCs w:val="24"/>
        </w:rPr>
        <w:t xml:space="preserve"> vetor relacionado ao quadrado da variável idade (</w:t>
      </w:r>
      <w:r w:rsidR="0039231B" w:rsidRPr="0039231B">
        <w:rPr>
          <w:rFonts w:ascii="Times New Roman" w:eastAsia="Arial" w:hAnsi="Times New Roman" w:cs="Times New Roman"/>
          <w:bCs/>
          <w:i/>
          <w:sz w:val="24"/>
          <w:szCs w:val="24"/>
        </w:rPr>
        <w:t>proxy</w:t>
      </w:r>
      <w:r w:rsidR="0039231B">
        <w:rPr>
          <w:rFonts w:ascii="Times New Roman" w:eastAsia="Arial" w:hAnsi="Times New Roman" w:cs="Times New Roman"/>
          <w:bCs/>
          <w:sz w:val="24"/>
          <w:szCs w:val="24"/>
        </w:rPr>
        <w:t xml:space="preserve"> mais utilizada na literatura para </w:t>
      </w:r>
      <w:r w:rsidR="00B61008">
        <w:rPr>
          <w:rFonts w:ascii="Times New Roman" w:eastAsia="Arial" w:hAnsi="Times New Roman" w:cs="Times New Roman"/>
          <w:bCs/>
          <w:sz w:val="24"/>
          <w:szCs w:val="24"/>
        </w:rPr>
        <w:t>experiência0</w:t>
      </w:r>
      <w:r w:rsidR="0039231B">
        <w:rPr>
          <w:rFonts w:ascii="Times New Roman" w:eastAsia="Arial" w:hAnsi="Times New Roman" w:cs="Times New Roman"/>
          <w:bCs/>
          <w:sz w:val="24"/>
          <w:szCs w:val="24"/>
        </w:rPr>
        <w:t xml:space="preserve">), </w:t>
      </w:r>
      <m:oMath>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3</m:t>
            </m:r>
          </m:sub>
        </m:sSub>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S</m:t>
            </m:r>
          </m:e>
          <m:sub>
            <m:r>
              <w:rPr>
                <w:rFonts w:ascii="Cambria Math" w:eastAsia="Arial" w:hAnsi="Cambria Math" w:cs="Times New Roman"/>
                <w:sz w:val="24"/>
                <w:szCs w:val="24"/>
              </w:rPr>
              <m:t>i</m:t>
            </m:r>
          </m:sub>
        </m:sSub>
      </m:oMath>
      <w:r w:rsidR="0039231B">
        <w:rPr>
          <w:rFonts w:ascii="Times New Roman" w:eastAsia="Arial" w:hAnsi="Times New Roman" w:cs="Times New Roman"/>
          <w:bCs/>
          <w:sz w:val="24"/>
          <w:szCs w:val="24"/>
        </w:rPr>
        <w:t xml:space="preserve"> representa o sexo, </w:t>
      </w:r>
      <m:oMath>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4</m:t>
            </m:r>
          </m:sub>
        </m:sSub>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C</m:t>
            </m:r>
          </m:e>
          <m:sub>
            <m:r>
              <w:rPr>
                <w:rFonts w:ascii="Cambria Math" w:eastAsia="Arial" w:hAnsi="Cambria Math" w:cs="Times New Roman"/>
                <w:sz w:val="24"/>
                <w:szCs w:val="24"/>
              </w:rPr>
              <m:t>4</m:t>
            </m:r>
          </m:sub>
        </m:sSub>
      </m:oMath>
      <w:r w:rsidR="0039231B">
        <w:rPr>
          <w:rFonts w:ascii="Times New Roman" w:eastAsia="Arial" w:hAnsi="Times New Roman" w:cs="Times New Roman"/>
          <w:bCs/>
          <w:sz w:val="24"/>
          <w:szCs w:val="24"/>
        </w:rPr>
        <w:t xml:space="preserve"> </w:t>
      </w:r>
      <w:r w:rsidR="00B61182">
        <w:rPr>
          <w:rFonts w:ascii="Times New Roman" w:eastAsia="Arial" w:hAnsi="Times New Roman" w:cs="Times New Roman"/>
          <w:bCs/>
          <w:sz w:val="24"/>
          <w:szCs w:val="24"/>
        </w:rPr>
        <w:t xml:space="preserve">a cor, </w:t>
      </w:r>
      <m:oMath>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5</m:t>
            </m:r>
          </m:sub>
        </m:sSub>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M</m:t>
            </m:r>
          </m:e>
          <m:sub>
            <m:r>
              <w:rPr>
                <w:rFonts w:ascii="Cambria Math" w:eastAsia="Arial" w:hAnsi="Cambria Math" w:cs="Times New Roman"/>
                <w:sz w:val="24"/>
                <w:szCs w:val="24"/>
              </w:rPr>
              <m:t>i</m:t>
            </m:r>
          </m:sub>
        </m:sSub>
      </m:oMath>
      <w:r w:rsidR="00B61182">
        <w:rPr>
          <w:rFonts w:ascii="Times New Roman" w:eastAsia="Arial" w:hAnsi="Times New Roman" w:cs="Times New Roman"/>
          <w:bCs/>
          <w:sz w:val="24"/>
          <w:szCs w:val="24"/>
        </w:rPr>
        <w:t xml:space="preserve"> é o vetor referente a mesorregião de ocupação</w:t>
      </w:r>
      <w:r w:rsidR="007C3329">
        <w:rPr>
          <w:rFonts w:ascii="Times New Roman" w:eastAsia="Arial" w:hAnsi="Times New Roman" w:cs="Times New Roman"/>
          <w:bCs/>
          <w:sz w:val="24"/>
          <w:szCs w:val="24"/>
        </w:rPr>
        <w:t xml:space="preserve"> do trabalhador</w:t>
      </w:r>
      <w:r w:rsidR="00B61182">
        <w:rPr>
          <w:rFonts w:ascii="Times New Roman" w:eastAsia="Arial" w:hAnsi="Times New Roman" w:cs="Times New Roman"/>
          <w:bCs/>
          <w:sz w:val="24"/>
          <w:szCs w:val="24"/>
        </w:rPr>
        <w:t xml:space="preserve">, </w:t>
      </w:r>
      <m:oMath>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6</m:t>
            </m:r>
          </m:sub>
        </m:sSub>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E</m:t>
            </m:r>
          </m:e>
          <m:sub>
            <m:r>
              <w:rPr>
                <w:rFonts w:ascii="Cambria Math" w:eastAsia="Arial" w:hAnsi="Cambria Math" w:cs="Times New Roman"/>
                <w:sz w:val="24"/>
                <w:szCs w:val="24"/>
              </w:rPr>
              <m:t>i</m:t>
            </m:r>
          </m:sub>
        </m:sSub>
      </m:oMath>
      <w:r w:rsidR="007C3329">
        <w:rPr>
          <w:rFonts w:ascii="Times New Roman" w:eastAsia="Arial" w:hAnsi="Times New Roman" w:cs="Times New Roman"/>
          <w:bCs/>
          <w:sz w:val="24"/>
          <w:szCs w:val="24"/>
        </w:rPr>
        <w:t xml:space="preserve"> </w:t>
      </w:r>
      <w:proofErr w:type="spellStart"/>
      <w:r w:rsidR="00B61182">
        <w:rPr>
          <w:rFonts w:ascii="Times New Roman" w:eastAsia="Arial" w:hAnsi="Times New Roman" w:cs="Times New Roman"/>
          <w:bCs/>
          <w:sz w:val="24"/>
          <w:szCs w:val="24"/>
        </w:rPr>
        <w:t>é</w:t>
      </w:r>
      <w:proofErr w:type="spellEnd"/>
      <w:r w:rsidR="00B61182">
        <w:rPr>
          <w:rFonts w:ascii="Times New Roman" w:eastAsia="Arial" w:hAnsi="Times New Roman" w:cs="Times New Roman"/>
          <w:bCs/>
          <w:sz w:val="24"/>
          <w:szCs w:val="24"/>
        </w:rPr>
        <w:t xml:space="preserve"> um vetor referente ao nível de ensino formal, </w:t>
      </w:r>
      <m:oMath>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7</m:t>
            </m:r>
          </m:sub>
        </m:sSub>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Te</m:t>
            </m:r>
          </m:e>
          <m:sub>
            <m:r>
              <w:rPr>
                <w:rFonts w:ascii="Cambria Math" w:eastAsia="Arial" w:hAnsi="Cambria Math" w:cs="Times New Roman"/>
                <w:sz w:val="24"/>
                <w:szCs w:val="24"/>
              </w:rPr>
              <m:t>i</m:t>
            </m:r>
          </m:sub>
        </m:sSub>
      </m:oMath>
      <w:r w:rsidR="00B61182">
        <w:rPr>
          <w:rFonts w:ascii="Times New Roman" w:eastAsia="Arial" w:hAnsi="Times New Roman" w:cs="Times New Roman"/>
          <w:bCs/>
          <w:sz w:val="24"/>
          <w:szCs w:val="24"/>
        </w:rPr>
        <w:t xml:space="preserve"> se refere ao tempo de permanência no emprego (</w:t>
      </w:r>
      <w:r w:rsidR="00B61182" w:rsidRPr="007C3329">
        <w:rPr>
          <w:rFonts w:ascii="Times New Roman" w:eastAsia="Arial" w:hAnsi="Times New Roman" w:cs="Times New Roman"/>
          <w:bCs/>
          <w:i/>
          <w:sz w:val="24"/>
          <w:szCs w:val="24"/>
        </w:rPr>
        <w:t>proxy</w:t>
      </w:r>
      <w:r w:rsidR="00B61182">
        <w:rPr>
          <w:rFonts w:ascii="Times New Roman" w:eastAsia="Arial" w:hAnsi="Times New Roman" w:cs="Times New Roman"/>
          <w:bCs/>
          <w:sz w:val="24"/>
          <w:szCs w:val="24"/>
        </w:rPr>
        <w:t xml:space="preserve"> de experiência profissional) e</w:t>
      </w:r>
      <w:r w:rsidR="007C3329">
        <w:rPr>
          <w:rFonts w:ascii="Times New Roman" w:eastAsia="Arial" w:hAnsi="Times New Roman" w:cs="Times New Roman"/>
          <w:bCs/>
          <w:sz w:val="24"/>
          <w:szCs w:val="24"/>
        </w:rPr>
        <w:t xml:space="preserve">, por fim, </w:t>
      </w:r>
      <m:oMath>
        <m:r>
          <w:rPr>
            <w:rFonts w:ascii="Cambria Math" w:eastAsia="Arial" w:hAnsi="Cambria Math" w:cs="Times New Roman"/>
            <w:sz w:val="24"/>
            <w:szCs w:val="24"/>
          </w:rPr>
          <m:t>ε</m:t>
        </m:r>
      </m:oMath>
      <w:r w:rsidR="007C3329">
        <w:rPr>
          <w:rFonts w:ascii="Times New Roman" w:eastAsia="Arial" w:hAnsi="Times New Roman" w:cs="Times New Roman"/>
          <w:bCs/>
          <w:sz w:val="24"/>
          <w:szCs w:val="24"/>
        </w:rPr>
        <w:t xml:space="preserve"> represen</w:t>
      </w:r>
      <w:r w:rsidR="0011246A">
        <w:rPr>
          <w:rFonts w:ascii="Times New Roman" w:eastAsia="Arial" w:hAnsi="Times New Roman" w:cs="Times New Roman"/>
          <w:bCs/>
          <w:sz w:val="24"/>
          <w:szCs w:val="24"/>
        </w:rPr>
        <w:t>ta o erro do modelo estocástico.</w:t>
      </w:r>
    </w:p>
    <w:p w14:paraId="61A1AF02" w14:textId="64EBEB48" w:rsidR="006C3BD7" w:rsidRDefault="0011246A" w:rsidP="0011246A">
      <w:pPr>
        <w:tabs>
          <w:tab w:val="left" w:pos="4345"/>
        </w:tabs>
        <w:spacing w:after="0" w:line="240" w:lineRule="auto"/>
        <w:ind w:firstLine="709"/>
        <w:contextualSpacing/>
        <w:jc w:val="both"/>
        <w:rPr>
          <w:rFonts w:ascii="Times New Roman" w:eastAsia="Arial" w:hAnsi="Times New Roman" w:cs="Times New Roman"/>
          <w:bCs/>
          <w:sz w:val="24"/>
          <w:szCs w:val="24"/>
        </w:rPr>
      </w:pPr>
      <w:r>
        <w:rPr>
          <w:rFonts w:ascii="Times New Roman" w:eastAsia="Arial" w:hAnsi="Times New Roman" w:cs="Times New Roman"/>
          <w:bCs/>
          <w:sz w:val="24"/>
          <w:szCs w:val="24"/>
        </w:rPr>
        <w:t>A</w:t>
      </w:r>
      <w:r w:rsidR="0060015B">
        <w:rPr>
          <w:rFonts w:ascii="Times New Roman" w:eastAsia="Arial" w:hAnsi="Times New Roman" w:cs="Times New Roman"/>
          <w:bCs/>
          <w:sz w:val="24"/>
          <w:szCs w:val="24"/>
        </w:rPr>
        <w:t xml:space="preserve"> partir da equação (1)</w:t>
      </w:r>
      <w:r>
        <w:rPr>
          <w:rFonts w:ascii="Times New Roman" w:eastAsia="Arial" w:hAnsi="Times New Roman" w:cs="Times New Roman"/>
          <w:bCs/>
          <w:sz w:val="24"/>
          <w:szCs w:val="24"/>
        </w:rPr>
        <w:t xml:space="preserve"> </w:t>
      </w:r>
      <w:r w:rsidR="0060015B">
        <w:rPr>
          <w:rFonts w:ascii="Times New Roman" w:eastAsia="Arial" w:hAnsi="Times New Roman" w:cs="Times New Roman"/>
          <w:bCs/>
          <w:sz w:val="24"/>
          <w:szCs w:val="24"/>
        </w:rPr>
        <w:t>estimou-se em um primeiro momento,</w:t>
      </w:r>
      <w:r>
        <w:rPr>
          <w:rFonts w:ascii="Times New Roman" w:eastAsia="Arial" w:hAnsi="Times New Roman" w:cs="Times New Roman"/>
          <w:bCs/>
          <w:sz w:val="24"/>
          <w:szCs w:val="24"/>
        </w:rPr>
        <w:t xml:space="preserve"> por MQO, um modelo de dados empilhados </w:t>
      </w:r>
      <w:r w:rsidR="00BE31D0">
        <w:rPr>
          <w:rFonts w:ascii="Times New Roman" w:eastAsia="Arial" w:hAnsi="Times New Roman" w:cs="Times New Roman"/>
          <w:bCs/>
          <w:sz w:val="24"/>
          <w:szCs w:val="24"/>
        </w:rPr>
        <w:t>com observações</w:t>
      </w:r>
      <w:r w:rsidR="00D35776">
        <w:rPr>
          <w:rFonts w:ascii="Times New Roman" w:eastAsia="Arial" w:hAnsi="Times New Roman" w:cs="Times New Roman"/>
          <w:bCs/>
          <w:sz w:val="24"/>
          <w:szCs w:val="24"/>
        </w:rPr>
        <w:t xml:space="preserve"> de</w:t>
      </w:r>
      <w:r w:rsidR="002B1794">
        <w:rPr>
          <w:rFonts w:ascii="Times New Roman" w:eastAsia="Arial" w:hAnsi="Times New Roman" w:cs="Times New Roman"/>
          <w:bCs/>
          <w:sz w:val="24"/>
          <w:szCs w:val="24"/>
        </w:rPr>
        <w:t xml:space="preserve"> todos os</w:t>
      </w:r>
      <w:r w:rsidR="00213D65">
        <w:rPr>
          <w:rFonts w:ascii="Times New Roman" w:eastAsia="Arial" w:hAnsi="Times New Roman" w:cs="Times New Roman"/>
          <w:bCs/>
          <w:sz w:val="24"/>
          <w:szCs w:val="24"/>
        </w:rPr>
        <w:t xml:space="preserve"> indivíduos</w:t>
      </w:r>
      <w:r w:rsidR="002B1794">
        <w:rPr>
          <w:rFonts w:ascii="Times New Roman" w:eastAsia="Arial" w:hAnsi="Times New Roman" w:cs="Times New Roman"/>
          <w:bCs/>
          <w:sz w:val="24"/>
          <w:szCs w:val="24"/>
        </w:rPr>
        <w:t xml:space="preserve"> ocupados no mercado de trabalho formal</w:t>
      </w:r>
      <w:r w:rsidR="00BE31D0">
        <w:rPr>
          <w:rFonts w:ascii="Times New Roman" w:eastAsia="Arial" w:hAnsi="Times New Roman" w:cs="Times New Roman"/>
          <w:bCs/>
          <w:sz w:val="24"/>
          <w:szCs w:val="24"/>
        </w:rPr>
        <w:t xml:space="preserve"> do Rio Grande do Sul entre 2000 e 2017 e modelos de corte transversal para anos selecionados (2000, 2003, 2006, 2009, 2012, 2015 e 2017) </w:t>
      </w:r>
      <w:r w:rsidR="00D35776">
        <w:rPr>
          <w:rFonts w:ascii="Times New Roman" w:eastAsia="Arial" w:hAnsi="Times New Roman" w:cs="Times New Roman"/>
          <w:bCs/>
          <w:sz w:val="24"/>
          <w:szCs w:val="24"/>
        </w:rPr>
        <w:t>com o intuito de</w:t>
      </w:r>
      <w:r w:rsidR="00BE31D0">
        <w:rPr>
          <w:rFonts w:ascii="Times New Roman" w:eastAsia="Arial" w:hAnsi="Times New Roman" w:cs="Times New Roman"/>
          <w:bCs/>
          <w:sz w:val="24"/>
          <w:szCs w:val="24"/>
        </w:rPr>
        <w:t xml:space="preserve"> avaliar a evolução dos coeficientes</w:t>
      </w:r>
      <w:r w:rsidR="00D35776">
        <w:rPr>
          <w:rFonts w:ascii="Times New Roman" w:eastAsia="Arial" w:hAnsi="Times New Roman" w:cs="Times New Roman"/>
          <w:bCs/>
          <w:sz w:val="24"/>
          <w:szCs w:val="24"/>
        </w:rPr>
        <w:t xml:space="preserve"> no tempo</w:t>
      </w:r>
    </w:p>
    <w:p w14:paraId="09C52E06" w14:textId="46A215B7" w:rsidR="002871C8" w:rsidRDefault="006C3BD7" w:rsidP="0011246A">
      <w:pPr>
        <w:tabs>
          <w:tab w:val="left" w:pos="4345"/>
        </w:tabs>
        <w:spacing w:after="0" w:line="240" w:lineRule="auto"/>
        <w:ind w:firstLine="709"/>
        <w:contextualSpacing/>
        <w:jc w:val="both"/>
        <w:rPr>
          <w:rFonts w:ascii="Times New Roman" w:eastAsia="Arial" w:hAnsi="Times New Roman" w:cs="Times New Roman"/>
          <w:bCs/>
          <w:sz w:val="24"/>
          <w:szCs w:val="24"/>
        </w:rPr>
      </w:pPr>
      <w:r>
        <w:rPr>
          <w:rFonts w:ascii="Times New Roman" w:eastAsia="Arial" w:hAnsi="Times New Roman" w:cs="Times New Roman"/>
          <w:bCs/>
          <w:sz w:val="24"/>
          <w:szCs w:val="24"/>
        </w:rPr>
        <w:t>A estimativa da média condicional da variável de resposta em função dos valores das variáveis explicativas</w:t>
      </w:r>
      <w:r w:rsidR="002871C8">
        <w:rPr>
          <w:rFonts w:ascii="Times New Roman" w:eastAsia="Arial" w:hAnsi="Times New Roman" w:cs="Times New Roman"/>
          <w:bCs/>
          <w:sz w:val="24"/>
          <w:szCs w:val="24"/>
        </w:rPr>
        <w:t xml:space="preserve"> por MQO não capta dispersões em torno da média, o que </w:t>
      </w:r>
      <w:r w:rsidR="00EC1080">
        <w:rPr>
          <w:rFonts w:ascii="Times New Roman" w:eastAsia="Arial" w:hAnsi="Times New Roman" w:cs="Times New Roman"/>
          <w:bCs/>
          <w:sz w:val="24"/>
          <w:szCs w:val="24"/>
        </w:rPr>
        <w:t>gera</w:t>
      </w:r>
      <w:r w:rsidR="002871C8">
        <w:rPr>
          <w:rFonts w:ascii="Times New Roman" w:eastAsia="Arial" w:hAnsi="Times New Roman" w:cs="Times New Roman"/>
          <w:bCs/>
          <w:sz w:val="24"/>
          <w:szCs w:val="24"/>
        </w:rPr>
        <w:t xml:space="preserve"> resultados </w:t>
      </w:r>
      <w:r w:rsidR="002871C8">
        <w:rPr>
          <w:rFonts w:ascii="Times New Roman" w:eastAsia="Arial" w:hAnsi="Times New Roman" w:cs="Times New Roman"/>
          <w:bCs/>
          <w:sz w:val="24"/>
          <w:szCs w:val="24"/>
        </w:rPr>
        <w:lastRenderedPageBreak/>
        <w:t>que não refletem a desigualdade salarial ao longo de toda a distribuição.</w:t>
      </w:r>
      <w:r w:rsidR="00EC1080">
        <w:rPr>
          <w:rFonts w:ascii="Times New Roman" w:eastAsia="Arial" w:hAnsi="Times New Roman" w:cs="Times New Roman"/>
          <w:bCs/>
          <w:sz w:val="24"/>
          <w:szCs w:val="24"/>
        </w:rPr>
        <w:t xml:space="preserve"> Para estimar o efeitos das variáveis independentes </w:t>
      </w:r>
      <w:r w:rsidR="007E57BC">
        <w:rPr>
          <w:rFonts w:ascii="Times New Roman" w:eastAsia="Arial" w:hAnsi="Times New Roman" w:cs="Times New Roman"/>
          <w:bCs/>
          <w:sz w:val="24"/>
          <w:szCs w:val="24"/>
        </w:rPr>
        <w:t>a</w:t>
      </w:r>
      <w:r w:rsidR="00EC1080">
        <w:rPr>
          <w:rFonts w:ascii="Times New Roman" w:eastAsia="Arial" w:hAnsi="Times New Roman" w:cs="Times New Roman"/>
          <w:bCs/>
          <w:sz w:val="24"/>
          <w:szCs w:val="24"/>
        </w:rPr>
        <w:t>o longo de toda a distribuição</w:t>
      </w:r>
      <w:r w:rsidR="00E86753">
        <w:rPr>
          <w:rFonts w:ascii="Times New Roman" w:eastAsia="Arial" w:hAnsi="Times New Roman" w:cs="Times New Roman"/>
          <w:bCs/>
          <w:sz w:val="24"/>
          <w:szCs w:val="24"/>
        </w:rPr>
        <w:t xml:space="preserve"> d</w:t>
      </w:r>
      <w:r w:rsidR="007E57BC">
        <w:rPr>
          <w:rFonts w:ascii="Times New Roman" w:eastAsia="Arial" w:hAnsi="Times New Roman" w:cs="Times New Roman"/>
          <w:bCs/>
          <w:sz w:val="24"/>
          <w:szCs w:val="24"/>
        </w:rPr>
        <w:t>o logaritmo de salários</w:t>
      </w:r>
      <w:r w:rsidR="00EC1080">
        <w:rPr>
          <w:rFonts w:ascii="Times New Roman" w:eastAsia="Arial" w:hAnsi="Times New Roman" w:cs="Times New Roman"/>
          <w:bCs/>
          <w:sz w:val="24"/>
          <w:szCs w:val="24"/>
        </w:rPr>
        <w:t xml:space="preserve"> </w:t>
      </w:r>
      <w:r w:rsidR="0060015B">
        <w:rPr>
          <w:rFonts w:ascii="Times New Roman" w:eastAsia="Arial" w:hAnsi="Times New Roman" w:cs="Times New Roman"/>
          <w:bCs/>
          <w:sz w:val="24"/>
          <w:szCs w:val="24"/>
        </w:rPr>
        <w:t xml:space="preserve">foram </w:t>
      </w:r>
      <w:r w:rsidR="00C55EFC">
        <w:rPr>
          <w:rFonts w:ascii="Times New Roman" w:eastAsia="Arial" w:hAnsi="Times New Roman" w:cs="Times New Roman"/>
          <w:bCs/>
          <w:sz w:val="24"/>
          <w:szCs w:val="24"/>
        </w:rPr>
        <w:t>ajustados</w:t>
      </w:r>
      <w:r w:rsidR="0060015B">
        <w:rPr>
          <w:rFonts w:ascii="Times New Roman" w:eastAsia="Arial" w:hAnsi="Times New Roman" w:cs="Times New Roman"/>
          <w:bCs/>
          <w:sz w:val="24"/>
          <w:szCs w:val="24"/>
        </w:rPr>
        <w:t xml:space="preserve"> modelos de corte transversal utilizando regressão </w:t>
      </w:r>
      <w:proofErr w:type="spellStart"/>
      <w:r w:rsidR="0060015B">
        <w:rPr>
          <w:rFonts w:ascii="Times New Roman" w:eastAsia="Arial" w:hAnsi="Times New Roman" w:cs="Times New Roman"/>
          <w:bCs/>
          <w:sz w:val="24"/>
          <w:szCs w:val="24"/>
        </w:rPr>
        <w:t>quantílica</w:t>
      </w:r>
      <w:proofErr w:type="spellEnd"/>
      <w:r w:rsidR="00E86753">
        <w:rPr>
          <w:rFonts w:ascii="Times New Roman" w:eastAsia="Arial" w:hAnsi="Times New Roman" w:cs="Times New Roman"/>
          <w:bCs/>
          <w:sz w:val="24"/>
          <w:szCs w:val="24"/>
        </w:rPr>
        <w:t xml:space="preserve">, mais especificamente para os quartis 25%, 50% e 75%. As estimativas foram realizadas </w:t>
      </w:r>
      <w:r w:rsidR="00C55EFC">
        <w:rPr>
          <w:rFonts w:ascii="Times New Roman" w:eastAsia="Arial" w:hAnsi="Times New Roman" w:cs="Times New Roman"/>
          <w:bCs/>
          <w:sz w:val="24"/>
          <w:szCs w:val="24"/>
        </w:rPr>
        <w:t>para os mesmo</w:t>
      </w:r>
      <w:r w:rsidR="00E86753">
        <w:rPr>
          <w:rFonts w:ascii="Times New Roman" w:eastAsia="Arial" w:hAnsi="Times New Roman" w:cs="Times New Roman"/>
          <w:bCs/>
          <w:sz w:val="24"/>
          <w:szCs w:val="24"/>
        </w:rPr>
        <w:t>s</w:t>
      </w:r>
      <w:r w:rsidR="00C55EFC">
        <w:rPr>
          <w:rFonts w:ascii="Times New Roman" w:eastAsia="Arial" w:hAnsi="Times New Roman" w:cs="Times New Roman"/>
          <w:bCs/>
          <w:sz w:val="24"/>
          <w:szCs w:val="24"/>
        </w:rPr>
        <w:t xml:space="preserve"> anos</w:t>
      </w:r>
      <w:r w:rsidR="00E86753">
        <w:rPr>
          <w:rFonts w:ascii="Times New Roman" w:eastAsia="Arial" w:hAnsi="Times New Roman" w:cs="Times New Roman"/>
          <w:bCs/>
          <w:sz w:val="24"/>
          <w:szCs w:val="24"/>
        </w:rPr>
        <w:t xml:space="preserve"> definidos no caso do ajuste por</w:t>
      </w:r>
      <w:r w:rsidR="00C55EFC">
        <w:rPr>
          <w:rFonts w:ascii="Times New Roman" w:eastAsia="Arial" w:hAnsi="Times New Roman" w:cs="Times New Roman"/>
          <w:bCs/>
          <w:sz w:val="24"/>
          <w:szCs w:val="24"/>
        </w:rPr>
        <w:t xml:space="preserve"> MQO</w:t>
      </w:r>
      <w:r w:rsidR="00E86753">
        <w:rPr>
          <w:rFonts w:ascii="Times New Roman" w:eastAsia="Arial" w:hAnsi="Times New Roman" w:cs="Times New Roman"/>
          <w:bCs/>
          <w:sz w:val="24"/>
          <w:szCs w:val="24"/>
        </w:rPr>
        <w:t xml:space="preserve"> utilizando o pacote </w:t>
      </w:r>
      <w:proofErr w:type="spellStart"/>
      <w:r w:rsidR="00E86753" w:rsidRPr="00E86753">
        <w:rPr>
          <w:rFonts w:ascii="Times New Roman" w:eastAsia="Arial" w:hAnsi="Times New Roman" w:cs="Times New Roman"/>
          <w:bCs/>
          <w:i/>
          <w:sz w:val="24"/>
          <w:szCs w:val="24"/>
        </w:rPr>
        <w:t>quantreg</w:t>
      </w:r>
      <w:proofErr w:type="spellEnd"/>
      <w:r w:rsidR="00E86753">
        <w:rPr>
          <w:rFonts w:ascii="Times New Roman" w:eastAsia="Arial" w:hAnsi="Times New Roman" w:cs="Times New Roman"/>
          <w:bCs/>
          <w:sz w:val="24"/>
          <w:szCs w:val="24"/>
        </w:rPr>
        <w:t xml:space="preserve"> (</w:t>
      </w:r>
      <w:proofErr w:type="spellStart"/>
      <w:r w:rsidR="00E86753">
        <w:rPr>
          <w:rFonts w:ascii="Times New Roman" w:eastAsia="Arial" w:hAnsi="Times New Roman" w:cs="Times New Roman"/>
          <w:bCs/>
          <w:sz w:val="24"/>
          <w:szCs w:val="24"/>
        </w:rPr>
        <w:t>Koenker</w:t>
      </w:r>
      <w:proofErr w:type="spellEnd"/>
      <w:r w:rsidR="00E86753">
        <w:rPr>
          <w:rFonts w:ascii="Times New Roman" w:eastAsia="Arial" w:hAnsi="Times New Roman" w:cs="Times New Roman"/>
          <w:bCs/>
          <w:sz w:val="24"/>
          <w:szCs w:val="24"/>
        </w:rPr>
        <w:t>, 2018)</w:t>
      </w:r>
      <w:r w:rsidR="0060015B">
        <w:rPr>
          <w:rFonts w:ascii="Times New Roman" w:eastAsia="Arial" w:hAnsi="Times New Roman" w:cs="Times New Roman"/>
          <w:bCs/>
          <w:sz w:val="24"/>
          <w:szCs w:val="24"/>
        </w:rPr>
        <w:t xml:space="preserve">.  </w:t>
      </w:r>
    </w:p>
    <w:p w14:paraId="060F20A3" w14:textId="77777777" w:rsidR="002871C8" w:rsidRDefault="002871C8" w:rsidP="0011246A">
      <w:pPr>
        <w:tabs>
          <w:tab w:val="left" w:pos="4345"/>
        </w:tabs>
        <w:spacing w:after="0" w:line="240" w:lineRule="auto"/>
        <w:ind w:firstLine="709"/>
        <w:contextualSpacing/>
        <w:jc w:val="both"/>
        <w:rPr>
          <w:rFonts w:ascii="Times New Roman" w:eastAsia="Arial" w:hAnsi="Times New Roman" w:cs="Times New Roman"/>
          <w:bCs/>
          <w:sz w:val="24"/>
          <w:szCs w:val="24"/>
        </w:rPr>
      </w:pPr>
    </w:p>
    <w:p w14:paraId="0029C644" w14:textId="397391DC" w:rsidR="00791ADC" w:rsidRDefault="002871C8" w:rsidP="00254D6B">
      <w:pPr>
        <w:tabs>
          <w:tab w:val="left" w:pos="4345"/>
        </w:tabs>
        <w:spacing w:after="0" w:line="240" w:lineRule="auto"/>
        <w:ind w:firstLine="709"/>
        <w:contextualSpacing/>
        <w:jc w:val="both"/>
        <w:rPr>
          <w:rFonts w:ascii="Times New Roman" w:eastAsia="Arial" w:hAnsi="Times New Roman" w:cs="Times New Roman"/>
          <w:bCs/>
          <w:sz w:val="24"/>
          <w:szCs w:val="24"/>
        </w:rPr>
      </w:pPr>
      <w:r>
        <w:rPr>
          <w:rFonts w:ascii="Times New Roman" w:eastAsia="Arial" w:hAnsi="Times New Roman" w:cs="Times New Roman"/>
          <w:bCs/>
          <w:sz w:val="24"/>
          <w:szCs w:val="24"/>
        </w:rPr>
        <w:t xml:space="preserve">  </w:t>
      </w:r>
    </w:p>
    <w:p w14:paraId="48093B96" w14:textId="77777777" w:rsidR="00AC7899" w:rsidRPr="004638BD" w:rsidRDefault="00AC7899" w:rsidP="00AC7899">
      <w:pPr>
        <w:tabs>
          <w:tab w:val="left" w:pos="3465"/>
        </w:tabs>
        <w:spacing w:after="0" w:line="240" w:lineRule="auto"/>
        <w:ind w:firstLine="709"/>
        <w:contextualSpacing/>
        <w:rPr>
          <w:rFonts w:ascii="Times New Roman" w:eastAsia="Arial" w:hAnsi="Times New Roman" w:cs="Times New Roman"/>
          <w:bCs/>
          <w:sz w:val="24"/>
          <w:szCs w:val="24"/>
        </w:rPr>
      </w:pPr>
    </w:p>
    <w:p w14:paraId="005CD91F" w14:textId="05023BD4" w:rsidR="009C6CAA" w:rsidRDefault="00F51ACA" w:rsidP="009C6CAA">
      <w:pPr>
        <w:rPr>
          <w:rFonts w:ascii="Times New Roman" w:eastAsia="Arial" w:hAnsi="Times New Roman" w:cs="Times New Roman"/>
          <w:b/>
          <w:bCs/>
          <w:sz w:val="24"/>
          <w:szCs w:val="24"/>
        </w:rPr>
      </w:pPr>
      <w:r w:rsidRPr="002B1F05">
        <w:rPr>
          <w:rFonts w:ascii="Times New Roman" w:eastAsia="Arial" w:hAnsi="Times New Roman" w:cs="Times New Roman"/>
          <w:b/>
          <w:bCs/>
          <w:sz w:val="24"/>
          <w:szCs w:val="24"/>
        </w:rPr>
        <w:t>4 ANÁLISE DOS RESULTADOS</w:t>
      </w:r>
    </w:p>
    <w:p w14:paraId="127C5F63" w14:textId="77777777" w:rsidR="00066687" w:rsidRDefault="00066687" w:rsidP="009C6CAA">
      <w:pPr>
        <w:rPr>
          <w:rFonts w:ascii="Times New Roman" w:eastAsia="Arial" w:hAnsi="Times New Roman" w:cs="Times New Roman"/>
          <w:b/>
          <w:bCs/>
          <w:sz w:val="24"/>
          <w:szCs w:val="24"/>
        </w:rPr>
      </w:pPr>
    </w:p>
    <w:p w14:paraId="571FDFFC" w14:textId="554088DC" w:rsidR="00AB6A82" w:rsidRDefault="00AB6A82" w:rsidP="009C6CAA">
      <w:pPr>
        <w:rPr>
          <w:rFonts w:ascii="Times New Roman" w:eastAsia="Arial" w:hAnsi="Times New Roman" w:cs="Times New Roman"/>
          <w:b/>
          <w:bCs/>
          <w:sz w:val="24"/>
          <w:szCs w:val="24"/>
        </w:rPr>
      </w:pPr>
      <w:r>
        <w:rPr>
          <w:rFonts w:ascii="Times New Roman" w:eastAsia="Arial" w:hAnsi="Times New Roman" w:cs="Times New Roman"/>
          <w:b/>
          <w:bCs/>
          <w:sz w:val="24"/>
          <w:szCs w:val="24"/>
        </w:rPr>
        <w:t>4.1 Emprego formal e salário médio real no Rio Grande do Sul</w:t>
      </w:r>
    </w:p>
    <w:p w14:paraId="10E10771" w14:textId="77777777" w:rsidR="00BA1C44" w:rsidRPr="002B1F05" w:rsidRDefault="00BA1C44" w:rsidP="009C6CAA">
      <w:pPr>
        <w:rPr>
          <w:rFonts w:ascii="Times New Roman" w:eastAsia="Arial" w:hAnsi="Times New Roman" w:cs="Times New Roman"/>
          <w:b/>
          <w:bCs/>
          <w:sz w:val="24"/>
          <w:szCs w:val="24"/>
        </w:rPr>
      </w:pPr>
    </w:p>
    <w:p w14:paraId="026E9263" w14:textId="7634F45F" w:rsidR="009B7040" w:rsidRDefault="00356E6D" w:rsidP="00695F2A">
      <w:pPr>
        <w:spacing w:after="0" w:line="240" w:lineRule="auto"/>
        <w:ind w:firstLine="709"/>
        <w:jc w:val="both"/>
        <w:rPr>
          <w:rFonts w:ascii="Times New Roman" w:eastAsia="Arial" w:hAnsi="Times New Roman" w:cs="Times New Roman"/>
          <w:sz w:val="24"/>
          <w:szCs w:val="24"/>
        </w:rPr>
      </w:pPr>
      <w:r w:rsidRPr="00566ED8">
        <w:rPr>
          <w:rFonts w:ascii="Times New Roman" w:eastAsia="Arial" w:hAnsi="Times New Roman" w:cs="Times New Roman"/>
          <w:sz w:val="24"/>
          <w:szCs w:val="24"/>
        </w:rPr>
        <w:t xml:space="preserve">A quantidade de empregos formais no Rio Grande do Sul cresceu de forma contínua entre 2000 e 2014, passando de 2,7 milhões de postos de trabalho para 4,8 milhões ao final do período. Esse crescimento </w:t>
      </w:r>
      <w:r w:rsidR="00D51867" w:rsidRPr="00566ED8">
        <w:rPr>
          <w:rFonts w:ascii="Times New Roman" w:eastAsia="Arial" w:hAnsi="Times New Roman" w:cs="Times New Roman"/>
          <w:sz w:val="24"/>
          <w:szCs w:val="24"/>
        </w:rPr>
        <w:t xml:space="preserve">foi revertido em 2015 e a queda da quantidade de postos de trabalho </w:t>
      </w:r>
      <w:r w:rsidRPr="00566ED8">
        <w:rPr>
          <w:rFonts w:ascii="Times New Roman" w:eastAsia="Arial" w:hAnsi="Times New Roman" w:cs="Times New Roman"/>
          <w:sz w:val="24"/>
          <w:szCs w:val="24"/>
        </w:rPr>
        <w:t>se aprofundou nos dois anos seguintes. Ao final de 2017 a economia gaúcha possuía 4,2 milhões de empregos formais, valor</w:t>
      </w:r>
      <w:r w:rsidR="001E468C" w:rsidRPr="00566ED8">
        <w:rPr>
          <w:rFonts w:ascii="Times New Roman" w:eastAsia="Arial" w:hAnsi="Times New Roman" w:cs="Times New Roman"/>
          <w:sz w:val="24"/>
          <w:szCs w:val="24"/>
        </w:rPr>
        <w:t xml:space="preserve"> similar ao observado </w:t>
      </w:r>
      <w:r w:rsidR="004312DA" w:rsidRPr="00566ED8">
        <w:rPr>
          <w:rFonts w:ascii="Times New Roman" w:eastAsia="Arial" w:hAnsi="Times New Roman" w:cs="Times New Roman"/>
          <w:sz w:val="24"/>
          <w:szCs w:val="24"/>
        </w:rPr>
        <w:t>para</w:t>
      </w:r>
      <w:r w:rsidR="001E468C" w:rsidRPr="00566ED8">
        <w:rPr>
          <w:rFonts w:ascii="Times New Roman" w:eastAsia="Arial" w:hAnsi="Times New Roman" w:cs="Times New Roman"/>
          <w:sz w:val="24"/>
          <w:szCs w:val="24"/>
        </w:rPr>
        <w:t xml:space="preserve"> 2010</w:t>
      </w:r>
      <w:r w:rsidR="00C70A30" w:rsidRPr="00566ED8">
        <w:rPr>
          <w:rFonts w:ascii="Times New Roman" w:eastAsia="Arial" w:hAnsi="Times New Roman" w:cs="Times New Roman"/>
          <w:sz w:val="24"/>
          <w:szCs w:val="24"/>
        </w:rPr>
        <w:t xml:space="preserve"> (Figura 1</w:t>
      </w:r>
      <w:r w:rsidR="00566ED8">
        <w:rPr>
          <w:rFonts w:ascii="Times New Roman" w:eastAsia="Arial" w:hAnsi="Times New Roman" w:cs="Times New Roman"/>
          <w:sz w:val="24"/>
          <w:szCs w:val="24"/>
        </w:rPr>
        <w:t xml:space="preserve"> –</w:t>
      </w:r>
      <w:r w:rsidR="00A82508">
        <w:rPr>
          <w:rFonts w:ascii="Times New Roman" w:eastAsia="Arial" w:hAnsi="Times New Roman" w:cs="Times New Roman"/>
          <w:sz w:val="24"/>
          <w:szCs w:val="24"/>
        </w:rPr>
        <w:t xml:space="preserve"> a</w:t>
      </w:r>
      <w:r w:rsidR="00C70A30" w:rsidRPr="00566ED8">
        <w:rPr>
          <w:rFonts w:ascii="Times New Roman" w:eastAsia="Arial" w:hAnsi="Times New Roman" w:cs="Times New Roman"/>
          <w:sz w:val="24"/>
          <w:szCs w:val="24"/>
        </w:rPr>
        <w:t>)</w:t>
      </w:r>
      <w:r w:rsidR="001E468C" w:rsidRPr="00566ED8">
        <w:rPr>
          <w:rFonts w:ascii="Times New Roman" w:eastAsia="Arial" w:hAnsi="Times New Roman" w:cs="Times New Roman"/>
          <w:sz w:val="24"/>
          <w:szCs w:val="24"/>
        </w:rPr>
        <w:t>.</w:t>
      </w:r>
      <w:r w:rsidRPr="00566ED8">
        <w:rPr>
          <w:rFonts w:ascii="Times New Roman" w:eastAsia="Arial" w:hAnsi="Times New Roman" w:cs="Times New Roman"/>
          <w:sz w:val="24"/>
          <w:szCs w:val="24"/>
        </w:rPr>
        <w:t xml:space="preserve"> </w:t>
      </w:r>
    </w:p>
    <w:p w14:paraId="4B979E7B" w14:textId="77777777" w:rsidR="00CA0C9E" w:rsidRDefault="00CA0C9E" w:rsidP="002B1F05">
      <w:pPr>
        <w:spacing w:after="0" w:line="360" w:lineRule="auto"/>
        <w:ind w:firstLine="709"/>
        <w:jc w:val="both"/>
        <w:rPr>
          <w:rFonts w:ascii="Times New Roman" w:eastAsia="Arial" w:hAnsi="Times New Roman" w:cs="Times New Roman"/>
          <w:sz w:val="24"/>
          <w:szCs w:val="24"/>
        </w:rPr>
      </w:pPr>
    </w:p>
    <w:p w14:paraId="3C7B4EB6" w14:textId="48B7856C" w:rsidR="00C967F6" w:rsidRPr="00566ED8" w:rsidRDefault="00C967F6" w:rsidP="004312DA">
      <w:pPr>
        <w:spacing w:after="0" w:line="240" w:lineRule="auto"/>
        <w:rPr>
          <w:rFonts w:ascii="Times New Roman" w:hAnsi="Times New Roman" w:cs="Times New Roman"/>
        </w:rPr>
      </w:pPr>
      <w:r w:rsidRPr="00566ED8">
        <w:rPr>
          <w:rFonts w:ascii="Times New Roman" w:hAnsi="Times New Roman" w:cs="Times New Roman"/>
        </w:rPr>
        <w:t xml:space="preserve">Figura </w:t>
      </w:r>
      <w:r w:rsidR="00C70A30" w:rsidRPr="00566ED8">
        <w:rPr>
          <w:rFonts w:ascii="Times New Roman" w:hAnsi="Times New Roman" w:cs="Times New Roman"/>
        </w:rPr>
        <w:t>1</w:t>
      </w:r>
      <w:r w:rsidRPr="00566ED8">
        <w:rPr>
          <w:rFonts w:ascii="Times New Roman" w:hAnsi="Times New Roman" w:cs="Times New Roman"/>
        </w:rPr>
        <w:t>. Evolução dos Empregos formais do Rio Grande do Sul</w:t>
      </w:r>
    </w:p>
    <w:tbl>
      <w:tblPr>
        <w:tblStyle w:val="Tabelacomgrade"/>
        <w:tblW w:w="0" w:type="auto"/>
        <w:tblLook w:val="04A0" w:firstRow="1" w:lastRow="0" w:firstColumn="1" w:lastColumn="0" w:noHBand="0" w:noVBand="1"/>
      </w:tblPr>
      <w:tblGrid>
        <w:gridCol w:w="4101"/>
        <w:gridCol w:w="4960"/>
      </w:tblGrid>
      <w:tr w:rsidR="00F51ACA" w:rsidRPr="00566ED8" w14:paraId="650B7E17" w14:textId="77777777" w:rsidTr="41DD2E9F">
        <w:tc>
          <w:tcPr>
            <w:tcW w:w="4101" w:type="dxa"/>
            <w:tcBorders>
              <w:top w:val="single" w:sz="4" w:space="0" w:color="auto"/>
              <w:left w:val="single" w:sz="4" w:space="0" w:color="auto"/>
              <w:bottom w:val="single" w:sz="4" w:space="0" w:color="auto"/>
              <w:right w:val="single" w:sz="4" w:space="0" w:color="auto"/>
            </w:tcBorders>
            <w:hideMark/>
          </w:tcPr>
          <w:p w14:paraId="3224EA26" w14:textId="6DC686A3" w:rsidR="00F51ACA" w:rsidRPr="00566ED8" w:rsidRDefault="00F51ACA" w:rsidP="00F51ACA">
            <w:pPr>
              <w:pStyle w:val="PargrafodaLista"/>
              <w:numPr>
                <w:ilvl w:val="0"/>
                <w:numId w:val="9"/>
              </w:numPr>
              <w:rPr>
                <w:rFonts w:ascii="Times New Roman" w:hAnsi="Times New Roman" w:cs="Times New Roman"/>
              </w:rPr>
            </w:pPr>
            <w:r w:rsidRPr="00566ED8">
              <w:rPr>
                <w:rFonts w:ascii="Times New Roman" w:hAnsi="Times New Roman" w:cs="Times New Roman"/>
              </w:rPr>
              <w:t>Quantidade de Empregos Formais</w:t>
            </w:r>
          </w:p>
        </w:tc>
        <w:tc>
          <w:tcPr>
            <w:tcW w:w="4960" w:type="dxa"/>
            <w:tcBorders>
              <w:top w:val="single" w:sz="4" w:space="0" w:color="auto"/>
              <w:left w:val="single" w:sz="4" w:space="0" w:color="auto"/>
              <w:bottom w:val="single" w:sz="4" w:space="0" w:color="auto"/>
              <w:right w:val="single" w:sz="4" w:space="0" w:color="auto"/>
            </w:tcBorders>
            <w:hideMark/>
          </w:tcPr>
          <w:p w14:paraId="4D377EE2" w14:textId="7E8444BB" w:rsidR="00F51ACA" w:rsidRPr="00566ED8" w:rsidRDefault="00F51ACA" w:rsidP="00F51ACA">
            <w:pPr>
              <w:pStyle w:val="PargrafodaLista"/>
              <w:numPr>
                <w:ilvl w:val="0"/>
                <w:numId w:val="9"/>
              </w:numPr>
              <w:rPr>
                <w:rFonts w:ascii="Times New Roman" w:hAnsi="Times New Roman" w:cs="Times New Roman"/>
              </w:rPr>
            </w:pPr>
            <w:r w:rsidRPr="00566ED8">
              <w:rPr>
                <w:rFonts w:ascii="Times New Roman" w:hAnsi="Times New Roman" w:cs="Times New Roman"/>
              </w:rPr>
              <w:t>Taxa de Crescimento dos Empregos Formais</w:t>
            </w:r>
          </w:p>
        </w:tc>
      </w:tr>
      <w:tr w:rsidR="00F51ACA" w:rsidRPr="00566ED8" w14:paraId="6A0699B6" w14:textId="77777777" w:rsidTr="41DD2E9F">
        <w:trPr>
          <w:trHeight w:val="3899"/>
        </w:trPr>
        <w:tc>
          <w:tcPr>
            <w:tcW w:w="4101" w:type="dxa"/>
            <w:tcBorders>
              <w:top w:val="single" w:sz="4" w:space="0" w:color="auto"/>
              <w:left w:val="single" w:sz="4" w:space="0" w:color="auto"/>
              <w:bottom w:val="single" w:sz="4" w:space="0" w:color="auto"/>
              <w:right w:val="single" w:sz="4" w:space="0" w:color="auto"/>
            </w:tcBorders>
            <w:hideMark/>
          </w:tcPr>
          <w:p w14:paraId="04F117F8" w14:textId="775FDDA5" w:rsidR="00F51ACA" w:rsidRPr="00566ED8" w:rsidRDefault="00F51ACA" w:rsidP="009C6CAA">
            <w:pPr>
              <w:rPr>
                <w:rFonts w:ascii="Times New Roman" w:hAnsi="Times New Roman" w:cs="Times New Roman"/>
              </w:rPr>
            </w:pPr>
            <w:r w:rsidRPr="00566ED8">
              <w:rPr>
                <w:rFonts w:ascii="Times New Roman" w:hAnsi="Times New Roman" w:cs="Times New Roman"/>
                <w:noProof/>
                <w:lang w:eastAsia="pt-BR"/>
              </w:rPr>
              <w:drawing>
                <wp:anchor distT="0" distB="0" distL="114300" distR="114300" simplePos="0" relativeHeight="251660288" behindDoc="0" locked="0" layoutInCell="1" allowOverlap="1" wp14:anchorId="33C709BD" wp14:editId="268EF0E2">
                  <wp:simplePos x="0" y="0"/>
                  <wp:positionH relativeFrom="margin">
                    <wp:posOffset>-25400</wp:posOffset>
                  </wp:positionH>
                  <wp:positionV relativeFrom="margin">
                    <wp:posOffset>325755</wp:posOffset>
                  </wp:positionV>
                  <wp:extent cx="2495550" cy="1704975"/>
                  <wp:effectExtent l="0" t="0" r="0" b="9525"/>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5550" cy="1704975"/>
                          </a:xfrm>
                          <a:prstGeom prst="rect">
                            <a:avLst/>
                          </a:prstGeom>
                          <a:noFill/>
                        </pic:spPr>
                      </pic:pic>
                    </a:graphicData>
                  </a:graphic>
                  <wp14:sizeRelH relativeFrom="margin">
                    <wp14:pctWidth>0</wp14:pctWidth>
                  </wp14:sizeRelH>
                  <wp14:sizeRelV relativeFrom="margin">
                    <wp14:pctHeight>0</wp14:pctHeight>
                  </wp14:sizeRelV>
                </wp:anchor>
              </w:drawing>
            </w:r>
          </w:p>
        </w:tc>
        <w:tc>
          <w:tcPr>
            <w:tcW w:w="4960" w:type="dxa"/>
            <w:tcBorders>
              <w:top w:val="single" w:sz="4" w:space="0" w:color="auto"/>
              <w:left w:val="single" w:sz="4" w:space="0" w:color="auto"/>
              <w:bottom w:val="single" w:sz="4" w:space="0" w:color="auto"/>
              <w:right w:val="single" w:sz="4" w:space="0" w:color="auto"/>
            </w:tcBorders>
            <w:hideMark/>
          </w:tcPr>
          <w:p w14:paraId="30312FE1" w14:textId="3D9485B0" w:rsidR="00F51ACA" w:rsidRPr="00566ED8" w:rsidRDefault="00F51ACA" w:rsidP="009C6CAA">
            <w:pPr>
              <w:rPr>
                <w:rFonts w:ascii="Times New Roman" w:hAnsi="Times New Roman" w:cs="Times New Roman"/>
              </w:rPr>
            </w:pPr>
            <w:r w:rsidRPr="00566ED8">
              <w:rPr>
                <w:rFonts w:ascii="Times New Roman" w:hAnsi="Times New Roman" w:cs="Times New Roman"/>
                <w:noProof/>
                <w:lang w:eastAsia="pt-BR"/>
              </w:rPr>
              <w:drawing>
                <wp:inline distT="0" distB="0" distL="0" distR="0" wp14:anchorId="05D972E1" wp14:editId="0218CF39">
                  <wp:extent cx="3038475" cy="24193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8475" cy="2419350"/>
                          </a:xfrm>
                          <a:prstGeom prst="rect">
                            <a:avLst/>
                          </a:prstGeom>
                          <a:noFill/>
                          <a:ln>
                            <a:noFill/>
                          </a:ln>
                        </pic:spPr>
                      </pic:pic>
                    </a:graphicData>
                  </a:graphic>
                </wp:inline>
              </w:drawing>
            </w:r>
          </w:p>
        </w:tc>
      </w:tr>
    </w:tbl>
    <w:p w14:paraId="10EE68F1" w14:textId="36E8355E" w:rsidR="41DD2E9F" w:rsidRDefault="41DD2E9F"/>
    <w:p w14:paraId="320DD30B" w14:textId="00E1B26B" w:rsidR="00566ED8" w:rsidRDefault="00566ED8" w:rsidP="00566ED8">
      <w:pPr>
        <w:spacing w:after="0"/>
        <w:rPr>
          <w:rFonts w:ascii="Times New Roman" w:hAnsi="Times New Roman" w:cs="Times New Roman"/>
        </w:rPr>
      </w:pPr>
      <w:r>
        <w:rPr>
          <w:rFonts w:ascii="Times New Roman" w:hAnsi="Times New Roman" w:cs="Times New Roman"/>
          <w:b/>
        </w:rPr>
        <w:t>Fonte</w:t>
      </w:r>
      <w:r>
        <w:rPr>
          <w:rFonts w:ascii="Times New Roman" w:hAnsi="Times New Roman" w:cs="Times New Roman"/>
        </w:rPr>
        <w:t>: Elaborado pelos autore</w:t>
      </w:r>
      <w:r w:rsidR="00066687">
        <w:rPr>
          <w:rFonts w:ascii="Times New Roman" w:hAnsi="Times New Roman" w:cs="Times New Roman"/>
        </w:rPr>
        <w:t>s com base nos dados da RAIS-MTE</w:t>
      </w:r>
    </w:p>
    <w:p w14:paraId="573D315A" w14:textId="77777777" w:rsidR="00566ED8" w:rsidRDefault="00566ED8" w:rsidP="00791ADC">
      <w:pPr>
        <w:jc w:val="center"/>
        <w:rPr>
          <w:rFonts w:ascii="Times New Roman" w:hAnsi="Times New Roman" w:cs="Times New Roman"/>
        </w:rPr>
      </w:pPr>
    </w:p>
    <w:p w14:paraId="1AD5F282" w14:textId="2E1B3E28" w:rsidR="009C75B1" w:rsidRPr="00400AC6" w:rsidRDefault="002B1F05" w:rsidP="00695F2A">
      <w:pPr>
        <w:spacing w:after="0" w:line="240" w:lineRule="auto"/>
        <w:jc w:val="both"/>
        <w:rPr>
          <w:rFonts w:ascii="Times New Roman" w:hAnsi="Times New Roman" w:cs="Times New Roman"/>
          <w:sz w:val="24"/>
          <w:szCs w:val="24"/>
        </w:rPr>
      </w:pPr>
      <w:r w:rsidRPr="00566ED8">
        <w:rPr>
          <w:rFonts w:ascii="Times New Roman" w:hAnsi="Times New Roman" w:cs="Times New Roman"/>
        </w:rPr>
        <w:tab/>
      </w:r>
      <w:r w:rsidR="00D15DB1">
        <w:rPr>
          <w:rFonts w:ascii="Times New Roman" w:hAnsi="Times New Roman" w:cs="Times New Roman"/>
          <w:sz w:val="24"/>
          <w:szCs w:val="24"/>
        </w:rPr>
        <w:t>Apesar do revés ocorrido</w:t>
      </w:r>
      <w:r w:rsidRPr="00400AC6">
        <w:rPr>
          <w:rFonts w:ascii="Times New Roman" w:hAnsi="Times New Roman" w:cs="Times New Roman"/>
          <w:sz w:val="24"/>
          <w:szCs w:val="24"/>
        </w:rPr>
        <w:t xml:space="preserve"> nos últimos anos, houve um crescimento da formalização</w:t>
      </w:r>
      <w:r w:rsidR="00566ED8" w:rsidRPr="00400AC6">
        <w:rPr>
          <w:rFonts w:ascii="Times New Roman" w:hAnsi="Times New Roman" w:cs="Times New Roman"/>
          <w:sz w:val="24"/>
          <w:szCs w:val="24"/>
        </w:rPr>
        <w:t xml:space="preserve"> do trabalho em todas as microrregiões do Rio Grande do Sul entre 2000 e 2017 (Figura 1 – b)</w:t>
      </w:r>
      <w:r w:rsidR="00A82508" w:rsidRPr="00400AC6">
        <w:rPr>
          <w:rFonts w:ascii="Times New Roman" w:hAnsi="Times New Roman" w:cs="Times New Roman"/>
          <w:sz w:val="24"/>
          <w:szCs w:val="24"/>
        </w:rPr>
        <w:t xml:space="preserve">. As maiores taxas de crescimento linear anual do emprego formal foram observadas </w:t>
      </w:r>
      <w:r w:rsidR="00976A94">
        <w:rPr>
          <w:rFonts w:ascii="Times New Roman" w:hAnsi="Times New Roman" w:cs="Times New Roman"/>
          <w:sz w:val="24"/>
          <w:szCs w:val="24"/>
        </w:rPr>
        <w:t xml:space="preserve">em </w:t>
      </w:r>
      <w:r w:rsidR="00A82508" w:rsidRPr="00400AC6">
        <w:rPr>
          <w:rFonts w:ascii="Times New Roman" w:hAnsi="Times New Roman" w:cs="Times New Roman"/>
          <w:sz w:val="24"/>
          <w:szCs w:val="24"/>
        </w:rPr>
        <w:t xml:space="preserve">microrregiões </w:t>
      </w:r>
      <w:r w:rsidR="008911AB" w:rsidRPr="00400AC6">
        <w:rPr>
          <w:rFonts w:ascii="Times New Roman" w:hAnsi="Times New Roman" w:cs="Times New Roman"/>
          <w:sz w:val="24"/>
          <w:szCs w:val="24"/>
        </w:rPr>
        <w:t xml:space="preserve">mais ao norte do Estado ou próximas ao litoral como </w:t>
      </w:r>
      <w:r w:rsidR="00A82508" w:rsidRPr="00400AC6">
        <w:rPr>
          <w:rFonts w:ascii="Times New Roman" w:hAnsi="Times New Roman" w:cs="Times New Roman"/>
          <w:sz w:val="24"/>
          <w:szCs w:val="24"/>
        </w:rPr>
        <w:t>Frederico Westphalen (5,5% a.a.), Sananduva (5,3% a.a.), Litoral Lagunar (5,2% a.a.), Passo Fundo (5,2% a.a.) e Osório (5,1% a.a.)</w:t>
      </w:r>
      <w:r w:rsidR="008911AB" w:rsidRPr="00400AC6">
        <w:rPr>
          <w:rFonts w:ascii="Times New Roman" w:hAnsi="Times New Roman" w:cs="Times New Roman"/>
          <w:sz w:val="24"/>
          <w:szCs w:val="24"/>
        </w:rPr>
        <w:t>.</w:t>
      </w:r>
    </w:p>
    <w:p w14:paraId="7499D50E" w14:textId="7739C662" w:rsidR="00CA0C9E" w:rsidRDefault="00CA0C9E" w:rsidP="00695F2A">
      <w:pPr>
        <w:spacing w:after="0" w:line="240" w:lineRule="auto"/>
        <w:ind w:firstLine="708"/>
        <w:jc w:val="both"/>
        <w:rPr>
          <w:rFonts w:ascii="Times New Roman" w:hAnsi="Times New Roman" w:cs="Times New Roman"/>
          <w:sz w:val="24"/>
          <w:szCs w:val="24"/>
        </w:rPr>
      </w:pPr>
      <w:r w:rsidRPr="00400AC6">
        <w:rPr>
          <w:rFonts w:ascii="Times New Roman" w:hAnsi="Times New Roman" w:cs="Times New Roman"/>
          <w:sz w:val="24"/>
          <w:szCs w:val="24"/>
        </w:rPr>
        <w:t>Por outro lado, microrregiões</w:t>
      </w:r>
      <w:r w:rsidR="00B03A2E" w:rsidRPr="00400AC6">
        <w:rPr>
          <w:rFonts w:ascii="Times New Roman" w:hAnsi="Times New Roman" w:cs="Times New Roman"/>
          <w:sz w:val="24"/>
          <w:szCs w:val="24"/>
        </w:rPr>
        <w:t xml:space="preserve"> de baixo dinamismo econômico,</w:t>
      </w:r>
      <w:r w:rsidRPr="00400AC6">
        <w:rPr>
          <w:rFonts w:ascii="Times New Roman" w:hAnsi="Times New Roman" w:cs="Times New Roman"/>
          <w:sz w:val="24"/>
          <w:szCs w:val="24"/>
        </w:rPr>
        <w:t xml:space="preserve"> localizadas ao sul do Estado</w:t>
      </w:r>
      <w:r w:rsidR="00B03A2E" w:rsidRPr="00400AC6">
        <w:rPr>
          <w:rFonts w:ascii="Times New Roman" w:hAnsi="Times New Roman" w:cs="Times New Roman"/>
          <w:sz w:val="24"/>
          <w:szCs w:val="24"/>
        </w:rPr>
        <w:t>,</w:t>
      </w:r>
      <w:r w:rsidRPr="00400AC6">
        <w:rPr>
          <w:rFonts w:ascii="Times New Roman" w:hAnsi="Times New Roman" w:cs="Times New Roman"/>
          <w:sz w:val="24"/>
          <w:szCs w:val="24"/>
        </w:rPr>
        <w:t xml:space="preserve"> como Jaguarão (1,9% a.a.)</w:t>
      </w:r>
      <w:r w:rsidR="00B03A2E" w:rsidRPr="00400AC6">
        <w:rPr>
          <w:rFonts w:ascii="Times New Roman" w:hAnsi="Times New Roman" w:cs="Times New Roman"/>
          <w:sz w:val="24"/>
          <w:szCs w:val="24"/>
        </w:rPr>
        <w:t xml:space="preserve"> e Serras De Sudeste (2,5% a. a.) apresentaram taxas menores </w:t>
      </w:r>
      <w:r w:rsidR="00B03A2E" w:rsidRPr="00400AC6">
        <w:rPr>
          <w:rFonts w:ascii="Times New Roman" w:hAnsi="Times New Roman" w:cs="Times New Roman"/>
          <w:sz w:val="24"/>
          <w:szCs w:val="24"/>
        </w:rPr>
        <w:lastRenderedPageBreak/>
        <w:t>de crescimento do trabalho formal</w:t>
      </w:r>
      <w:r w:rsidR="00D155F2">
        <w:rPr>
          <w:rFonts w:ascii="Times New Roman" w:hAnsi="Times New Roman" w:cs="Times New Roman"/>
          <w:sz w:val="24"/>
          <w:szCs w:val="24"/>
        </w:rPr>
        <w:t xml:space="preserve">. Resultado similar foi encontrado </w:t>
      </w:r>
      <w:r w:rsidR="00124503" w:rsidRPr="00400AC6">
        <w:rPr>
          <w:rFonts w:ascii="Times New Roman" w:hAnsi="Times New Roman" w:cs="Times New Roman"/>
          <w:sz w:val="24"/>
          <w:szCs w:val="24"/>
        </w:rPr>
        <w:t xml:space="preserve">para microrregiões que já possuíam </w:t>
      </w:r>
      <w:r w:rsidR="00D155F2">
        <w:rPr>
          <w:rFonts w:ascii="Times New Roman" w:hAnsi="Times New Roman" w:cs="Times New Roman"/>
          <w:sz w:val="24"/>
          <w:szCs w:val="24"/>
        </w:rPr>
        <w:t>um</w:t>
      </w:r>
      <w:r w:rsidR="00124503" w:rsidRPr="00400AC6">
        <w:rPr>
          <w:rFonts w:ascii="Times New Roman" w:hAnsi="Times New Roman" w:cs="Times New Roman"/>
          <w:sz w:val="24"/>
          <w:szCs w:val="24"/>
        </w:rPr>
        <w:t xml:space="preserve"> mercado de trabalho formal fortemente consolid</w:t>
      </w:r>
      <w:r w:rsidR="00D155F2">
        <w:rPr>
          <w:rFonts w:ascii="Times New Roman" w:hAnsi="Times New Roman" w:cs="Times New Roman"/>
          <w:sz w:val="24"/>
          <w:szCs w:val="24"/>
        </w:rPr>
        <w:t>a</w:t>
      </w:r>
      <w:r w:rsidR="001B59B0">
        <w:rPr>
          <w:rFonts w:ascii="Times New Roman" w:hAnsi="Times New Roman" w:cs="Times New Roman"/>
          <w:sz w:val="24"/>
          <w:szCs w:val="24"/>
        </w:rPr>
        <w:t>do no início da série histórica</w:t>
      </w:r>
      <w:r w:rsidR="00124503" w:rsidRPr="00400AC6">
        <w:rPr>
          <w:rFonts w:ascii="Times New Roman" w:hAnsi="Times New Roman" w:cs="Times New Roman"/>
          <w:sz w:val="24"/>
          <w:szCs w:val="24"/>
        </w:rPr>
        <w:t xml:space="preserve"> como Gramado-Canela (2,7% a.a.) e Porto Alegre (2,9% a.a.).</w:t>
      </w:r>
    </w:p>
    <w:p w14:paraId="6F250FE7" w14:textId="5FB5A8CD" w:rsidR="00400AC6" w:rsidRDefault="00AD37F7" w:rsidP="00695F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Além do crescimento da quantidade de empregos, houve uma elevação </w:t>
      </w:r>
      <w:r w:rsidR="00581211">
        <w:rPr>
          <w:rFonts w:ascii="Times New Roman" w:hAnsi="Times New Roman" w:cs="Times New Roman"/>
          <w:sz w:val="24"/>
          <w:szCs w:val="24"/>
        </w:rPr>
        <w:t xml:space="preserve">contínua </w:t>
      </w:r>
      <w:r>
        <w:rPr>
          <w:rFonts w:ascii="Times New Roman" w:hAnsi="Times New Roman" w:cs="Times New Roman"/>
          <w:sz w:val="24"/>
          <w:szCs w:val="24"/>
        </w:rPr>
        <w:t>do salário médio real do mercado de trabalho do Rio Grande do Sul entre 2000 e 201</w:t>
      </w:r>
      <w:r w:rsidR="00581211">
        <w:rPr>
          <w:rFonts w:ascii="Times New Roman" w:hAnsi="Times New Roman" w:cs="Times New Roman"/>
          <w:sz w:val="24"/>
          <w:szCs w:val="24"/>
        </w:rPr>
        <w:t>5</w:t>
      </w:r>
      <w:r>
        <w:rPr>
          <w:rFonts w:ascii="Times New Roman" w:hAnsi="Times New Roman" w:cs="Times New Roman"/>
          <w:sz w:val="24"/>
          <w:szCs w:val="24"/>
        </w:rPr>
        <w:t xml:space="preserve"> (Figura 2 – a).  </w:t>
      </w:r>
      <w:r w:rsidR="001B59B0">
        <w:rPr>
          <w:rFonts w:ascii="Times New Roman" w:hAnsi="Times New Roman" w:cs="Times New Roman"/>
          <w:sz w:val="24"/>
          <w:szCs w:val="24"/>
        </w:rPr>
        <w:t xml:space="preserve">No entanto, assim como aconteceu com a quantidade de </w:t>
      </w:r>
      <w:r>
        <w:rPr>
          <w:rFonts w:ascii="Times New Roman" w:hAnsi="Times New Roman" w:cs="Times New Roman"/>
          <w:sz w:val="24"/>
          <w:szCs w:val="24"/>
        </w:rPr>
        <w:t>postos de trabalho</w:t>
      </w:r>
      <w:r w:rsidR="001B59B0">
        <w:rPr>
          <w:rFonts w:ascii="Times New Roman" w:hAnsi="Times New Roman" w:cs="Times New Roman"/>
          <w:sz w:val="24"/>
          <w:szCs w:val="24"/>
        </w:rPr>
        <w:t xml:space="preserve">, houve </w:t>
      </w:r>
      <w:r>
        <w:rPr>
          <w:rFonts w:ascii="Times New Roman" w:hAnsi="Times New Roman" w:cs="Times New Roman"/>
          <w:sz w:val="24"/>
          <w:szCs w:val="24"/>
        </w:rPr>
        <w:t>uma redução</w:t>
      </w:r>
      <w:r w:rsidR="00581211">
        <w:rPr>
          <w:rFonts w:ascii="Times New Roman" w:hAnsi="Times New Roman" w:cs="Times New Roman"/>
          <w:sz w:val="24"/>
          <w:szCs w:val="24"/>
        </w:rPr>
        <w:t xml:space="preserve"> do</w:t>
      </w:r>
      <w:r>
        <w:rPr>
          <w:rFonts w:ascii="Times New Roman" w:hAnsi="Times New Roman" w:cs="Times New Roman"/>
          <w:sz w:val="24"/>
          <w:szCs w:val="24"/>
        </w:rPr>
        <w:t xml:space="preserve"> salário </w:t>
      </w:r>
      <w:r w:rsidR="00581211">
        <w:rPr>
          <w:rFonts w:ascii="Times New Roman" w:hAnsi="Times New Roman" w:cs="Times New Roman"/>
          <w:sz w:val="24"/>
          <w:szCs w:val="24"/>
        </w:rPr>
        <w:t xml:space="preserve">médio </w:t>
      </w:r>
      <w:r w:rsidR="00D15DB1">
        <w:rPr>
          <w:rFonts w:ascii="Times New Roman" w:hAnsi="Times New Roman" w:cs="Times New Roman"/>
          <w:sz w:val="24"/>
          <w:szCs w:val="24"/>
        </w:rPr>
        <w:t xml:space="preserve">real entre 2015 e 2017, que passou </w:t>
      </w:r>
      <w:r w:rsidR="00581211">
        <w:rPr>
          <w:rFonts w:ascii="Times New Roman" w:hAnsi="Times New Roman" w:cs="Times New Roman"/>
          <w:sz w:val="24"/>
          <w:szCs w:val="24"/>
        </w:rPr>
        <w:t>de R$ 2330,00</w:t>
      </w:r>
      <w:r w:rsidR="00976A94">
        <w:rPr>
          <w:rFonts w:ascii="Times New Roman" w:hAnsi="Times New Roman" w:cs="Times New Roman"/>
          <w:sz w:val="24"/>
          <w:szCs w:val="24"/>
        </w:rPr>
        <w:t xml:space="preserve"> </w:t>
      </w:r>
      <w:r w:rsidR="00581211">
        <w:rPr>
          <w:rFonts w:ascii="Times New Roman" w:hAnsi="Times New Roman" w:cs="Times New Roman"/>
          <w:sz w:val="24"/>
          <w:szCs w:val="24"/>
        </w:rPr>
        <w:t>para R$ 2292,00</w:t>
      </w:r>
      <w:r w:rsidR="00BC2A86">
        <w:rPr>
          <w:rFonts w:ascii="Times New Roman" w:hAnsi="Times New Roman" w:cs="Times New Roman"/>
          <w:sz w:val="24"/>
          <w:szCs w:val="24"/>
        </w:rPr>
        <w:t>.</w:t>
      </w:r>
    </w:p>
    <w:p w14:paraId="1BAD6152" w14:textId="77777777" w:rsidR="00E91009" w:rsidRDefault="00E91009" w:rsidP="00C967F6">
      <w:pPr>
        <w:rPr>
          <w:rFonts w:ascii="Times New Roman" w:hAnsi="Times New Roman" w:cs="Times New Roman"/>
          <w:b/>
        </w:rPr>
      </w:pPr>
    </w:p>
    <w:p w14:paraId="2BBAF7DF" w14:textId="77777777" w:rsidR="00695F2A" w:rsidRDefault="00695F2A" w:rsidP="00C967F6">
      <w:pPr>
        <w:rPr>
          <w:rFonts w:ascii="Times New Roman" w:hAnsi="Times New Roman" w:cs="Times New Roman"/>
          <w:b/>
        </w:rPr>
      </w:pPr>
    </w:p>
    <w:p w14:paraId="24189170" w14:textId="5BD6CCF7" w:rsidR="00C967F6" w:rsidRPr="00566ED8" w:rsidRDefault="00C967F6" w:rsidP="00C967F6">
      <w:pPr>
        <w:rPr>
          <w:rFonts w:ascii="Times New Roman" w:hAnsi="Times New Roman" w:cs="Times New Roman"/>
        </w:rPr>
      </w:pPr>
      <w:r w:rsidRPr="00472EE2">
        <w:rPr>
          <w:rFonts w:ascii="Times New Roman" w:hAnsi="Times New Roman" w:cs="Times New Roman"/>
          <w:b/>
        </w:rPr>
        <w:t xml:space="preserve">Figura </w:t>
      </w:r>
      <w:r w:rsidR="00AD37F7" w:rsidRPr="00472EE2">
        <w:rPr>
          <w:rFonts w:ascii="Times New Roman" w:hAnsi="Times New Roman" w:cs="Times New Roman"/>
          <w:b/>
        </w:rPr>
        <w:t>2</w:t>
      </w:r>
      <w:r w:rsidRPr="00566ED8">
        <w:rPr>
          <w:rFonts w:ascii="Times New Roman" w:hAnsi="Times New Roman" w:cs="Times New Roman"/>
        </w:rPr>
        <w:t>. Evolução do Salário real no Rio Grande do Sul</w:t>
      </w:r>
    </w:p>
    <w:tbl>
      <w:tblPr>
        <w:tblStyle w:val="Tabelacomgrade"/>
        <w:tblW w:w="0" w:type="auto"/>
        <w:tblLook w:val="04A0" w:firstRow="1" w:lastRow="0" w:firstColumn="1" w:lastColumn="0" w:noHBand="0" w:noVBand="1"/>
      </w:tblPr>
      <w:tblGrid>
        <w:gridCol w:w="4071"/>
        <w:gridCol w:w="4990"/>
      </w:tblGrid>
      <w:tr w:rsidR="00C967F6" w:rsidRPr="00566ED8" w14:paraId="63CEB493" w14:textId="77777777" w:rsidTr="00566ED8">
        <w:tc>
          <w:tcPr>
            <w:tcW w:w="4071" w:type="dxa"/>
            <w:tcBorders>
              <w:top w:val="single" w:sz="4" w:space="0" w:color="auto"/>
              <w:left w:val="single" w:sz="4" w:space="0" w:color="auto"/>
              <w:bottom w:val="single" w:sz="4" w:space="0" w:color="auto"/>
              <w:right w:val="single" w:sz="4" w:space="0" w:color="auto"/>
            </w:tcBorders>
            <w:hideMark/>
          </w:tcPr>
          <w:p w14:paraId="5D9039CC" w14:textId="18E73BB0" w:rsidR="00C967F6" w:rsidRPr="00AD37F7" w:rsidRDefault="00C967F6" w:rsidP="00AD37F7">
            <w:pPr>
              <w:pStyle w:val="PargrafodaLista"/>
              <w:numPr>
                <w:ilvl w:val="0"/>
                <w:numId w:val="16"/>
              </w:numPr>
              <w:rPr>
                <w:rFonts w:ascii="Times New Roman" w:hAnsi="Times New Roman" w:cs="Times New Roman"/>
              </w:rPr>
            </w:pPr>
            <w:r w:rsidRPr="00AD37F7">
              <w:rPr>
                <w:rFonts w:ascii="Times New Roman" w:hAnsi="Times New Roman" w:cs="Times New Roman"/>
              </w:rPr>
              <w:t>Salário Real Médio</w:t>
            </w:r>
          </w:p>
        </w:tc>
        <w:tc>
          <w:tcPr>
            <w:tcW w:w="4990" w:type="dxa"/>
            <w:tcBorders>
              <w:top w:val="single" w:sz="4" w:space="0" w:color="auto"/>
              <w:left w:val="single" w:sz="4" w:space="0" w:color="auto"/>
              <w:bottom w:val="single" w:sz="4" w:space="0" w:color="auto"/>
              <w:right w:val="single" w:sz="4" w:space="0" w:color="auto"/>
            </w:tcBorders>
            <w:hideMark/>
          </w:tcPr>
          <w:p w14:paraId="01062539" w14:textId="77777777" w:rsidR="00C967F6" w:rsidRPr="00566ED8" w:rsidRDefault="00C967F6" w:rsidP="00AD37F7">
            <w:pPr>
              <w:pStyle w:val="PargrafodaLista"/>
              <w:numPr>
                <w:ilvl w:val="0"/>
                <w:numId w:val="16"/>
              </w:numPr>
              <w:rPr>
                <w:rFonts w:ascii="Times New Roman" w:hAnsi="Times New Roman" w:cs="Times New Roman"/>
              </w:rPr>
            </w:pPr>
            <w:r w:rsidRPr="00566ED8">
              <w:rPr>
                <w:rFonts w:ascii="Times New Roman" w:hAnsi="Times New Roman" w:cs="Times New Roman"/>
              </w:rPr>
              <w:t>Taxa de Crescimento do Salário Real</w:t>
            </w:r>
          </w:p>
        </w:tc>
      </w:tr>
      <w:tr w:rsidR="00C967F6" w:rsidRPr="00566ED8" w14:paraId="48FEBA55" w14:textId="77777777" w:rsidTr="00566ED8">
        <w:tc>
          <w:tcPr>
            <w:tcW w:w="4071" w:type="dxa"/>
            <w:tcBorders>
              <w:top w:val="single" w:sz="4" w:space="0" w:color="auto"/>
              <w:left w:val="single" w:sz="4" w:space="0" w:color="auto"/>
              <w:bottom w:val="single" w:sz="4" w:space="0" w:color="auto"/>
              <w:right w:val="single" w:sz="4" w:space="0" w:color="auto"/>
            </w:tcBorders>
            <w:hideMark/>
          </w:tcPr>
          <w:p w14:paraId="0BF26670" w14:textId="1D12AA47" w:rsidR="00C967F6" w:rsidRPr="00566ED8" w:rsidRDefault="00C967F6">
            <w:pPr>
              <w:rPr>
                <w:rFonts w:ascii="Times New Roman" w:hAnsi="Times New Roman" w:cs="Times New Roman"/>
              </w:rPr>
            </w:pPr>
            <w:r w:rsidRPr="00566ED8">
              <w:rPr>
                <w:rFonts w:ascii="Times New Roman" w:hAnsi="Times New Roman" w:cs="Times New Roman"/>
                <w:noProof/>
                <w:lang w:eastAsia="pt-BR"/>
              </w:rPr>
              <w:drawing>
                <wp:anchor distT="0" distB="0" distL="114300" distR="114300" simplePos="0" relativeHeight="251658240" behindDoc="0" locked="0" layoutInCell="1" allowOverlap="1" wp14:anchorId="1A39DBD5" wp14:editId="339959B1">
                  <wp:simplePos x="0" y="0"/>
                  <wp:positionH relativeFrom="margin">
                    <wp:posOffset>-65405</wp:posOffset>
                  </wp:positionH>
                  <wp:positionV relativeFrom="margin">
                    <wp:posOffset>323850</wp:posOffset>
                  </wp:positionV>
                  <wp:extent cx="2466975" cy="1685290"/>
                  <wp:effectExtent l="0" t="0" r="9525"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1685290"/>
                          </a:xfrm>
                          <a:prstGeom prst="rect">
                            <a:avLst/>
                          </a:prstGeom>
                          <a:noFill/>
                        </pic:spPr>
                      </pic:pic>
                    </a:graphicData>
                  </a:graphic>
                  <wp14:sizeRelH relativeFrom="page">
                    <wp14:pctWidth>0</wp14:pctWidth>
                  </wp14:sizeRelH>
                  <wp14:sizeRelV relativeFrom="page">
                    <wp14:pctHeight>0</wp14:pctHeight>
                  </wp14:sizeRelV>
                </wp:anchor>
              </w:drawing>
            </w:r>
          </w:p>
        </w:tc>
        <w:tc>
          <w:tcPr>
            <w:tcW w:w="4990" w:type="dxa"/>
            <w:tcBorders>
              <w:top w:val="single" w:sz="4" w:space="0" w:color="auto"/>
              <w:left w:val="single" w:sz="4" w:space="0" w:color="auto"/>
              <w:bottom w:val="single" w:sz="4" w:space="0" w:color="auto"/>
              <w:right w:val="single" w:sz="4" w:space="0" w:color="auto"/>
            </w:tcBorders>
            <w:hideMark/>
          </w:tcPr>
          <w:p w14:paraId="6D509F5E" w14:textId="602E00B9" w:rsidR="00C967F6" w:rsidRPr="00566ED8" w:rsidRDefault="00C967F6">
            <w:pPr>
              <w:rPr>
                <w:rFonts w:ascii="Times New Roman" w:hAnsi="Times New Roman" w:cs="Times New Roman"/>
              </w:rPr>
            </w:pPr>
            <w:r w:rsidRPr="00566ED8">
              <w:rPr>
                <w:rFonts w:ascii="Times New Roman" w:hAnsi="Times New Roman" w:cs="Times New Roman"/>
                <w:noProof/>
                <w:lang w:eastAsia="pt-BR"/>
              </w:rPr>
              <w:drawing>
                <wp:inline distT="0" distB="0" distL="0" distR="0" wp14:anchorId="4E320DE0" wp14:editId="519BC6FF">
                  <wp:extent cx="3057525" cy="24098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57525" cy="2409825"/>
                          </a:xfrm>
                          <a:prstGeom prst="rect">
                            <a:avLst/>
                          </a:prstGeom>
                          <a:noFill/>
                          <a:ln>
                            <a:noFill/>
                          </a:ln>
                        </pic:spPr>
                      </pic:pic>
                    </a:graphicData>
                  </a:graphic>
                </wp:inline>
              </w:drawing>
            </w:r>
          </w:p>
        </w:tc>
      </w:tr>
    </w:tbl>
    <w:p w14:paraId="29F834C9" w14:textId="4146BC56" w:rsidR="00566ED8" w:rsidRDefault="00566ED8" w:rsidP="00566ED8">
      <w:pPr>
        <w:spacing w:after="0"/>
        <w:rPr>
          <w:rFonts w:ascii="Times New Roman" w:hAnsi="Times New Roman" w:cs="Times New Roman"/>
        </w:rPr>
      </w:pPr>
      <w:r>
        <w:rPr>
          <w:rFonts w:ascii="Times New Roman" w:hAnsi="Times New Roman" w:cs="Times New Roman"/>
          <w:b/>
        </w:rPr>
        <w:t>Fonte</w:t>
      </w:r>
      <w:r>
        <w:rPr>
          <w:rFonts w:ascii="Times New Roman" w:hAnsi="Times New Roman" w:cs="Times New Roman"/>
        </w:rPr>
        <w:t>: Elaborado pelos autore</w:t>
      </w:r>
      <w:r w:rsidR="00066687">
        <w:rPr>
          <w:rFonts w:ascii="Times New Roman" w:hAnsi="Times New Roman" w:cs="Times New Roman"/>
        </w:rPr>
        <w:t>s com base nos dados da RAIS-MTE</w:t>
      </w:r>
    </w:p>
    <w:p w14:paraId="6F3F18FB" w14:textId="77777777" w:rsidR="00C967F6" w:rsidRDefault="00C967F6" w:rsidP="00C967F6"/>
    <w:p w14:paraId="62AE47AC" w14:textId="799A9112" w:rsidR="00C967F6" w:rsidRDefault="00D04F18" w:rsidP="00695F2A">
      <w:pPr>
        <w:spacing w:after="0" w:line="240" w:lineRule="auto"/>
        <w:ind w:firstLine="709"/>
        <w:jc w:val="both"/>
        <w:rPr>
          <w:rFonts w:ascii="Times New Roman" w:hAnsi="Times New Roman" w:cs="Times New Roman"/>
          <w:sz w:val="24"/>
          <w:szCs w:val="24"/>
        </w:rPr>
      </w:pPr>
      <w:r w:rsidRPr="00D04F18">
        <w:rPr>
          <w:rFonts w:ascii="Times New Roman" w:hAnsi="Times New Roman" w:cs="Times New Roman"/>
          <w:sz w:val="24"/>
          <w:szCs w:val="24"/>
        </w:rPr>
        <w:t>As microrregiões que apresentaram maiores taxas de crescimento linear</w:t>
      </w:r>
      <w:r w:rsidR="00D15DB1">
        <w:rPr>
          <w:rFonts w:ascii="Times New Roman" w:hAnsi="Times New Roman" w:cs="Times New Roman"/>
          <w:sz w:val="24"/>
          <w:szCs w:val="24"/>
        </w:rPr>
        <w:t xml:space="preserve"> do salário médio real</w:t>
      </w:r>
      <w:r w:rsidRPr="00D04F18">
        <w:rPr>
          <w:rFonts w:ascii="Times New Roman" w:hAnsi="Times New Roman" w:cs="Times New Roman"/>
          <w:sz w:val="24"/>
          <w:szCs w:val="24"/>
        </w:rPr>
        <w:t xml:space="preserve"> entre 2000 e 2017</w:t>
      </w:r>
      <w:r w:rsidR="00766470">
        <w:rPr>
          <w:rFonts w:ascii="Times New Roman" w:hAnsi="Times New Roman" w:cs="Times New Roman"/>
          <w:sz w:val="24"/>
          <w:szCs w:val="24"/>
        </w:rPr>
        <w:t xml:space="preserve"> </w:t>
      </w:r>
      <w:r w:rsidRPr="00D04F18">
        <w:rPr>
          <w:rFonts w:ascii="Times New Roman" w:hAnsi="Times New Roman" w:cs="Times New Roman"/>
          <w:sz w:val="24"/>
          <w:szCs w:val="24"/>
        </w:rPr>
        <w:t>foram Jaguarão (10,18% a.a.), Santo Ângelo (10,01% a.a.), Montenegro (9,8% a.a.), Litoral Lagunar (9,8% a.a.), Campanha Central (9,7% a.a.), Campanha Meridional (9,7% a.a.) e Passo Fundo (9,7% a.a.)</w:t>
      </w:r>
      <w:r w:rsidR="00766470">
        <w:rPr>
          <w:rFonts w:ascii="Times New Roman" w:hAnsi="Times New Roman" w:cs="Times New Roman"/>
          <w:sz w:val="24"/>
          <w:szCs w:val="24"/>
        </w:rPr>
        <w:t xml:space="preserve"> (Figura 2 – b)</w:t>
      </w:r>
      <w:r w:rsidRPr="00D04F18">
        <w:rPr>
          <w:rFonts w:ascii="Times New Roman" w:hAnsi="Times New Roman" w:cs="Times New Roman"/>
          <w:sz w:val="24"/>
          <w:szCs w:val="24"/>
        </w:rPr>
        <w:t xml:space="preserve">. </w:t>
      </w:r>
      <w:r w:rsidR="00CE4876">
        <w:rPr>
          <w:rFonts w:ascii="Times New Roman" w:hAnsi="Times New Roman" w:cs="Times New Roman"/>
          <w:sz w:val="24"/>
          <w:szCs w:val="24"/>
        </w:rPr>
        <w:t>Apesar de ter ocorrido elevação do salário médio em todo o Estado</w:t>
      </w:r>
      <w:r w:rsidR="001F6029">
        <w:rPr>
          <w:rFonts w:ascii="Times New Roman" w:hAnsi="Times New Roman" w:cs="Times New Roman"/>
          <w:sz w:val="24"/>
          <w:szCs w:val="24"/>
        </w:rPr>
        <w:t>,</w:t>
      </w:r>
      <w:r w:rsidR="00CE4876">
        <w:rPr>
          <w:rFonts w:ascii="Times New Roman" w:hAnsi="Times New Roman" w:cs="Times New Roman"/>
          <w:sz w:val="24"/>
          <w:szCs w:val="24"/>
        </w:rPr>
        <w:t xml:space="preserve"> </w:t>
      </w:r>
      <w:r w:rsidR="001F6029">
        <w:rPr>
          <w:rFonts w:ascii="Times New Roman" w:hAnsi="Times New Roman" w:cs="Times New Roman"/>
          <w:sz w:val="24"/>
          <w:szCs w:val="24"/>
        </w:rPr>
        <w:t>essa tendência</w:t>
      </w:r>
      <w:r w:rsidR="00CE4876">
        <w:rPr>
          <w:rFonts w:ascii="Times New Roman" w:hAnsi="Times New Roman" w:cs="Times New Roman"/>
          <w:sz w:val="24"/>
          <w:szCs w:val="24"/>
        </w:rPr>
        <w:t xml:space="preserve"> foi menor nas microrregiões de Não-me-toque (7,6% a.a.), São Jerônimo (7,9% a.a.), Porto Alegre (8,1% a.a.), Santa Cruz do Sul (8,4% a.a.) e Cruz Alta (8,5% a.a.).</w:t>
      </w:r>
    </w:p>
    <w:p w14:paraId="078122C7" w14:textId="75D89CBA" w:rsidR="00E030D7" w:rsidRDefault="00E91009" w:rsidP="00695F2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Houve </w:t>
      </w:r>
      <w:r w:rsidR="00FF6E23">
        <w:rPr>
          <w:rFonts w:ascii="Times New Roman" w:hAnsi="Times New Roman" w:cs="Times New Roman"/>
          <w:sz w:val="24"/>
          <w:szCs w:val="24"/>
        </w:rPr>
        <w:t>um</w:t>
      </w:r>
      <w:r>
        <w:rPr>
          <w:rFonts w:ascii="Times New Roman" w:hAnsi="Times New Roman" w:cs="Times New Roman"/>
          <w:sz w:val="24"/>
          <w:szCs w:val="24"/>
        </w:rPr>
        <w:t xml:space="preserve"> queda na proporção dos postos de trabalho ocupados por indivíduos sem educação formal (Figura 3) e </w:t>
      </w:r>
      <w:r w:rsidR="00FF6E23">
        <w:rPr>
          <w:rFonts w:ascii="Times New Roman" w:hAnsi="Times New Roman" w:cs="Times New Roman"/>
          <w:sz w:val="24"/>
          <w:szCs w:val="24"/>
        </w:rPr>
        <w:t>um</w:t>
      </w:r>
      <w:r>
        <w:rPr>
          <w:rFonts w:ascii="Times New Roman" w:hAnsi="Times New Roman" w:cs="Times New Roman"/>
          <w:sz w:val="24"/>
          <w:szCs w:val="24"/>
        </w:rPr>
        <w:t xml:space="preserve"> aumento da proporção de vagas ocupadas por indivíduos com ensino superior completo (Figura 4)</w:t>
      </w:r>
      <w:r w:rsidR="00637FD5">
        <w:rPr>
          <w:rFonts w:ascii="Times New Roman" w:hAnsi="Times New Roman" w:cs="Times New Roman"/>
          <w:sz w:val="24"/>
          <w:szCs w:val="24"/>
        </w:rPr>
        <w:t>,</w:t>
      </w:r>
      <w:r w:rsidR="00FF6E23">
        <w:rPr>
          <w:rFonts w:ascii="Times New Roman" w:hAnsi="Times New Roman" w:cs="Times New Roman"/>
          <w:sz w:val="24"/>
          <w:szCs w:val="24"/>
        </w:rPr>
        <w:t xml:space="preserve"> o que sugere uma melhora do nível de qualificação dos trabalhadores da economia formal do Rio Grande do Sul ao longo do período</w:t>
      </w:r>
      <w:r>
        <w:rPr>
          <w:rFonts w:ascii="Times New Roman" w:hAnsi="Times New Roman" w:cs="Times New Roman"/>
          <w:sz w:val="24"/>
          <w:szCs w:val="24"/>
        </w:rPr>
        <w:t>.</w:t>
      </w:r>
      <w:r w:rsidR="00B72F32">
        <w:rPr>
          <w:rFonts w:ascii="Times New Roman" w:hAnsi="Times New Roman" w:cs="Times New Roman"/>
          <w:sz w:val="24"/>
          <w:szCs w:val="24"/>
        </w:rPr>
        <w:t xml:space="preserve"> </w:t>
      </w:r>
    </w:p>
    <w:p w14:paraId="7025509A" w14:textId="57127059" w:rsidR="00D3502F" w:rsidRDefault="00B72F32" w:rsidP="00695F2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Embora a proporção de ocupados sem educação formal tenha caído em todas as microrregiões do Estado, não houve alterações significativas e</w:t>
      </w:r>
      <w:r w:rsidR="008049E8">
        <w:rPr>
          <w:rFonts w:ascii="Times New Roman" w:hAnsi="Times New Roman" w:cs="Times New Roman"/>
          <w:sz w:val="24"/>
          <w:szCs w:val="24"/>
        </w:rPr>
        <w:t>m</w:t>
      </w:r>
      <w:r>
        <w:rPr>
          <w:rFonts w:ascii="Times New Roman" w:hAnsi="Times New Roman" w:cs="Times New Roman"/>
          <w:sz w:val="24"/>
          <w:szCs w:val="24"/>
        </w:rPr>
        <w:t xml:space="preserve"> direção a redução de disparidades</w:t>
      </w:r>
      <w:r w:rsidR="00696894">
        <w:rPr>
          <w:rFonts w:ascii="Times New Roman" w:hAnsi="Times New Roman" w:cs="Times New Roman"/>
          <w:sz w:val="24"/>
          <w:szCs w:val="24"/>
        </w:rPr>
        <w:t xml:space="preserve"> espaciais</w:t>
      </w:r>
      <w:r>
        <w:rPr>
          <w:rFonts w:ascii="Times New Roman" w:hAnsi="Times New Roman" w:cs="Times New Roman"/>
          <w:sz w:val="24"/>
          <w:szCs w:val="24"/>
        </w:rPr>
        <w:t>.</w:t>
      </w:r>
      <w:r w:rsidR="008049E8">
        <w:rPr>
          <w:rFonts w:ascii="Times New Roman" w:hAnsi="Times New Roman" w:cs="Times New Roman"/>
          <w:sz w:val="24"/>
          <w:szCs w:val="24"/>
        </w:rPr>
        <w:t xml:space="preserve"> Microrregiões localizadas ao sul tais como Campanha Ocidental, Campanha Central, Campanha Meridional e Serra do Sudeste, juntamente com as microrregiões de Vacaria, ao norte, e Cruz Alta, no centro, se posicionaram no terceiro</w:t>
      </w:r>
      <w:r w:rsidR="00C66304">
        <w:rPr>
          <w:rFonts w:ascii="Times New Roman" w:hAnsi="Times New Roman" w:cs="Times New Roman"/>
          <w:sz w:val="24"/>
          <w:szCs w:val="24"/>
        </w:rPr>
        <w:t xml:space="preserve"> quartil da proporção de</w:t>
      </w:r>
      <w:r w:rsidR="00637FD5">
        <w:rPr>
          <w:rFonts w:ascii="Times New Roman" w:hAnsi="Times New Roman" w:cs="Times New Roman"/>
          <w:sz w:val="24"/>
          <w:szCs w:val="24"/>
        </w:rPr>
        <w:t xml:space="preserve"> </w:t>
      </w:r>
      <w:r w:rsidR="008049E8">
        <w:rPr>
          <w:rFonts w:ascii="Times New Roman" w:hAnsi="Times New Roman" w:cs="Times New Roman"/>
          <w:sz w:val="24"/>
          <w:szCs w:val="24"/>
        </w:rPr>
        <w:t xml:space="preserve">ocupados sem educação formal </w:t>
      </w:r>
      <w:r w:rsidR="00C66304">
        <w:rPr>
          <w:rFonts w:ascii="Times New Roman" w:hAnsi="Times New Roman" w:cs="Times New Roman"/>
          <w:sz w:val="24"/>
          <w:szCs w:val="24"/>
        </w:rPr>
        <w:t>tanto em 2000 quanto</w:t>
      </w:r>
      <w:r w:rsidR="008049E8">
        <w:rPr>
          <w:rFonts w:ascii="Times New Roman" w:hAnsi="Times New Roman" w:cs="Times New Roman"/>
          <w:sz w:val="24"/>
          <w:szCs w:val="24"/>
        </w:rPr>
        <w:t xml:space="preserve"> em 2017</w:t>
      </w:r>
      <w:r w:rsidR="004A41A8">
        <w:rPr>
          <w:rFonts w:ascii="Times New Roman" w:hAnsi="Times New Roman" w:cs="Times New Roman"/>
          <w:sz w:val="24"/>
          <w:szCs w:val="24"/>
        </w:rPr>
        <w:t xml:space="preserve"> (Figura 3)</w:t>
      </w:r>
      <w:r w:rsidR="008049E8">
        <w:rPr>
          <w:rFonts w:ascii="Times New Roman" w:hAnsi="Times New Roman" w:cs="Times New Roman"/>
          <w:sz w:val="24"/>
          <w:szCs w:val="24"/>
        </w:rPr>
        <w:t xml:space="preserve">. </w:t>
      </w:r>
    </w:p>
    <w:p w14:paraId="467B7145" w14:textId="77777777" w:rsidR="00637FD5" w:rsidRDefault="00637FD5" w:rsidP="00766470">
      <w:pPr>
        <w:spacing w:after="0" w:line="360" w:lineRule="auto"/>
        <w:ind w:firstLine="709"/>
        <w:jc w:val="both"/>
        <w:rPr>
          <w:rFonts w:ascii="Times New Roman" w:hAnsi="Times New Roman" w:cs="Times New Roman"/>
          <w:sz w:val="24"/>
          <w:szCs w:val="24"/>
        </w:rPr>
      </w:pPr>
    </w:p>
    <w:p w14:paraId="484D4269" w14:textId="77777777" w:rsidR="00695F2A" w:rsidRDefault="00695F2A" w:rsidP="00766470">
      <w:pPr>
        <w:spacing w:after="0" w:line="360" w:lineRule="auto"/>
        <w:ind w:firstLine="709"/>
        <w:jc w:val="both"/>
        <w:rPr>
          <w:rFonts w:ascii="Times New Roman" w:hAnsi="Times New Roman" w:cs="Times New Roman"/>
          <w:sz w:val="24"/>
          <w:szCs w:val="24"/>
        </w:rPr>
      </w:pPr>
    </w:p>
    <w:p w14:paraId="56F99022" w14:textId="77777777" w:rsidR="00695F2A" w:rsidRDefault="00695F2A" w:rsidP="00766470">
      <w:pPr>
        <w:spacing w:after="0" w:line="360" w:lineRule="auto"/>
        <w:ind w:firstLine="709"/>
        <w:jc w:val="both"/>
        <w:rPr>
          <w:rFonts w:ascii="Times New Roman" w:hAnsi="Times New Roman" w:cs="Times New Roman"/>
          <w:sz w:val="24"/>
          <w:szCs w:val="24"/>
        </w:rPr>
      </w:pPr>
    </w:p>
    <w:p w14:paraId="3F1B47F6" w14:textId="77777777" w:rsidR="00695F2A" w:rsidRDefault="00695F2A" w:rsidP="00766470">
      <w:pPr>
        <w:spacing w:after="0" w:line="360" w:lineRule="auto"/>
        <w:ind w:firstLine="709"/>
        <w:jc w:val="both"/>
        <w:rPr>
          <w:rFonts w:ascii="Times New Roman" w:hAnsi="Times New Roman" w:cs="Times New Roman"/>
          <w:sz w:val="24"/>
          <w:szCs w:val="24"/>
        </w:rPr>
      </w:pPr>
    </w:p>
    <w:p w14:paraId="14A47984" w14:textId="77777777" w:rsidR="00695F2A" w:rsidRDefault="00695F2A" w:rsidP="00766470">
      <w:pPr>
        <w:spacing w:after="0" w:line="360" w:lineRule="auto"/>
        <w:ind w:firstLine="709"/>
        <w:jc w:val="both"/>
        <w:rPr>
          <w:rFonts w:ascii="Times New Roman" w:hAnsi="Times New Roman" w:cs="Times New Roman"/>
          <w:sz w:val="24"/>
          <w:szCs w:val="24"/>
        </w:rPr>
      </w:pPr>
    </w:p>
    <w:p w14:paraId="04D68BEE" w14:textId="77777777" w:rsidR="00695F2A" w:rsidRDefault="00695F2A" w:rsidP="00766470">
      <w:pPr>
        <w:spacing w:after="0" w:line="360" w:lineRule="auto"/>
        <w:ind w:firstLine="709"/>
        <w:jc w:val="both"/>
        <w:rPr>
          <w:rFonts w:ascii="Times New Roman" w:hAnsi="Times New Roman" w:cs="Times New Roman"/>
          <w:sz w:val="24"/>
          <w:szCs w:val="24"/>
        </w:rPr>
      </w:pPr>
    </w:p>
    <w:p w14:paraId="35C2EE2C" w14:textId="77777777" w:rsidR="00695F2A" w:rsidRDefault="00695F2A" w:rsidP="00766470">
      <w:pPr>
        <w:spacing w:after="0" w:line="360" w:lineRule="auto"/>
        <w:ind w:firstLine="709"/>
        <w:jc w:val="both"/>
        <w:rPr>
          <w:rFonts w:ascii="Times New Roman" w:hAnsi="Times New Roman" w:cs="Times New Roman"/>
          <w:sz w:val="24"/>
          <w:szCs w:val="24"/>
        </w:rPr>
      </w:pPr>
    </w:p>
    <w:p w14:paraId="1237D71E" w14:textId="77777777" w:rsidR="00695F2A" w:rsidRDefault="00695F2A" w:rsidP="00766470">
      <w:pPr>
        <w:spacing w:after="0" w:line="360" w:lineRule="auto"/>
        <w:ind w:firstLine="709"/>
        <w:jc w:val="both"/>
        <w:rPr>
          <w:rFonts w:ascii="Times New Roman" w:hAnsi="Times New Roman" w:cs="Times New Roman"/>
          <w:sz w:val="24"/>
          <w:szCs w:val="24"/>
        </w:rPr>
      </w:pPr>
    </w:p>
    <w:p w14:paraId="0344582B" w14:textId="77777777" w:rsidR="00695F2A" w:rsidRDefault="00695F2A" w:rsidP="00766470">
      <w:pPr>
        <w:spacing w:after="0" w:line="360" w:lineRule="auto"/>
        <w:ind w:firstLine="709"/>
        <w:jc w:val="both"/>
        <w:rPr>
          <w:rFonts w:ascii="Times New Roman" w:hAnsi="Times New Roman" w:cs="Times New Roman"/>
          <w:sz w:val="24"/>
          <w:szCs w:val="24"/>
        </w:rPr>
      </w:pPr>
    </w:p>
    <w:p w14:paraId="57BCBAAF" w14:textId="76382B25" w:rsidR="00C967F6" w:rsidRPr="00D3502F" w:rsidRDefault="00472EE2" w:rsidP="00C967F6">
      <w:pPr>
        <w:spacing w:after="0"/>
        <w:rPr>
          <w:rFonts w:ascii="Times New Roman" w:hAnsi="Times New Roman" w:cs="Times New Roman"/>
        </w:rPr>
      </w:pPr>
      <w:r>
        <w:rPr>
          <w:rFonts w:ascii="Times New Roman" w:hAnsi="Times New Roman" w:cs="Times New Roman"/>
          <w:b/>
        </w:rPr>
        <w:t>Figura 3</w:t>
      </w:r>
      <w:r w:rsidR="00C967F6" w:rsidRPr="00472EE2">
        <w:rPr>
          <w:rFonts w:ascii="Times New Roman" w:hAnsi="Times New Roman" w:cs="Times New Roman"/>
          <w:b/>
        </w:rPr>
        <w:t>.</w:t>
      </w:r>
      <w:r w:rsidR="00C967F6" w:rsidRPr="00D3502F">
        <w:rPr>
          <w:rFonts w:ascii="Times New Roman" w:hAnsi="Times New Roman" w:cs="Times New Roman"/>
        </w:rPr>
        <w:t xml:space="preserve"> </w:t>
      </w:r>
      <w:r w:rsidR="00791CDF">
        <w:rPr>
          <w:rFonts w:ascii="Times New Roman" w:hAnsi="Times New Roman" w:cs="Times New Roman"/>
        </w:rPr>
        <w:t>Quar</w:t>
      </w:r>
      <w:r w:rsidR="00B03454">
        <w:rPr>
          <w:rFonts w:ascii="Times New Roman" w:hAnsi="Times New Roman" w:cs="Times New Roman"/>
        </w:rPr>
        <w:t>tis</w:t>
      </w:r>
      <w:r w:rsidR="00557771">
        <w:rPr>
          <w:rFonts w:ascii="Times New Roman" w:hAnsi="Times New Roman" w:cs="Times New Roman"/>
        </w:rPr>
        <w:t xml:space="preserve"> (1º, 2º, 3º e 4º)</w:t>
      </w:r>
      <w:r w:rsidR="00B03454">
        <w:rPr>
          <w:rFonts w:ascii="Times New Roman" w:hAnsi="Times New Roman" w:cs="Times New Roman"/>
        </w:rPr>
        <w:t xml:space="preserve"> da p</w:t>
      </w:r>
      <w:r w:rsidR="00C967F6" w:rsidRPr="00D3502F">
        <w:rPr>
          <w:rFonts w:ascii="Times New Roman" w:hAnsi="Times New Roman" w:cs="Times New Roman"/>
        </w:rPr>
        <w:t xml:space="preserve">roporção de empregados </w:t>
      </w:r>
      <w:r w:rsidR="00E91009">
        <w:rPr>
          <w:rFonts w:ascii="Times New Roman" w:hAnsi="Times New Roman" w:cs="Times New Roman"/>
        </w:rPr>
        <w:t xml:space="preserve">sem educação </w:t>
      </w:r>
      <w:r w:rsidR="00B72F32">
        <w:rPr>
          <w:rFonts w:ascii="Times New Roman" w:hAnsi="Times New Roman" w:cs="Times New Roman"/>
        </w:rPr>
        <w:t>formal</w:t>
      </w:r>
    </w:p>
    <w:tbl>
      <w:tblPr>
        <w:tblStyle w:val="Tabelacomgrade"/>
        <w:tblW w:w="0" w:type="auto"/>
        <w:tblLook w:val="04A0" w:firstRow="1" w:lastRow="0" w:firstColumn="1" w:lastColumn="0" w:noHBand="0" w:noVBand="1"/>
      </w:tblPr>
      <w:tblGrid>
        <w:gridCol w:w="4560"/>
        <w:gridCol w:w="4501"/>
      </w:tblGrid>
      <w:tr w:rsidR="00C967F6" w:rsidRPr="00D3502F" w14:paraId="3C2072C0" w14:textId="77777777" w:rsidTr="00566ED8">
        <w:trPr>
          <w:trHeight w:val="262"/>
        </w:trPr>
        <w:tc>
          <w:tcPr>
            <w:tcW w:w="4560" w:type="dxa"/>
            <w:tcBorders>
              <w:top w:val="single" w:sz="4" w:space="0" w:color="auto"/>
              <w:left w:val="single" w:sz="4" w:space="0" w:color="auto"/>
              <w:bottom w:val="single" w:sz="4" w:space="0" w:color="auto"/>
              <w:right w:val="single" w:sz="4" w:space="0" w:color="auto"/>
            </w:tcBorders>
            <w:hideMark/>
          </w:tcPr>
          <w:p w14:paraId="7E52A303" w14:textId="77777777" w:rsidR="00C967F6" w:rsidRPr="00D3502F" w:rsidRDefault="00C967F6" w:rsidP="007E1A28">
            <w:pPr>
              <w:pStyle w:val="PargrafodaLista"/>
              <w:numPr>
                <w:ilvl w:val="0"/>
                <w:numId w:val="11"/>
              </w:numPr>
              <w:jc w:val="center"/>
              <w:rPr>
                <w:rFonts w:ascii="Times New Roman" w:hAnsi="Times New Roman" w:cs="Times New Roman"/>
              </w:rPr>
            </w:pPr>
            <w:r w:rsidRPr="00D3502F">
              <w:rPr>
                <w:rFonts w:ascii="Times New Roman" w:hAnsi="Times New Roman" w:cs="Times New Roman"/>
              </w:rPr>
              <w:t>2000</w:t>
            </w:r>
          </w:p>
        </w:tc>
        <w:tc>
          <w:tcPr>
            <w:tcW w:w="4501" w:type="dxa"/>
            <w:tcBorders>
              <w:top w:val="single" w:sz="4" w:space="0" w:color="auto"/>
              <w:left w:val="single" w:sz="4" w:space="0" w:color="auto"/>
              <w:bottom w:val="single" w:sz="4" w:space="0" w:color="auto"/>
              <w:right w:val="single" w:sz="4" w:space="0" w:color="auto"/>
            </w:tcBorders>
            <w:hideMark/>
          </w:tcPr>
          <w:p w14:paraId="4344A951" w14:textId="77777777" w:rsidR="00C967F6" w:rsidRPr="00D3502F" w:rsidRDefault="00C967F6" w:rsidP="007E1A28">
            <w:pPr>
              <w:pStyle w:val="PargrafodaLista"/>
              <w:numPr>
                <w:ilvl w:val="0"/>
                <w:numId w:val="11"/>
              </w:numPr>
              <w:jc w:val="center"/>
              <w:rPr>
                <w:rFonts w:ascii="Times New Roman" w:hAnsi="Times New Roman" w:cs="Times New Roman"/>
              </w:rPr>
            </w:pPr>
            <w:r w:rsidRPr="00D3502F">
              <w:rPr>
                <w:rFonts w:ascii="Times New Roman" w:hAnsi="Times New Roman" w:cs="Times New Roman"/>
              </w:rPr>
              <w:t>2017</w:t>
            </w:r>
          </w:p>
        </w:tc>
      </w:tr>
      <w:tr w:rsidR="00C967F6" w:rsidRPr="00D3502F" w14:paraId="53353389" w14:textId="77777777" w:rsidTr="00566ED8">
        <w:trPr>
          <w:trHeight w:val="3678"/>
        </w:trPr>
        <w:tc>
          <w:tcPr>
            <w:tcW w:w="4560" w:type="dxa"/>
            <w:tcBorders>
              <w:top w:val="single" w:sz="4" w:space="0" w:color="auto"/>
              <w:left w:val="single" w:sz="4" w:space="0" w:color="auto"/>
              <w:bottom w:val="single" w:sz="4" w:space="0" w:color="auto"/>
              <w:right w:val="single" w:sz="4" w:space="0" w:color="auto"/>
            </w:tcBorders>
            <w:hideMark/>
          </w:tcPr>
          <w:p w14:paraId="43DEFFEC" w14:textId="740E757B" w:rsidR="00C967F6" w:rsidRPr="00D3502F" w:rsidRDefault="00C967F6">
            <w:pPr>
              <w:rPr>
                <w:rFonts w:ascii="Times New Roman" w:hAnsi="Times New Roman" w:cs="Times New Roman"/>
              </w:rPr>
            </w:pPr>
            <w:r w:rsidRPr="00D3502F">
              <w:rPr>
                <w:rFonts w:ascii="Times New Roman" w:hAnsi="Times New Roman" w:cs="Times New Roman"/>
                <w:noProof/>
                <w:lang w:eastAsia="pt-BR"/>
              </w:rPr>
              <w:drawing>
                <wp:inline distT="0" distB="0" distL="0" distR="0" wp14:anchorId="714B26AF" wp14:editId="53580D98">
                  <wp:extent cx="2771775" cy="21907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71775" cy="2190750"/>
                          </a:xfrm>
                          <a:prstGeom prst="rect">
                            <a:avLst/>
                          </a:prstGeom>
                          <a:noFill/>
                          <a:ln>
                            <a:noFill/>
                          </a:ln>
                        </pic:spPr>
                      </pic:pic>
                    </a:graphicData>
                  </a:graphic>
                </wp:inline>
              </w:drawing>
            </w:r>
          </w:p>
        </w:tc>
        <w:tc>
          <w:tcPr>
            <w:tcW w:w="4501" w:type="dxa"/>
            <w:tcBorders>
              <w:top w:val="single" w:sz="4" w:space="0" w:color="auto"/>
              <w:left w:val="single" w:sz="4" w:space="0" w:color="auto"/>
              <w:bottom w:val="single" w:sz="4" w:space="0" w:color="auto"/>
              <w:right w:val="single" w:sz="4" w:space="0" w:color="auto"/>
            </w:tcBorders>
            <w:hideMark/>
          </w:tcPr>
          <w:p w14:paraId="5D0CE835" w14:textId="05008340" w:rsidR="00C967F6" w:rsidRPr="00D3502F" w:rsidRDefault="00C967F6">
            <w:pPr>
              <w:rPr>
                <w:rFonts w:ascii="Times New Roman" w:hAnsi="Times New Roman" w:cs="Times New Roman"/>
              </w:rPr>
            </w:pPr>
            <w:r w:rsidRPr="00D3502F">
              <w:rPr>
                <w:rFonts w:ascii="Times New Roman" w:hAnsi="Times New Roman" w:cs="Times New Roman"/>
                <w:noProof/>
                <w:lang w:eastAsia="pt-BR"/>
              </w:rPr>
              <w:drawing>
                <wp:inline distT="0" distB="0" distL="0" distR="0" wp14:anchorId="6B17FF62" wp14:editId="158406AB">
                  <wp:extent cx="2733675" cy="21621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3675" cy="2162175"/>
                          </a:xfrm>
                          <a:prstGeom prst="rect">
                            <a:avLst/>
                          </a:prstGeom>
                          <a:noFill/>
                          <a:ln>
                            <a:noFill/>
                          </a:ln>
                        </pic:spPr>
                      </pic:pic>
                    </a:graphicData>
                  </a:graphic>
                </wp:inline>
              </w:drawing>
            </w:r>
          </w:p>
        </w:tc>
      </w:tr>
    </w:tbl>
    <w:p w14:paraId="53D83F10" w14:textId="5A1F3E56" w:rsidR="00566ED8" w:rsidRPr="00D3502F" w:rsidRDefault="00566ED8" w:rsidP="00566ED8">
      <w:pPr>
        <w:spacing w:after="0"/>
        <w:rPr>
          <w:rFonts w:ascii="Times New Roman" w:hAnsi="Times New Roman" w:cs="Times New Roman"/>
        </w:rPr>
      </w:pPr>
      <w:r w:rsidRPr="00D3502F">
        <w:rPr>
          <w:rFonts w:ascii="Times New Roman" w:hAnsi="Times New Roman" w:cs="Times New Roman"/>
          <w:b/>
        </w:rPr>
        <w:t>Fonte</w:t>
      </w:r>
      <w:r w:rsidRPr="00D3502F">
        <w:rPr>
          <w:rFonts w:ascii="Times New Roman" w:hAnsi="Times New Roman" w:cs="Times New Roman"/>
        </w:rPr>
        <w:t>: Elaborado pelos autore</w:t>
      </w:r>
      <w:r w:rsidR="00066687" w:rsidRPr="00D3502F">
        <w:rPr>
          <w:rFonts w:ascii="Times New Roman" w:hAnsi="Times New Roman" w:cs="Times New Roman"/>
        </w:rPr>
        <w:t>s com base nos dados da RAIS-MTE</w:t>
      </w:r>
    </w:p>
    <w:p w14:paraId="3B06F965" w14:textId="77777777" w:rsidR="00C967F6" w:rsidRDefault="00C967F6" w:rsidP="00C967F6">
      <w:pPr>
        <w:rPr>
          <w:rFonts w:ascii="Times New Roman" w:hAnsi="Times New Roman" w:cs="Times New Roman"/>
        </w:rPr>
      </w:pPr>
    </w:p>
    <w:p w14:paraId="78316C67" w14:textId="62338685" w:rsidR="00557771" w:rsidRPr="00CD3F7A" w:rsidRDefault="00557771" w:rsidP="00695F2A">
      <w:pPr>
        <w:spacing w:after="0" w:line="240" w:lineRule="auto"/>
        <w:jc w:val="both"/>
        <w:rPr>
          <w:rFonts w:ascii="Times New Roman" w:hAnsi="Times New Roman" w:cs="Times New Roman"/>
          <w:sz w:val="24"/>
          <w:szCs w:val="24"/>
        </w:rPr>
      </w:pPr>
      <w:r w:rsidRPr="00CD3F7A">
        <w:rPr>
          <w:rFonts w:ascii="Times New Roman" w:hAnsi="Times New Roman" w:cs="Times New Roman"/>
          <w:sz w:val="24"/>
          <w:szCs w:val="24"/>
        </w:rPr>
        <w:tab/>
        <w:t xml:space="preserve">As microrregiões de Porto Alegre e Santa Maria </w:t>
      </w:r>
      <w:r w:rsidR="00637FD5" w:rsidRPr="00CD3F7A">
        <w:rPr>
          <w:rFonts w:ascii="Times New Roman" w:hAnsi="Times New Roman" w:cs="Times New Roman"/>
          <w:sz w:val="24"/>
          <w:szCs w:val="24"/>
        </w:rPr>
        <w:t>foram classificadas</w:t>
      </w:r>
      <w:r w:rsidRPr="00CD3F7A">
        <w:rPr>
          <w:rFonts w:ascii="Times New Roman" w:hAnsi="Times New Roman" w:cs="Times New Roman"/>
          <w:sz w:val="24"/>
          <w:szCs w:val="24"/>
        </w:rPr>
        <w:t xml:space="preserve"> no terceiro quartil da proporção de ocupados com ensino superior em </w:t>
      </w:r>
      <w:r w:rsidR="00F650F3" w:rsidRPr="00CD3F7A">
        <w:rPr>
          <w:rFonts w:ascii="Times New Roman" w:hAnsi="Times New Roman" w:cs="Times New Roman"/>
          <w:sz w:val="24"/>
          <w:szCs w:val="24"/>
        </w:rPr>
        <w:t xml:space="preserve">2000 </w:t>
      </w:r>
      <w:r w:rsidR="00637FD5" w:rsidRPr="00CD3F7A">
        <w:rPr>
          <w:rFonts w:ascii="Times New Roman" w:hAnsi="Times New Roman" w:cs="Times New Roman"/>
          <w:sz w:val="24"/>
          <w:szCs w:val="24"/>
        </w:rPr>
        <w:t xml:space="preserve">e </w:t>
      </w:r>
      <w:r w:rsidR="00F650F3" w:rsidRPr="00CD3F7A">
        <w:rPr>
          <w:rFonts w:ascii="Times New Roman" w:hAnsi="Times New Roman" w:cs="Times New Roman"/>
          <w:sz w:val="24"/>
          <w:szCs w:val="24"/>
        </w:rPr>
        <w:t>em 2017</w:t>
      </w:r>
      <w:r w:rsidR="008D0C75" w:rsidRPr="00CD3F7A">
        <w:rPr>
          <w:rFonts w:ascii="Times New Roman" w:hAnsi="Times New Roman" w:cs="Times New Roman"/>
          <w:sz w:val="24"/>
          <w:szCs w:val="24"/>
        </w:rPr>
        <w:t xml:space="preserve"> (Figura 4). </w:t>
      </w:r>
      <w:r w:rsidR="00637FD5" w:rsidRPr="00CD3F7A">
        <w:rPr>
          <w:rFonts w:ascii="Times New Roman" w:hAnsi="Times New Roman" w:cs="Times New Roman"/>
          <w:sz w:val="24"/>
          <w:szCs w:val="24"/>
        </w:rPr>
        <w:t>Foram observadas</w:t>
      </w:r>
      <w:r w:rsidR="009A7A21" w:rsidRPr="00CD3F7A">
        <w:rPr>
          <w:rFonts w:ascii="Times New Roman" w:hAnsi="Times New Roman" w:cs="Times New Roman"/>
          <w:sz w:val="24"/>
          <w:szCs w:val="24"/>
        </w:rPr>
        <w:t xml:space="preserve"> mudanças</w:t>
      </w:r>
      <w:r w:rsidR="00845125" w:rsidRPr="00CD3F7A">
        <w:rPr>
          <w:rFonts w:ascii="Times New Roman" w:hAnsi="Times New Roman" w:cs="Times New Roman"/>
          <w:sz w:val="24"/>
          <w:szCs w:val="24"/>
        </w:rPr>
        <w:t xml:space="preserve"> espaciais</w:t>
      </w:r>
      <w:r w:rsidR="009A7A21" w:rsidRPr="00CD3F7A">
        <w:rPr>
          <w:rFonts w:ascii="Times New Roman" w:hAnsi="Times New Roman" w:cs="Times New Roman"/>
          <w:sz w:val="24"/>
          <w:szCs w:val="24"/>
        </w:rPr>
        <w:t xml:space="preserve"> </w:t>
      </w:r>
      <w:r w:rsidR="00BF76EE" w:rsidRPr="00CD3F7A">
        <w:rPr>
          <w:rFonts w:ascii="Times New Roman" w:hAnsi="Times New Roman" w:cs="Times New Roman"/>
          <w:sz w:val="24"/>
          <w:szCs w:val="24"/>
        </w:rPr>
        <w:t xml:space="preserve">em relação </w:t>
      </w:r>
      <w:r w:rsidR="00077384" w:rsidRPr="00CD3F7A">
        <w:rPr>
          <w:rFonts w:ascii="Times New Roman" w:hAnsi="Times New Roman" w:cs="Times New Roman"/>
          <w:sz w:val="24"/>
          <w:szCs w:val="24"/>
        </w:rPr>
        <w:t>a</w:t>
      </w:r>
      <w:r w:rsidR="009A7A21" w:rsidRPr="00CD3F7A">
        <w:rPr>
          <w:rFonts w:ascii="Times New Roman" w:hAnsi="Times New Roman" w:cs="Times New Roman"/>
          <w:sz w:val="24"/>
          <w:szCs w:val="24"/>
        </w:rPr>
        <w:t xml:space="preserve"> proporção de trabalhadores com ensino superior</w:t>
      </w:r>
      <w:r w:rsidR="00BF76EE" w:rsidRPr="00CD3F7A">
        <w:rPr>
          <w:rFonts w:ascii="Times New Roman" w:hAnsi="Times New Roman" w:cs="Times New Roman"/>
          <w:sz w:val="24"/>
          <w:szCs w:val="24"/>
        </w:rPr>
        <w:t xml:space="preserve"> </w:t>
      </w:r>
      <w:r w:rsidR="00637FD5" w:rsidRPr="00CD3F7A">
        <w:rPr>
          <w:rFonts w:ascii="Times New Roman" w:hAnsi="Times New Roman" w:cs="Times New Roman"/>
          <w:sz w:val="24"/>
          <w:szCs w:val="24"/>
        </w:rPr>
        <w:t xml:space="preserve">no Estado </w:t>
      </w:r>
      <w:r w:rsidR="00BF76EE" w:rsidRPr="00CD3F7A">
        <w:rPr>
          <w:rFonts w:ascii="Times New Roman" w:hAnsi="Times New Roman" w:cs="Times New Roman"/>
          <w:sz w:val="24"/>
          <w:szCs w:val="24"/>
        </w:rPr>
        <w:t>ao</w:t>
      </w:r>
      <w:r w:rsidR="009A7A21" w:rsidRPr="00CD3F7A">
        <w:rPr>
          <w:rFonts w:ascii="Times New Roman" w:hAnsi="Times New Roman" w:cs="Times New Roman"/>
          <w:sz w:val="24"/>
          <w:szCs w:val="24"/>
        </w:rPr>
        <w:t xml:space="preserve"> se comparar </w:t>
      </w:r>
      <w:r w:rsidR="00A049F6" w:rsidRPr="00CD3F7A">
        <w:rPr>
          <w:rFonts w:ascii="Times New Roman" w:hAnsi="Times New Roman" w:cs="Times New Roman"/>
          <w:sz w:val="24"/>
          <w:szCs w:val="24"/>
        </w:rPr>
        <w:t xml:space="preserve">os anos </w:t>
      </w:r>
      <w:r w:rsidR="009A7A21" w:rsidRPr="00CD3F7A">
        <w:rPr>
          <w:rFonts w:ascii="Times New Roman" w:hAnsi="Times New Roman" w:cs="Times New Roman"/>
          <w:sz w:val="24"/>
          <w:szCs w:val="24"/>
        </w:rPr>
        <w:t xml:space="preserve">2000 </w:t>
      </w:r>
      <w:r w:rsidR="00637FD5" w:rsidRPr="00CD3F7A">
        <w:rPr>
          <w:rFonts w:ascii="Times New Roman" w:hAnsi="Times New Roman" w:cs="Times New Roman"/>
          <w:sz w:val="24"/>
          <w:szCs w:val="24"/>
        </w:rPr>
        <w:t xml:space="preserve">e </w:t>
      </w:r>
      <w:r w:rsidR="009A7A21" w:rsidRPr="00CD3F7A">
        <w:rPr>
          <w:rFonts w:ascii="Times New Roman" w:hAnsi="Times New Roman" w:cs="Times New Roman"/>
          <w:sz w:val="24"/>
          <w:szCs w:val="24"/>
        </w:rPr>
        <w:t>2017.</w:t>
      </w:r>
      <w:r w:rsidR="00845125" w:rsidRPr="00CD3F7A">
        <w:rPr>
          <w:rFonts w:ascii="Times New Roman" w:hAnsi="Times New Roman" w:cs="Times New Roman"/>
          <w:sz w:val="24"/>
          <w:szCs w:val="24"/>
        </w:rPr>
        <w:t xml:space="preserve"> </w:t>
      </w:r>
      <w:r w:rsidR="00BF76EE" w:rsidRPr="00CD3F7A">
        <w:rPr>
          <w:rFonts w:ascii="Times New Roman" w:hAnsi="Times New Roman" w:cs="Times New Roman"/>
          <w:sz w:val="24"/>
          <w:szCs w:val="24"/>
        </w:rPr>
        <w:t>Dessa forma, m</w:t>
      </w:r>
      <w:r w:rsidR="00845125" w:rsidRPr="00CD3F7A">
        <w:rPr>
          <w:rFonts w:ascii="Times New Roman" w:hAnsi="Times New Roman" w:cs="Times New Roman"/>
          <w:sz w:val="24"/>
          <w:szCs w:val="24"/>
        </w:rPr>
        <w:t>icrorregiões como Ijuí, Campanha Meridional e Santa</w:t>
      </w:r>
      <w:r w:rsidR="00522C15" w:rsidRPr="00CD3F7A">
        <w:rPr>
          <w:rFonts w:ascii="Times New Roman" w:hAnsi="Times New Roman" w:cs="Times New Roman"/>
          <w:sz w:val="24"/>
          <w:szCs w:val="24"/>
        </w:rPr>
        <w:t xml:space="preserve"> Maria</w:t>
      </w:r>
      <w:r w:rsidR="00845125" w:rsidRPr="00CD3F7A">
        <w:rPr>
          <w:rFonts w:ascii="Times New Roman" w:hAnsi="Times New Roman" w:cs="Times New Roman"/>
          <w:sz w:val="24"/>
          <w:szCs w:val="24"/>
        </w:rPr>
        <w:t>, que pertenciam ao terceiro quartil da distribuição em 2000 cederam lugar a Frederico Westphalen e a Restinga Seca em 2017.</w:t>
      </w:r>
    </w:p>
    <w:p w14:paraId="13304959" w14:textId="77777777" w:rsidR="00077384" w:rsidRDefault="00077384" w:rsidP="00C967F6">
      <w:pPr>
        <w:spacing w:after="0"/>
        <w:rPr>
          <w:rFonts w:ascii="Times New Roman" w:hAnsi="Times New Roman" w:cs="Times New Roman"/>
          <w:b/>
        </w:rPr>
      </w:pPr>
    </w:p>
    <w:p w14:paraId="159A5D61" w14:textId="4DC1FDFA" w:rsidR="00C967F6" w:rsidRPr="00D3502F" w:rsidRDefault="00C967F6" w:rsidP="00C967F6">
      <w:pPr>
        <w:spacing w:after="0"/>
        <w:rPr>
          <w:rFonts w:ascii="Times New Roman" w:hAnsi="Times New Roman" w:cs="Times New Roman"/>
        </w:rPr>
      </w:pPr>
      <w:r w:rsidRPr="00A37E4D">
        <w:rPr>
          <w:rFonts w:ascii="Times New Roman" w:hAnsi="Times New Roman" w:cs="Times New Roman"/>
          <w:b/>
        </w:rPr>
        <w:t xml:space="preserve">Figura </w:t>
      </w:r>
      <w:r w:rsidR="00A37E4D" w:rsidRPr="00A37E4D">
        <w:rPr>
          <w:rFonts w:ascii="Times New Roman" w:hAnsi="Times New Roman" w:cs="Times New Roman"/>
          <w:b/>
        </w:rPr>
        <w:t>4</w:t>
      </w:r>
      <w:r w:rsidRPr="00D3502F">
        <w:rPr>
          <w:rFonts w:ascii="Times New Roman" w:hAnsi="Times New Roman" w:cs="Times New Roman"/>
        </w:rPr>
        <w:t xml:space="preserve">. </w:t>
      </w:r>
      <w:r w:rsidR="00A37E4D">
        <w:rPr>
          <w:rFonts w:ascii="Times New Roman" w:hAnsi="Times New Roman" w:cs="Times New Roman"/>
        </w:rPr>
        <w:t xml:space="preserve"> </w:t>
      </w:r>
      <w:r w:rsidR="00522C15">
        <w:rPr>
          <w:rFonts w:ascii="Times New Roman" w:hAnsi="Times New Roman" w:cs="Times New Roman"/>
        </w:rPr>
        <w:t>Quarti</w:t>
      </w:r>
      <w:r w:rsidR="00557771">
        <w:rPr>
          <w:rFonts w:ascii="Times New Roman" w:hAnsi="Times New Roman" w:cs="Times New Roman"/>
        </w:rPr>
        <w:t>s (1º, 2º, 3º e 4º) da p</w:t>
      </w:r>
      <w:r w:rsidRPr="00D3502F">
        <w:rPr>
          <w:rFonts w:ascii="Times New Roman" w:hAnsi="Times New Roman" w:cs="Times New Roman"/>
        </w:rPr>
        <w:t>roporção de empregados formais com ensino superior</w:t>
      </w:r>
    </w:p>
    <w:tbl>
      <w:tblPr>
        <w:tblStyle w:val="Tabelacomgrade"/>
        <w:tblW w:w="0" w:type="auto"/>
        <w:tblLook w:val="04A0" w:firstRow="1" w:lastRow="0" w:firstColumn="1" w:lastColumn="0" w:noHBand="0" w:noVBand="1"/>
      </w:tblPr>
      <w:tblGrid>
        <w:gridCol w:w="4560"/>
        <w:gridCol w:w="4501"/>
      </w:tblGrid>
      <w:tr w:rsidR="00C967F6" w:rsidRPr="00D3502F" w14:paraId="66CB6CB6" w14:textId="77777777" w:rsidTr="5E6BAA55">
        <w:tc>
          <w:tcPr>
            <w:tcW w:w="4560" w:type="dxa"/>
            <w:tcBorders>
              <w:top w:val="single" w:sz="4" w:space="0" w:color="auto"/>
              <w:left w:val="single" w:sz="4" w:space="0" w:color="auto"/>
              <w:bottom w:val="single" w:sz="4" w:space="0" w:color="auto"/>
              <w:right w:val="single" w:sz="4" w:space="0" w:color="auto"/>
            </w:tcBorders>
            <w:hideMark/>
          </w:tcPr>
          <w:p w14:paraId="5DFD02DE" w14:textId="77777777" w:rsidR="00C967F6" w:rsidRPr="00D3502F" w:rsidRDefault="00C967F6" w:rsidP="007E1A28">
            <w:pPr>
              <w:pStyle w:val="PargrafodaLista"/>
              <w:numPr>
                <w:ilvl w:val="0"/>
                <w:numId w:val="13"/>
              </w:numPr>
              <w:jc w:val="center"/>
              <w:rPr>
                <w:rFonts w:ascii="Times New Roman" w:hAnsi="Times New Roman" w:cs="Times New Roman"/>
              </w:rPr>
            </w:pPr>
            <w:r w:rsidRPr="00D3502F">
              <w:rPr>
                <w:rFonts w:ascii="Times New Roman" w:hAnsi="Times New Roman" w:cs="Times New Roman"/>
              </w:rPr>
              <w:t>2000</w:t>
            </w:r>
          </w:p>
        </w:tc>
        <w:tc>
          <w:tcPr>
            <w:tcW w:w="4501" w:type="dxa"/>
            <w:tcBorders>
              <w:top w:val="single" w:sz="4" w:space="0" w:color="auto"/>
              <w:left w:val="single" w:sz="4" w:space="0" w:color="auto"/>
              <w:bottom w:val="single" w:sz="4" w:space="0" w:color="auto"/>
              <w:right w:val="single" w:sz="4" w:space="0" w:color="auto"/>
            </w:tcBorders>
            <w:hideMark/>
          </w:tcPr>
          <w:p w14:paraId="4E63D411" w14:textId="77777777" w:rsidR="00C967F6" w:rsidRPr="00D3502F" w:rsidRDefault="00C967F6" w:rsidP="007E1A28">
            <w:pPr>
              <w:pStyle w:val="PargrafodaLista"/>
              <w:numPr>
                <w:ilvl w:val="0"/>
                <w:numId w:val="13"/>
              </w:numPr>
              <w:jc w:val="center"/>
              <w:rPr>
                <w:rFonts w:ascii="Times New Roman" w:hAnsi="Times New Roman" w:cs="Times New Roman"/>
              </w:rPr>
            </w:pPr>
            <w:r w:rsidRPr="00D3502F">
              <w:rPr>
                <w:rFonts w:ascii="Times New Roman" w:hAnsi="Times New Roman" w:cs="Times New Roman"/>
              </w:rPr>
              <w:t>2017</w:t>
            </w:r>
          </w:p>
        </w:tc>
      </w:tr>
      <w:tr w:rsidR="00C967F6" w:rsidRPr="00D3502F" w14:paraId="4B00B4FA" w14:textId="77777777" w:rsidTr="5E6BAA55">
        <w:trPr>
          <w:trHeight w:val="3546"/>
        </w:trPr>
        <w:tc>
          <w:tcPr>
            <w:tcW w:w="4560" w:type="dxa"/>
            <w:tcBorders>
              <w:top w:val="single" w:sz="4" w:space="0" w:color="auto"/>
              <w:left w:val="single" w:sz="4" w:space="0" w:color="auto"/>
              <w:bottom w:val="single" w:sz="4" w:space="0" w:color="auto"/>
              <w:right w:val="single" w:sz="4" w:space="0" w:color="auto"/>
            </w:tcBorders>
            <w:hideMark/>
          </w:tcPr>
          <w:p w14:paraId="25166879" w14:textId="6225349A" w:rsidR="00C967F6" w:rsidRPr="00D3502F" w:rsidRDefault="00C967F6">
            <w:pPr>
              <w:rPr>
                <w:rFonts w:ascii="Times New Roman" w:hAnsi="Times New Roman" w:cs="Times New Roman"/>
              </w:rPr>
            </w:pPr>
            <w:r w:rsidRPr="00D3502F">
              <w:rPr>
                <w:rFonts w:ascii="Times New Roman" w:hAnsi="Times New Roman" w:cs="Times New Roman"/>
                <w:noProof/>
                <w:lang w:eastAsia="pt-BR"/>
              </w:rPr>
              <w:drawing>
                <wp:inline distT="0" distB="0" distL="0" distR="0" wp14:anchorId="12AD3D87" wp14:editId="6618D80C">
                  <wp:extent cx="2790825" cy="22098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90825" cy="2209800"/>
                          </a:xfrm>
                          <a:prstGeom prst="rect">
                            <a:avLst/>
                          </a:prstGeom>
                          <a:noFill/>
                          <a:ln>
                            <a:noFill/>
                          </a:ln>
                        </pic:spPr>
                      </pic:pic>
                    </a:graphicData>
                  </a:graphic>
                </wp:inline>
              </w:drawing>
            </w:r>
          </w:p>
        </w:tc>
        <w:tc>
          <w:tcPr>
            <w:tcW w:w="4501" w:type="dxa"/>
            <w:tcBorders>
              <w:top w:val="single" w:sz="4" w:space="0" w:color="auto"/>
              <w:left w:val="single" w:sz="4" w:space="0" w:color="auto"/>
              <w:bottom w:val="single" w:sz="4" w:space="0" w:color="auto"/>
              <w:right w:val="single" w:sz="4" w:space="0" w:color="auto"/>
            </w:tcBorders>
            <w:hideMark/>
          </w:tcPr>
          <w:p w14:paraId="67B2A214" w14:textId="7EE9A4D9" w:rsidR="00C967F6" w:rsidRPr="00D3502F" w:rsidRDefault="00C967F6">
            <w:pPr>
              <w:rPr>
                <w:rFonts w:ascii="Times New Roman" w:hAnsi="Times New Roman" w:cs="Times New Roman"/>
              </w:rPr>
            </w:pPr>
            <w:r w:rsidRPr="00D3502F">
              <w:rPr>
                <w:rFonts w:ascii="Times New Roman" w:hAnsi="Times New Roman" w:cs="Times New Roman"/>
                <w:noProof/>
                <w:lang w:eastAsia="pt-BR"/>
              </w:rPr>
              <w:drawing>
                <wp:inline distT="0" distB="0" distL="0" distR="0" wp14:anchorId="1B1E1F50" wp14:editId="7AB4A34C">
                  <wp:extent cx="2752725" cy="21812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52725" cy="2181225"/>
                          </a:xfrm>
                          <a:prstGeom prst="rect">
                            <a:avLst/>
                          </a:prstGeom>
                          <a:noFill/>
                          <a:ln>
                            <a:noFill/>
                          </a:ln>
                        </pic:spPr>
                      </pic:pic>
                    </a:graphicData>
                  </a:graphic>
                </wp:inline>
              </w:drawing>
            </w:r>
          </w:p>
        </w:tc>
      </w:tr>
    </w:tbl>
    <w:p w14:paraId="5D67CCE4" w14:textId="646C556F" w:rsidR="5E6BAA55" w:rsidRDefault="5E6BAA55"/>
    <w:p w14:paraId="767A7B47" w14:textId="5E68A466" w:rsidR="00566ED8" w:rsidRPr="00D3502F" w:rsidRDefault="00566ED8" w:rsidP="00566ED8">
      <w:pPr>
        <w:spacing w:after="0"/>
        <w:rPr>
          <w:rFonts w:ascii="Times New Roman" w:hAnsi="Times New Roman" w:cs="Times New Roman"/>
        </w:rPr>
      </w:pPr>
      <w:r w:rsidRPr="00D3502F">
        <w:rPr>
          <w:rFonts w:ascii="Times New Roman" w:hAnsi="Times New Roman" w:cs="Times New Roman"/>
          <w:b/>
        </w:rPr>
        <w:lastRenderedPageBreak/>
        <w:t>Fonte</w:t>
      </w:r>
      <w:r w:rsidRPr="00D3502F">
        <w:rPr>
          <w:rFonts w:ascii="Times New Roman" w:hAnsi="Times New Roman" w:cs="Times New Roman"/>
        </w:rPr>
        <w:t>: Elaborado pelos autore</w:t>
      </w:r>
      <w:r w:rsidR="00066687" w:rsidRPr="00D3502F">
        <w:rPr>
          <w:rFonts w:ascii="Times New Roman" w:hAnsi="Times New Roman" w:cs="Times New Roman"/>
        </w:rPr>
        <w:t>s com base nos dados da RAIS-MTE</w:t>
      </w:r>
    </w:p>
    <w:p w14:paraId="752BC13F" w14:textId="77777777" w:rsidR="00C967F6" w:rsidRDefault="00C967F6" w:rsidP="00C967F6">
      <w:pPr>
        <w:rPr>
          <w:rFonts w:ascii="Times New Roman" w:hAnsi="Times New Roman" w:cs="Times New Roman"/>
        </w:rPr>
      </w:pPr>
    </w:p>
    <w:p w14:paraId="4C4E5E09" w14:textId="25B5AD25" w:rsidR="005728F1" w:rsidRDefault="00F57D80" w:rsidP="00695F2A">
      <w:pPr>
        <w:spacing w:after="0" w:line="240" w:lineRule="auto"/>
        <w:ind w:firstLine="709"/>
        <w:jc w:val="both"/>
        <w:rPr>
          <w:rFonts w:ascii="Times New Roman" w:hAnsi="Times New Roman" w:cs="Times New Roman"/>
          <w:sz w:val="24"/>
          <w:szCs w:val="24"/>
        </w:rPr>
      </w:pPr>
      <w:r w:rsidRPr="00560F9D">
        <w:rPr>
          <w:rFonts w:ascii="Times New Roman" w:hAnsi="Times New Roman" w:cs="Times New Roman"/>
          <w:sz w:val="24"/>
          <w:szCs w:val="24"/>
        </w:rPr>
        <w:t xml:space="preserve">A redução da proporção dos postos de trabalhos ocupados por </w:t>
      </w:r>
      <w:r w:rsidR="007E1A28" w:rsidRPr="00560F9D">
        <w:rPr>
          <w:rFonts w:ascii="Times New Roman" w:hAnsi="Times New Roman" w:cs="Times New Roman"/>
          <w:sz w:val="24"/>
          <w:szCs w:val="24"/>
        </w:rPr>
        <w:t>indivíduos</w:t>
      </w:r>
      <w:r w:rsidRPr="00560F9D">
        <w:rPr>
          <w:rFonts w:ascii="Times New Roman" w:hAnsi="Times New Roman" w:cs="Times New Roman"/>
          <w:sz w:val="24"/>
          <w:szCs w:val="24"/>
        </w:rPr>
        <w:t xml:space="preserve"> que não possuíam educação formal foi mais acentuada nas microrregiões de Sananduva (</w:t>
      </w:r>
      <w:r w:rsidR="007E1A28" w:rsidRPr="00560F9D">
        <w:rPr>
          <w:rFonts w:ascii="Times New Roman" w:hAnsi="Times New Roman" w:cs="Times New Roman"/>
          <w:sz w:val="24"/>
          <w:szCs w:val="24"/>
        </w:rPr>
        <w:t>-12,9% a.a.), Ca</w:t>
      </w:r>
      <w:r w:rsidRPr="00560F9D">
        <w:rPr>
          <w:rFonts w:ascii="Times New Roman" w:hAnsi="Times New Roman" w:cs="Times New Roman"/>
          <w:sz w:val="24"/>
          <w:szCs w:val="24"/>
        </w:rPr>
        <w:t>c</w:t>
      </w:r>
      <w:r w:rsidR="007E1A28" w:rsidRPr="00560F9D">
        <w:rPr>
          <w:rFonts w:ascii="Times New Roman" w:hAnsi="Times New Roman" w:cs="Times New Roman"/>
          <w:sz w:val="24"/>
          <w:szCs w:val="24"/>
        </w:rPr>
        <w:t>ho</w:t>
      </w:r>
      <w:r w:rsidRPr="00560F9D">
        <w:rPr>
          <w:rFonts w:ascii="Times New Roman" w:hAnsi="Times New Roman" w:cs="Times New Roman"/>
          <w:sz w:val="24"/>
          <w:szCs w:val="24"/>
        </w:rPr>
        <w:t>eira do Sul</w:t>
      </w:r>
      <w:r w:rsidR="007E1A28" w:rsidRPr="00560F9D">
        <w:rPr>
          <w:rFonts w:ascii="Times New Roman" w:hAnsi="Times New Roman" w:cs="Times New Roman"/>
          <w:sz w:val="24"/>
          <w:szCs w:val="24"/>
        </w:rPr>
        <w:t xml:space="preserve"> (-11,8% a.a.)</w:t>
      </w:r>
      <w:r w:rsidRPr="00560F9D">
        <w:rPr>
          <w:rFonts w:ascii="Times New Roman" w:hAnsi="Times New Roman" w:cs="Times New Roman"/>
          <w:sz w:val="24"/>
          <w:szCs w:val="24"/>
        </w:rPr>
        <w:t>, Ijuí</w:t>
      </w:r>
      <w:r w:rsidR="007E1A28" w:rsidRPr="00560F9D">
        <w:rPr>
          <w:rFonts w:ascii="Times New Roman" w:hAnsi="Times New Roman" w:cs="Times New Roman"/>
          <w:sz w:val="24"/>
          <w:szCs w:val="24"/>
        </w:rPr>
        <w:t xml:space="preserve"> (-11,8% a.a.)</w:t>
      </w:r>
      <w:r w:rsidRPr="00560F9D">
        <w:rPr>
          <w:rFonts w:ascii="Times New Roman" w:hAnsi="Times New Roman" w:cs="Times New Roman"/>
          <w:sz w:val="24"/>
          <w:szCs w:val="24"/>
        </w:rPr>
        <w:t>, Litoral Lagunar (</w:t>
      </w:r>
      <w:r w:rsidR="007E1A28" w:rsidRPr="00560F9D">
        <w:rPr>
          <w:rFonts w:ascii="Times New Roman" w:hAnsi="Times New Roman" w:cs="Times New Roman"/>
          <w:sz w:val="24"/>
          <w:szCs w:val="24"/>
        </w:rPr>
        <w:t xml:space="preserve"> -11% a.a.</w:t>
      </w:r>
      <w:r w:rsidRPr="00560F9D">
        <w:rPr>
          <w:rFonts w:ascii="Times New Roman" w:hAnsi="Times New Roman" w:cs="Times New Roman"/>
          <w:sz w:val="24"/>
          <w:szCs w:val="24"/>
        </w:rPr>
        <w:t>), Não-me-toque</w:t>
      </w:r>
      <w:r w:rsidR="007E1A28" w:rsidRPr="00560F9D">
        <w:rPr>
          <w:rFonts w:ascii="Times New Roman" w:hAnsi="Times New Roman" w:cs="Times New Roman"/>
          <w:sz w:val="24"/>
          <w:szCs w:val="24"/>
        </w:rPr>
        <w:t xml:space="preserve"> (-10,8% a.a.)</w:t>
      </w:r>
      <w:r w:rsidRPr="00560F9D">
        <w:rPr>
          <w:rFonts w:ascii="Times New Roman" w:hAnsi="Times New Roman" w:cs="Times New Roman"/>
          <w:sz w:val="24"/>
          <w:szCs w:val="24"/>
        </w:rPr>
        <w:t xml:space="preserve"> e Frederico Westphalen (</w:t>
      </w:r>
      <w:r w:rsidR="007E1A28" w:rsidRPr="00560F9D">
        <w:rPr>
          <w:rFonts w:ascii="Times New Roman" w:hAnsi="Times New Roman" w:cs="Times New Roman"/>
          <w:sz w:val="24"/>
          <w:szCs w:val="24"/>
        </w:rPr>
        <w:t>-10,7% a.a.</w:t>
      </w:r>
      <w:r w:rsidRPr="00560F9D">
        <w:rPr>
          <w:rFonts w:ascii="Times New Roman" w:hAnsi="Times New Roman" w:cs="Times New Roman"/>
          <w:sz w:val="24"/>
          <w:szCs w:val="24"/>
        </w:rPr>
        <w:t>)</w:t>
      </w:r>
      <w:r w:rsidR="00560F9D">
        <w:rPr>
          <w:rFonts w:ascii="Times New Roman" w:hAnsi="Times New Roman" w:cs="Times New Roman"/>
          <w:sz w:val="24"/>
          <w:szCs w:val="24"/>
        </w:rPr>
        <w:t xml:space="preserve"> (Figura 5)</w:t>
      </w:r>
      <w:r w:rsidRPr="00560F9D">
        <w:rPr>
          <w:rFonts w:ascii="Times New Roman" w:hAnsi="Times New Roman" w:cs="Times New Roman"/>
          <w:sz w:val="24"/>
          <w:szCs w:val="24"/>
        </w:rPr>
        <w:t>.</w:t>
      </w:r>
      <w:r w:rsidR="00560F9D">
        <w:rPr>
          <w:rFonts w:ascii="Times New Roman" w:hAnsi="Times New Roman" w:cs="Times New Roman"/>
          <w:sz w:val="24"/>
          <w:szCs w:val="24"/>
        </w:rPr>
        <w:t xml:space="preserve"> </w:t>
      </w:r>
    </w:p>
    <w:p w14:paraId="45C01C6A" w14:textId="77777777" w:rsidR="00AA6B7D" w:rsidRDefault="00AA6B7D" w:rsidP="00C967F6">
      <w:pPr>
        <w:spacing w:after="0"/>
        <w:rPr>
          <w:rFonts w:ascii="Times New Roman" w:hAnsi="Times New Roman" w:cs="Times New Roman"/>
          <w:b/>
        </w:rPr>
      </w:pPr>
    </w:p>
    <w:p w14:paraId="2AA17357" w14:textId="7DEFA858" w:rsidR="00C967F6" w:rsidRPr="00D3502F" w:rsidRDefault="00C967F6" w:rsidP="00C967F6">
      <w:pPr>
        <w:spacing w:after="0"/>
        <w:rPr>
          <w:rFonts w:ascii="Times New Roman" w:hAnsi="Times New Roman" w:cs="Times New Roman"/>
        </w:rPr>
      </w:pPr>
      <w:r w:rsidRPr="00077384">
        <w:rPr>
          <w:rFonts w:ascii="Times New Roman" w:hAnsi="Times New Roman" w:cs="Times New Roman"/>
          <w:b/>
        </w:rPr>
        <w:t xml:space="preserve">Figura </w:t>
      </w:r>
      <w:r w:rsidR="00606E97">
        <w:rPr>
          <w:rFonts w:ascii="Times New Roman" w:hAnsi="Times New Roman" w:cs="Times New Roman"/>
          <w:b/>
        </w:rPr>
        <w:t>5</w:t>
      </w:r>
      <w:r w:rsidRPr="00077384">
        <w:rPr>
          <w:rFonts w:ascii="Times New Roman" w:hAnsi="Times New Roman" w:cs="Times New Roman"/>
          <w:b/>
        </w:rPr>
        <w:t>.</w:t>
      </w:r>
      <w:r w:rsidRPr="00D3502F">
        <w:rPr>
          <w:rFonts w:ascii="Times New Roman" w:hAnsi="Times New Roman" w:cs="Times New Roman"/>
        </w:rPr>
        <w:t xml:space="preserve"> Taxa de crescimento </w:t>
      </w:r>
      <w:r w:rsidR="007737A4">
        <w:rPr>
          <w:rFonts w:ascii="Times New Roman" w:hAnsi="Times New Roman" w:cs="Times New Roman"/>
        </w:rPr>
        <w:t>da proporção dos postos de trabalho ocupados por indivíduos sem educação formal (a) e por indivíduos com ensino superior (b)</w:t>
      </w:r>
    </w:p>
    <w:tbl>
      <w:tblPr>
        <w:tblStyle w:val="Tabelacomgrade"/>
        <w:tblW w:w="0" w:type="auto"/>
        <w:jc w:val="center"/>
        <w:tblLook w:val="04A0" w:firstRow="1" w:lastRow="0" w:firstColumn="1" w:lastColumn="0" w:noHBand="0" w:noVBand="1"/>
      </w:tblPr>
      <w:tblGrid>
        <w:gridCol w:w="4501"/>
        <w:gridCol w:w="4560"/>
      </w:tblGrid>
      <w:tr w:rsidR="00C967F6" w:rsidRPr="00D3502F" w14:paraId="566CF571" w14:textId="77777777" w:rsidTr="005F7234">
        <w:trPr>
          <w:jc w:val="center"/>
        </w:trPr>
        <w:tc>
          <w:tcPr>
            <w:tcW w:w="4530" w:type="dxa"/>
            <w:tcBorders>
              <w:top w:val="single" w:sz="4" w:space="0" w:color="auto"/>
              <w:left w:val="single" w:sz="4" w:space="0" w:color="auto"/>
              <w:bottom w:val="single" w:sz="4" w:space="0" w:color="auto"/>
              <w:right w:val="single" w:sz="4" w:space="0" w:color="auto"/>
            </w:tcBorders>
            <w:hideMark/>
          </w:tcPr>
          <w:p w14:paraId="0ED2A85A" w14:textId="77777777" w:rsidR="00C967F6" w:rsidRPr="00D3502F" w:rsidRDefault="00C967F6" w:rsidP="00C967F6">
            <w:pPr>
              <w:pStyle w:val="PargrafodaLista"/>
              <w:numPr>
                <w:ilvl w:val="0"/>
                <w:numId w:val="15"/>
              </w:numPr>
              <w:rPr>
                <w:rFonts w:ascii="Times New Roman" w:hAnsi="Times New Roman" w:cs="Times New Roman"/>
              </w:rPr>
            </w:pPr>
            <w:r w:rsidRPr="00D3502F">
              <w:rPr>
                <w:rFonts w:ascii="Times New Roman" w:hAnsi="Times New Roman" w:cs="Times New Roman"/>
              </w:rPr>
              <w:t>Sem escolaridade</w:t>
            </w:r>
          </w:p>
        </w:tc>
        <w:tc>
          <w:tcPr>
            <w:tcW w:w="4531" w:type="dxa"/>
            <w:tcBorders>
              <w:top w:val="single" w:sz="4" w:space="0" w:color="auto"/>
              <w:left w:val="single" w:sz="4" w:space="0" w:color="auto"/>
              <w:bottom w:val="single" w:sz="4" w:space="0" w:color="auto"/>
              <w:right w:val="single" w:sz="4" w:space="0" w:color="auto"/>
            </w:tcBorders>
            <w:hideMark/>
          </w:tcPr>
          <w:p w14:paraId="42912CB5" w14:textId="77777777" w:rsidR="00C967F6" w:rsidRPr="00D3502F" w:rsidRDefault="00C967F6" w:rsidP="00C967F6">
            <w:pPr>
              <w:pStyle w:val="PargrafodaLista"/>
              <w:numPr>
                <w:ilvl w:val="0"/>
                <w:numId w:val="15"/>
              </w:numPr>
              <w:rPr>
                <w:rFonts w:ascii="Times New Roman" w:hAnsi="Times New Roman" w:cs="Times New Roman"/>
              </w:rPr>
            </w:pPr>
            <w:r w:rsidRPr="00D3502F">
              <w:rPr>
                <w:rFonts w:ascii="Times New Roman" w:hAnsi="Times New Roman" w:cs="Times New Roman"/>
              </w:rPr>
              <w:t>Com ensino superior</w:t>
            </w:r>
          </w:p>
        </w:tc>
      </w:tr>
      <w:tr w:rsidR="00C967F6" w:rsidRPr="00D3502F" w14:paraId="2BDC272A" w14:textId="77777777" w:rsidTr="005F7234">
        <w:trPr>
          <w:trHeight w:val="3538"/>
          <w:jc w:val="center"/>
        </w:trPr>
        <w:tc>
          <w:tcPr>
            <w:tcW w:w="4530" w:type="dxa"/>
            <w:tcBorders>
              <w:top w:val="single" w:sz="4" w:space="0" w:color="auto"/>
              <w:left w:val="single" w:sz="4" w:space="0" w:color="auto"/>
              <w:bottom w:val="single" w:sz="4" w:space="0" w:color="auto"/>
              <w:right w:val="single" w:sz="4" w:space="0" w:color="auto"/>
            </w:tcBorders>
            <w:hideMark/>
          </w:tcPr>
          <w:p w14:paraId="2D10DA27" w14:textId="13247C91" w:rsidR="00C967F6" w:rsidRPr="00D3502F" w:rsidRDefault="00C967F6">
            <w:pPr>
              <w:rPr>
                <w:rFonts w:ascii="Times New Roman" w:hAnsi="Times New Roman" w:cs="Times New Roman"/>
              </w:rPr>
            </w:pPr>
            <w:r w:rsidRPr="00D3502F">
              <w:rPr>
                <w:rFonts w:ascii="Times New Roman" w:hAnsi="Times New Roman" w:cs="Times New Roman"/>
                <w:noProof/>
                <w:lang w:eastAsia="pt-BR"/>
              </w:rPr>
              <w:drawing>
                <wp:inline distT="0" distB="0" distL="0" distR="0" wp14:anchorId="6DA40D89" wp14:editId="65268E0D">
                  <wp:extent cx="2724150" cy="21526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24150" cy="2152650"/>
                          </a:xfrm>
                          <a:prstGeom prst="rect">
                            <a:avLst/>
                          </a:prstGeom>
                          <a:noFill/>
                          <a:ln>
                            <a:noFill/>
                          </a:ln>
                        </pic:spPr>
                      </pic:pic>
                    </a:graphicData>
                  </a:graphic>
                </wp:inline>
              </w:drawing>
            </w:r>
          </w:p>
        </w:tc>
        <w:tc>
          <w:tcPr>
            <w:tcW w:w="4531" w:type="dxa"/>
            <w:tcBorders>
              <w:top w:val="single" w:sz="4" w:space="0" w:color="auto"/>
              <w:left w:val="single" w:sz="4" w:space="0" w:color="auto"/>
              <w:bottom w:val="single" w:sz="4" w:space="0" w:color="auto"/>
              <w:right w:val="single" w:sz="4" w:space="0" w:color="auto"/>
            </w:tcBorders>
            <w:hideMark/>
          </w:tcPr>
          <w:p w14:paraId="7A8DC56F" w14:textId="4988CAD2" w:rsidR="00C967F6" w:rsidRPr="00D3502F" w:rsidRDefault="00C967F6">
            <w:pPr>
              <w:rPr>
                <w:rFonts w:ascii="Times New Roman" w:hAnsi="Times New Roman" w:cs="Times New Roman"/>
              </w:rPr>
            </w:pPr>
            <w:r w:rsidRPr="00D3502F">
              <w:rPr>
                <w:rFonts w:ascii="Times New Roman" w:hAnsi="Times New Roman" w:cs="Times New Roman"/>
                <w:noProof/>
                <w:lang w:eastAsia="pt-BR"/>
              </w:rPr>
              <w:drawing>
                <wp:inline distT="0" distB="0" distL="0" distR="0" wp14:anchorId="49A839EE" wp14:editId="20C1E55C">
                  <wp:extent cx="2752725" cy="21526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52725" cy="2152650"/>
                          </a:xfrm>
                          <a:prstGeom prst="rect">
                            <a:avLst/>
                          </a:prstGeom>
                          <a:noFill/>
                          <a:ln>
                            <a:noFill/>
                          </a:ln>
                        </pic:spPr>
                      </pic:pic>
                    </a:graphicData>
                  </a:graphic>
                </wp:inline>
              </w:drawing>
            </w:r>
          </w:p>
        </w:tc>
      </w:tr>
    </w:tbl>
    <w:p w14:paraId="1AE24B96" w14:textId="5FC43472" w:rsidR="00566ED8" w:rsidRDefault="00566ED8" w:rsidP="00566ED8">
      <w:pPr>
        <w:spacing w:after="0"/>
        <w:rPr>
          <w:rFonts w:ascii="Times New Roman" w:hAnsi="Times New Roman" w:cs="Times New Roman"/>
        </w:rPr>
      </w:pPr>
      <w:r>
        <w:rPr>
          <w:rFonts w:ascii="Times New Roman" w:hAnsi="Times New Roman" w:cs="Times New Roman"/>
          <w:b/>
        </w:rPr>
        <w:t>Fonte</w:t>
      </w:r>
      <w:r>
        <w:rPr>
          <w:rFonts w:ascii="Times New Roman" w:hAnsi="Times New Roman" w:cs="Times New Roman"/>
        </w:rPr>
        <w:t>: Elaborado pelos autore</w:t>
      </w:r>
      <w:r w:rsidR="00066687">
        <w:rPr>
          <w:rFonts w:ascii="Times New Roman" w:hAnsi="Times New Roman" w:cs="Times New Roman"/>
        </w:rPr>
        <w:t>s com base nos dados da RAIS-MTE</w:t>
      </w:r>
    </w:p>
    <w:p w14:paraId="4AC7225D" w14:textId="77777777" w:rsidR="00C967F6" w:rsidRDefault="00C967F6" w:rsidP="00C967F6"/>
    <w:p w14:paraId="3325A4D4" w14:textId="796CFC0B" w:rsidR="00AA6B7D" w:rsidRDefault="00AA6B7D" w:rsidP="00695F2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 microrregião de Sananduva (7% a.a.) também obteve uma das maiores taxas de crescimento da proporção dos postos de trabalho ocupados por indivíduos com ensino superior</w:t>
      </w:r>
      <w:r w:rsidR="00696894">
        <w:rPr>
          <w:rFonts w:ascii="Times New Roman" w:hAnsi="Times New Roman" w:cs="Times New Roman"/>
          <w:sz w:val="24"/>
          <w:szCs w:val="24"/>
        </w:rPr>
        <w:t>,</w:t>
      </w:r>
      <w:r>
        <w:rPr>
          <w:rFonts w:ascii="Times New Roman" w:hAnsi="Times New Roman" w:cs="Times New Roman"/>
          <w:sz w:val="24"/>
          <w:szCs w:val="24"/>
        </w:rPr>
        <w:t xml:space="preserve"> juntamente com Gramado-Canela (7,3% a.a.), Montenegro (7,3% a.a.), Soledade (6,7% a.a.) e Guaporé (6,2% a.a.).</w:t>
      </w:r>
    </w:p>
    <w:p w14:paraId="760EDC48" w14:textId="77777777" w:rsidR="00AA6B7D" w:rsidRDefault="00AA6B7D" w:rsidP="00695F2A">
      <w:pPr>
        <w:spacing w:after="0" w:line="240" w:lineRule="auto"/>
      </w:pPr>
    </w:p>
    <w:p w14:paraId="374B0D0D" w14:textId="6AA16C5C" w:rsidR="00AB6A82" w:rsidRDefault="00702C53" w:rsidP="00695F2A">
      <w:pPr>
        <w:spacing w:after="0" w:line="240" w:lineRule="auto"/>
        <w:rPr>
          <w:rFonts w:ascii="Times New Roman" w:hAnsi="Times New Roman" w:cs="Times New Roman"/>
          <w:sz w:val="24"/>
          <w:szCs w:val="24"/>
        </w:rPr>
      </w:pPr>
      <w:r>
        <w:rPr>
          <w:rFonts w:ascii="Times New Roman" w:hAnsi="Times New Roman" w:cs="Times New Roman"/>
          <w:b/>
          <w:sz w:val="24"/>
          <w:szCs w:val="24"/>
        </w:rPr>
        <w:t>4.2 Mínimos Quadrados O</w:t>
      </w:r>
      <w:r w:rsidR="00AB6A82" w:rsidRPr="00AB6A82">
        <w:rPr>
          <w:rFonts w:ascii="Times New Roman" w:hAnsi="Times New Roman" w:cs="Times New Roman"/>
          <w:b/>
          <w:sz w:val="24"/>
          <w:szCs w:val="24"/>
        </w:rPr>
        <w:t>rdinários</w:t>
      </w:r>
      <w:r w:rsidR="00E16BDC">
        <w:rPr>
          <w:rFonts w:ascii="Times New Roman" w:hAnsi="Times New Roman" w:cs="Times New Roman"/>
          <w:sz w:val="24"/>
          <w:szCs w:val="24"/>
        </w:rPr>
        <w:t xml:space="preserve"> </w:t>
      </w:r>
    </w:p>
    <w:p w14:paraId="4CB19E14" w14:textId="77777777" w:rsidR="007538A8" w:rsidRDefault="007538A8" w:rsidP="00695F2A">
      <w:pPr>
        <w:spacing w:after="0" w:line="240" w:lineRule="auto"/>
        <w:ind w:firstLine="709"/>
        <w:jc w:val="both"/>
        <w:rPr>
          <w:rFonts w:ascii="Times New Roman" w:hAnsi="Times New Roman" w:cs="Times New Roman"/>
          <w:sz w:val="24"/>
          <w:szCs w:val="24"/>
        </w:rPr>
      </w:pPr>
    </w:p>
    <w:p w14:paraId="2C0DA088" w14:textId="22D7EFC5" w:rsidR="00ED1C30" w:rsidRDefault="00E16BDC" w:rsidP="00695F2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Para avaliar o efeito das varáveis independentes no diferencial de salários do mercado de trabalho</w:t>
      </w:r>
      <w:r w:rsidR="00702C53">
        <w:rPr>
          <w:rFonts w:ascii="Times New Roman" w:hAnsi="Times New Roman" w:cs="Times New Roman"/>
          <w:sz w:val="24"/>
          <w:szCs w:val="24"/>
        </w:rPr>
        <w:t xml:space="preserve"> formal</w:t>
      </w:r>
      <w:r>
        <w:rPr>
          <w:rFonts w:ascii="Times New Roman" w:hAnsi="Times New Roman" w:cs="Times New Roman"/>
          <w:sz w:val="24"/>
          <w:szCs w:val="24"/>
        </w:rPr>
        <w:t xml:space="preserve"> do Rio Grande do Sul </w:t>
      </w:r>
      <w:r w:rsidR="008F1E27">
        <w:rPr>
          <w:rFonts w:ascii="Times New Roman" w:hAnsi="Times New Roman" w:cs="Times New Roman"/>
          <w:sz w:val="24"/>
          <w:szCs w:val="24"/>
        </w:rPr>
        <w:t xml:space="preserve">foram realizadas oito regressões </w:t>
      </w:r>
      <w:r w:rsidR="00702C53">
        <w:rPr>
          <w:rFonts w:ascii="Times New Roman" w:hAnsi="Times New Roman" w:cs="Times New Roman"/>
          <w:sz w:val="24"/>
          <w:szCs w:val="24"/>
        </w:rPr>
        <w:t>utilizando o método de Mínimos Quadrados Ordinários (MQO)</w:t>
      </w:r>
      <w:r w:rsidR="008F1E27">
        <w:rPr>
          <w:rFonts w:ascii="Times New Roman" w:hAnsi="Times New Roman" w:cs="Times New Roman"/>
          <w:sz w:val="24"/>
          <w:szCs w:val="24"/>
        </w:rPr>
        <w:t xml:space="preserve"> (Quadro 1).</w:t>
      </w:r>
      <w:r w:rsidR="00D353A4">
        <w:rPr>
          <w:rFonts w:ascii="Times New Roman" w:hAnsi="Times New Roman" w:cs="Times New Roman"/>
          <w:sz w:val="24"/>
          <w:szCs w:val="24"/>
        </w:rPr>
        <w:t xml:space="preserve"> O primeiro ajuste, foi um modelo de dados empilhados elaborado com todos os microdados disponíveis para o período 2000-2017 (67 376 640 observações).  As sete regressões seguintes foram efetuadas utilizando </w:t>
      </w:r>
      <w:r w:rsidR="00CB318E">
        <w:rPr>
          <w:rFonts w:ascii="Times New Roman" w:hAnsi="Times New Roman" w:cs="Times New Roman"/>
          <w:sz w:val="24"/>
          <w:szCs w:val="24"/>
        </w:rPr>
        <w:t xml:space="preserve">dados </w:t>
      </w:r>
      <w:proofErr w:type="spellStart"/>
      <w:r w:rsidR="00CB318E" w:rsidRPr="00CB318E">
        <w:rPr>
          <w:rFonts w:ascii="Times New Roman" w:hAnsi="Times New Roman" w:cs="Times New Roman"/>
          <w:i/>
          <w:sz w:val="24"/>
          <w:szCs w:val="24"/>
        </w:rPr>
        <w:t>cross-section</w:t>
      </w:r>
      <w:proofErr w:type="spellEnd"/>
      <w:r w:rsidR="00D353A4">
        <w:rPr>
          <w:rFonts w:ascii="Times New Roman" w:hAnsi="Times New Roman" w:cs="Times New Roman"/>
          <w:sz w:val="24"/>
          <w:szCs w:val="24"/>
        </w:rPr>
        <w:t xml:space="preserve"> </w:t>
      </w:r>
      <w:r w:rsidR="00CB318E">
        <w:rPr>
          <w:rFonts w:ascii="Times New Roman" w:hAnsi="Times New Roman" w:cs="Times New Roman"/>
          <w:sz w:val="24"/>
          <w:szCs w:val="24"/>
        </w:rPr>
        <w:t xml:space="preserve">de </w:t>
      </w:r>
      <w:r w:rsidR="00D353A4">
        <w:rPr>
          <w:rFonts w:ascii="Times New Roman" w:hAnsi="Times New Roman" w:cs="Times New Roman"/>
          <w:sz w:val="24"/>
          <w:szCs w:val="24"/>
        </w:rPr>
        <w:t xml:space="preserve">anos selecionados com o intuito de avaliar a evolução </w:t>
      </w:r>
      <w:r w:rsidR="003F04A6">
        <w:rPr>
          <w:rFonts w:ascii="Times New Roman" w:hAnsi="Times New Roman" w:cs="Times New Roman"/>
          <w:sz w:val="24"/>
          <w:szCs w:val="24"/>
        </w:rPr>
        <w:t xml:space="preserve">dos coeficientes. </w:t>
      </w:r>
      <w:r w:rsidR="00ED1C30">
        <w:rPr>
          <w:rFonts w:ascii="Times New Roman" w:hAnsi="Times New Roman" w:cs="Times New Roman"/>
          <w:sz w:val="24"/>
          <w:szCs w:val="24"/>
        </w:rPr>
        <w:t xml:space="preserve"> Todas as regressões foram estatisticamente significantes com base no Teste F (p&lt;=0,05).</w:t>
      </w:r>
    </w:p>
    <w:p w14:paraId="149A8C6E" w14:textId="77777777" w:rsidR="0004689C" w:rsidRDefault="00835193" w:rsidP="00695F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2E2E36">
        <w:rPr>
          <w:rFonts w:ascii="Times New Roman" w:hAnsi="Times New Roman" w:cs="Times New Roman"/>
          <w:sz w:val="24"/>
          <w:szCs w:val="24"/>
        </w:rPr>
        <w:t xml:space="preserve">Os resultados do modelo de dados empilhados mostram </w:t>
      </w:r>
      <w:r w:rsidR="007A1877">
        <w:rPr>
          <w:rFonts w:ascii="Times New Roman" w:hAnsi="Times New Roman" w:cs="Times New Roman"/>
          <w:sz w:val="24"/>
          <w:szCs w:val="24"/>
        </w:rPr>
        <w:t>efeitos positivos da</w:t>
      </w:r>
      <w:r w:rsidR="00321A27">
        <w:rPr>
          <w:rFonts w:ascii="Times New Roman" w:hAnsi="Times New Roman" w:cs="Times New Roman"/>
          <w:sz w:val="24"/>
          <w:szCs w:val="24"/>
        </w:rPr>
        <w:t xml:space="preserve"> variável</w:t>
      </w:r>
      <w:r w:rsidR="007A1877">
        <w:rPr>
          <w:rFonts w:ascii="Times New Roman" w:hAnsi="Times New Roman" w:cs="Times New Roman"/>
          <w:sz w:val="24"/>
          <w:szCs w:val="24"/>
        </w:rPr>
        <w:t xml:space="preserve"> idade no logaritmo do salário, </w:t>
      </w:r>
      <w:r w:rsidR="005C3694">
        <w:rPr>
          <w:rFonts w:ascii="Times New Roman" w:hAnsi="Times New Roman" w:cs="Times New Roman"/>
          <w:sz w:val="24"/>
          <w:szCs w:val="24"/>
        </w:rPr>
        <w:t xml:space="preserve">elevado </w:t>
      </w:r>
      <w:r w:rsidR="007A1877">
        <w:rPr>
          <w:rFonts w:ascii="Times New Roman" w:hAnsi="Times New Roman" w:cs="Times New Roman"/>
          <w:sz w:val="24"/>
          <w:szCs w:val="24"/>
        </w:rPr>
        <w:t>diferencial negativo de remuneração para mulheres em comparação aos homens e</w:t>
      </w:r>
      <w:r w:rsidR="00C06EFF">
        <w:rPr>
          <w:rFonts w:ascii="Times New Roman" w:hAnsi="Times New Roman" w:cs="Times New Roman"/>
          <w:sz w:val="24"/>
          <w:szCs w:val="24"/>
        </w:rPr>
        <w:t xml:space="preserve"> diferencial</w:t>
      </w:r>
      <w:r w:rsidR="007A1877">
        <w:rPr>
          <w:rFonts w:ascii="Times New Roman" w:hAnsi="Times New Roman" w:cs="Times New Roman"/>
          <w:sz w:val="24"/>
          <w:szCs w:val="24"/>
        </w:rPr>
        <w:t xml:space="preserve"> positivo </w:t>
      </w:r>
      <w:r w:rsidR="00C06EFF">
        <w:rPr>
          <w:rFonts w:ascii="Times New Roman" w:hAnsi="Times New Roman" w:cs="Times New Roman"/>
          <w:sz w:val="24"/>
          <w:szCs w:val="24"/>
        </w:rPr>
        <w:t>para</w:t>
      </w:r>
      <w:r w:rsidR="007A1877">
        <w:rPr>
          <w:rFonts w:ascii="Times New Roman" w:hAnsi="Times New Roman" w:cs="Times New Roman"/>
          <w:sz w:val="24"/>
          <w:szCs w:val="24"/>
        </w:rPr>
        <w:t xml:space="preserve"> indivíduos brancos em relação a outras categorias de cor/raça.</w:t>
      </w:r>
      <w:r w:rsidR="00321A27">
        <w:rPr>
          <w:rFonts w:ascii="Times New Roman" w:hAnsi="Times New Roman" w:cs="Times New Roman"/>
          <w:sz w:val="24"/>
          <w:szCs w:val="24"/>
        </w:rPr>
        <w:t xml:space="preserve"> </w:t>
      </w:r>
      <w:r w:rsidR="00555D3F">
        <w:rPr>
          <w:rFonts w:ascii="Times New Roman" w:hAnsi="Times New Roman" w:cs="Times New Roman"/>
          <w:sz w:val="24"/>
          <w:szCs w:val="24"/>
        </w:rPr>
        <w:t xml:space="preserve">Cada ano de idade </w:t>
      </w:r>
      <w:r w:rsidR="0096198C">
        <w:rPr>
          <w:rFonts w:ascii="Times New Roman" w:hAnsi="Times New Roman" w:cs="Times New Roman"/>
          <w:sz w:val="24"/>
          <w:szCs w:val="24"/>
        </w:rPr>
        <w:t xml:space="preserve">adicional </w:t>
      </w:r>
      <w:r w:rsidR="006D003F">
        <w:rPr>
          <w:rFonts w:ascii="Times New Roman" w:hAnsi="Times New Roman" w:cs="Times New Roman"/>
          <w:sz w:val="24"/>
          <w:szCs w:val="24"/>
        </w:rPr>
        <w:t>gera</w:t>
      </w:r>
      <w:r w:rsidR="00555D3F">
        <w:rPr>
          <w:rFonts w:ascii="Times New Roman" w:hAnsi="Times New Roman" w:cs="Times New Roman"/>
          <w:sz w:val="24"/>
          <w:szCs w:val="24"/>
        </w:rPr>
        <w:t xml:space="preserve"> em média um incremento de 4,4% no salário do indivíduo ocupado no merc</w:t>
      </w:r>
      <w:r w:rsidR="002517D4">
        <w:rPr>
          <w:rFonts w:ascii="Times New Roman" w:hAnsi="Times New Roman" w:cs="Times New Roman"/>
          <w:sz w:val="24"/>
          <w:szCs w:val="24"/>
        </w:rPr>
        <w:t xml:space="preserve">ado de trabalho formal gaúcho. Mantido tudo o mais constante, o salário pago </w:t>
      </w:r>
      <w:r w:rsidR="006D003F">
        <w:rPr>
          <w:rFonts w:ascii="Times New Roman" w:hAnsi="Times New Roman" w:cs="Times New Roman"/>
          <w:sz w:val="24"/>
          <w:szCs w:val="24"/>
        </w:rPr>
        <w:t>as mulheres</w:t>
      </w:r>
      <w:r w:rsidR="002517D4">
        <w:rPr>
          <w:rFonts w:ascii="Times New Roman" w:hAnsi="Times New Roman" w:cs="Times New Roman"/>
          <w:sz w:val="24"/>
          <w:szCs w:val="24"/>
        </w:rPr>
        <w:t xml:space="preserve"> tende a ser 31,9% inferior ao valor pago </w:t>
      </w:r>
      <w:r w:rsidR="005C3694">
        <w:rPr>
          <w:rFonts w:ascii="Times New Roman" w:hAnsi="Times New Roman" w:cs="Times New Roman"/>
          <w:sz w:val="24"/>
          <w:szCs w:val="24"/>
        </w:rPr>
        <w:t xml:space="preserve">aos homens e, por fim, indivíduos </w:t>
      </w:r>
      <w:r w:rsidR="000F5C05">
        <w:rPr>
          <w:rFonts w:ascii="Times New Roman" w:hAnsi="Times New Roman" w:cs="Times New Roman"/>
          <w:sz w:val="24"/>
          <w:szCs w:val="24"/>
        </w:rPr>
        <w:t>brancos recebem, em média, um</w:t>
      </w:r>
      <w:r w:rsidR="005C3694">
        <w:rPr>
          <w:rFonts w:ascii="Times New Roman" w:hAnsi="Times New Roman" w:cs="Times New Roman"/>
          <w:sz w:val="24"/>
          <w:szCs w:val="24"/>
        </w:rPr>
        <w:t xml:space="preserve"> salário 2% maior do que indivíduos não brancos.</w:t>
      </w:r>
      <w:r w:rsidR="0004689C">
        <w:rPr>
          <w:rFonts w:ascii="Times New Roman" w:hAnsi="Times New Roman" w:cs="Times New Roman"/>
          <w:sz w:val="24"/>
          <w:szCs w:val="24"/>
        </w:rPr>
        <w:t xml:space="preserve"> </w:t>
      </w:r>
    </w:p>
    <w:p w14:paraId="5A7015E6" w14:textId="77777777" w:rsidR="00695F2A" w:rsidRDefault="00695F2A" w:rsidP="00695F2A">
      <w:pPr>
        <w:spacing w:after="0" w:line="240" w:lineRule="auto"/>
        <w:jc w:val="both"/>
        <w:rPr>
          <w:rFonts w:ascii="Times New Roman" w:hAnsi="Times New Roman" w:cs="Times New Roman"/>
          <w:sz w:val="24"/>
          <w:szCs w:val="24"/>
        </w:rPr>
      </w:pPr>
    </w:p>
    <w:p w14:paraId="425DD790" w14:textId="77777777" w:rsidR="00C967F6" w:rsidRDefault="00C967F6" w:rsidP="00C967F6">
      <w:pPr>
        <w:rPr>
          <w:rFonts w:ascii="Times New Roman" w:hAnsi="Times New Roman" w:cs="Times New Roman"/>
        </w:rPr>
      </w:pPr>
      <w:r>
        <w:rPr>
          <w:rFonts w:ascii="Times New Roman" w:hAnsi="Times New Roman" w:cs="Times New Roman"/>
          <w:b/>
        </w:rPr>
        <w:lastRenderedPageBreak/>
        <w:t>Quadro 1.</w:t>
      </w:r>
      <w:r>
        <w:rPr>
          <w:rFonts w:ascii="Times New Roman" w:hAnsi="Times New Roman" w:cs="Times New Roman"/>
        </w:rPr>
        <w:t xml:space="preserve"> Determinantes socioeconômicos dos diferenciais de rendimento no mercado de trabalho formal do Rio Grande do Sul </w:t>
      </w:r>
    </w:p>
    <w:tbl>
      <w:tblPr>
        <w:tblW w:w="0" w:type="auto"/>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857"/>
        <w:gridCol w:w="1007"/>
        <w:gridCol w:w="840"/>
        <w:gridCol w:w="840"/>
        <w:gridCol w:w="840"/>
        <w:gridCol w:w="840"/>
        <w:gridCol w:w="840"/>
        <w:gridCol w:w="840"/>
        <w:gridCol w:w="840"/>
      </w:tblGrid>
      <w:tr w:rsidR="00C967F6" w14:paraId="35CB72BC" w14:textId="77777777" w:rsidTr="00C967F6">
        <w:trPr>
          <w:trHeight w:val="300"/>
        </w:trPr>
        <w:tc>
          <w:tcPr>
            <w:tcW w:w="0" w:type="auto"/>
            <w:tcBorders>
              <w:top w:val="single" w:sz="4" w:space="0" w:color="auto"/>
              <w:left w:val="single" w:sz="4" w:space="0" w:color="auto"/>
              <w:bottom w:val="nil"/>
              <w:right w:val="nil"/>
            </w:tcBorders>
            <w:noWrap/>
            <w:vAlign w:val="bottom"/>
            <w:hideMark/>
          </w:tcPr>
          <w:p w14:paraId="25238170" w14:textId="77777777" w:rsidR="00C967F6" w:rsidRDefault="00C967F6">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Modelo</w:t>
            </w:r>
          </w:p>
        </w:tc>
        <w:tc>
          <w:tcPr>
            <w:tcW w:w="0" w:type="auto"/>
            <w:tcBorders>
              <w:top w:val="single" w:sz="4" w:space="0" w:color="auto"/>
              <w:left w:val="nil"/>
              <w:bottom w:val="nil"/>
              <w:right w:val="nil"/>
            </w:tcBorders>
            <w:noWrap/>
            <w:vAlign w:val="bottom"/>
            <w:hideMark/>
          </w:tcPr>
          <w:p w14:paraId="5E295C29"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2000-2017</w:t>
            </w:r>
          </w:p>
        </w:tc>
        <w:tc>
          <w:tcPr>
            <w:tcW w:w="0" w:type="auto"/>
            <w:tcBorders>
              <w:top w:val="single" w:sz="4" w:space="0" w:color="auto"/>
              <w:left w:val="nil"/>
              <w:bottom w:val="nil"/>
              <w:right w:val="nil"/>
            </w:tcBorders>
            <w:noWrap/>
            <w:vAlign w:val="bottom"/>
            <w:hideMark/>
          </w:tcPr>
          <w:p w14:paraId="73C16CC1"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2000</w:t>
            </w:r>
          </w:p>
        </w:tc>
        <w:tc>
          <w:tcPr>
            <w:tcW w:w="0" w:type="auto"/>
            <w:tcBorders>
              <w:top w:val="single" w:sz="4" w:space="0" w:color="auto"/>
              <w:left w:val="nil"/>
              <w:bottom w:val="nil"/>
              <w:right w:val="nil"/>
            </w:tcBorders>
            <w:noWrap/>
            <w:vAlign w:val="bottom"/>
            <w:hideMark/>
          </w:tcPr>
          <w:p w14:paraId="5E761C7A"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2003</w:t>
            </w:r>
          </w:p>
        </w:tc>
        <w:tc>
          <w:tcPr>
            <w:tcW w:w="0" w:type="auto"/>
            <w:tcBorders>
              <w:top w:val="single" w:sz="4" w:space="0" w:color="auto"/>
              <w:left w:val="nil"/>
              <w:bottom w:val="nil"/>
              <w:right w:val="nil"/>
            </w:tcBorders>
            <w:noWrap/>
            <w:vAlign w:val="bottom"/>
            <w:hideMark/>
          </w:tcPr>
          <w:p w14:paraId="742F519A"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2006</w:t>
            </w:r>
          </w:p>
        </w:tc>
        <w:tc>
          <w:tcPr>
            <w:tcW w:w="0" w:type="auto"/>
            <w:tcBorders>
              <w:top w:val="single" w:sz="4" w:space="0" w:color="auto"/>
              <w:left w:val="nil"/>
              <w:bottom w:val="nil"/>
              <w:right w:val="nil"/>
            </w:tcBorders>
            <w:noWrap/>
            <w:vAlign w:val="bottom"/>
            <w:hideMark/>
          </w:tcPr>
          <w:p w14:paraId="565A869E"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2009</w:t>
            </w:r>
          </w:p>
        </w:tc>
        <w:tc>
          <w:tcPr>
            <w:tcW w:w="0" w:type="auto"/>
            <w:tcBorders>
              <w:top w:val="single" w:sz="4" w:space="0" w:color="auto"/>
              <w:left w:val="nil"/>
              <w:bottom w:val="nil"/>
              <w:right w:val="nil"/>
            </w:tcBorders>
            <w:noWrap/>
            <w:vAlign w:val="bottom"/>
            <w:hideMark/>
          </w:tcPr>
          <w:p w14:paraId="69EB3709"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2012</w:t>
            </w:r>
          </w:p>
        </w:tc>
        <w:tc>
          <w:tcPr>
            <w:tcW w:w="0" w:type="auto"/>
            <w:tcBorders>
              <w:top w:val="single" w:sz="4" w:space="0" w:color="auto"/>
              <w:left w:val="nil"/>
              <w:bottom w:val="nil"/>
              <w:right w:val="nil"/>
            </w:tcBorders>
            <w:noWrap/>
            <w:vAlign w:val="bottom"/>
            <w:hideMark/>
          </w:tcPr>
          <w:p w14:paraId="7FAB33BA"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2015</w:t>
            </w:r>
          </w:p>
        </w:tc>
        <w:tc>
          <w:tcPr>
            <w:tcW w:w="0" w:type="auto"/>
            <w:tcBorders>
              <w:top w:val="single" w:sz="4" w:space="0" w:color="auto"/>
              <w:left w:val="nil"/>
              <w:bottom w:val="nil"/>
              <w:right w:val="single" w:sz="4" w:space="0" w:color="auto"/>
            </w:tcBorders>
            <w:noWrap/>
            <w:vAlign w:val="bottom"/>
            <w:hideMark/>
          </w:tcPr>
          <w:p w14:paraId="65EC5024"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2017</w:t>
            </w:r>
          </w:p>
        </w:tc>
      </w:tr>
      <w:tr w:rsidR="00C967F6" w14:paraId="3BBE2E11" w14:textId="77777777" w:rsidTr="00C967F6">
        <w:trPr>
          <w:trHeight w:val="300"/>
        </w:trPr>
        <w:tc>
          <w:tcPr>
            <w:tcW w:w="0" w:type="auto"/>
            <w:tcBorders>
              <w:top w:val="nil"/>
              <w:left w:val="single" w:sz="4" w:space="0" w:color="auto"/>
              <w:bottom w:val="nil"/>
              <w:right w:val="nil"/>
            </w:tcBorders>
            <w:noWrap/>
            <w:vAlign w:val="bottom"/>
            <w:hideMark/>
          </w:tcPr>
          <w:p w14:paraId="58FD6139"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N</w:t>
            </w:r>
          </w:p>
        </w:tc>
        <w:tc>
          <w:tcPr>
            <w:tcW w:w="0" w:type="auto"/>
            <w:tcBorders>
              <w:top w:val="nil"/>
              <w:left w:val="nil"/>
              <w:bottom w:val="nil"/>
              <w:right w:val="nil"/>
            </w:tcBorders>
            <w:noWrap/>
            <w:vAlign w:val="bottom"/>
            <w:hideMark/>
          </w:tcPr>
          <w:p w14:paraId="0B87BA2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67376640</w:t>
            </w:r>
          </w:p>
        </w:tc>
        <w:tc>
          <w:tcPr>
            <w:tcW w:w="0" w:type="auto"/>
            <w:tcBorders>
              <w:top w:val="nil"/>
              <w:left w:val="nil"/>
              <w:bottom w:val="nil"/>
              <w:right w:val="nil"/>
            </w:tcBorders>
            <w:noWrap/>
            <w:vAlign w:val="bottom"/>
            <w:hideMark/>
          </w:tcPr>
          <w:p w14:paraId="70FC1F1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2699183</w:t>
            </w:r>
          </w:p>
        </w:tc>
        <w:tc>
          <w:tcPr>
            <w:tcW w:w="0" w:type="auto"/>
            <w:tcBorders>
              <w:top w:val="nil"/>
              <w:left w:val="nil"/>
              <w:bottom w:val="nil"/>
              <w:right w:val="nil"/>
            </w:tcBorders>
            <w:noWrap/>
            <w:vAlign w:val="bottom"/>
            <w:hideMark/>
          </w:tcPr>
          <w:p w14:paraId="13426BF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2982702</w:t>
            </w:r>
          </w:p>
        </w:tc>
        <w:tc>
          <w:tcPr>
            <w:tcW w:w="0" w:type="auto"/>
            <w:tcBorders>
              <w:top w:val="nil"/>
              <w:left w:val="nil"/>
              <w:bottom w:val="nil"/>
              <w:right w:val="nil"/>
            </w:tcBorders>
            <w:noWrap/>
            <w:vAlign w:val="bottom"/>
            <w:hideMark/>
          </w:tcPr>
          <w:p w14:paraId="763385E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3294975</w:t>
            </w:r>
          </w:p>
        </w:tc>
        <w:tc>
          <w:tcPr>
            <w:tcW w:w="0" w:type="auto"/>
            <w:tcBorders>
              <w:top w:val="nil"/>
              <w:left w:val="nil"/>
              <w:bottom w:val="nil"/>
              <w:right w:val="nil"/>
            </w:tcBorders>
            <w:noWrap/>
            <w:vAlign w:val="bottom"/>
            <w:hideMark/>
          </w:tcPr>
          <w:p w14:paraId="31A556E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3788331</w:t>
            </w:r>
          </w:p>
        </w:tc>
        <w:tc>
          <w:tcPr>
            <w:tcW w:w="0" w:type="auto"/>
            <w:tcBorders>
              <w:top w:val="nil"/>
              <w:left w:val="nil"/>
              <w:bottom w:val="nil"/>
              <w:right w:val="nil"/>
            </w:tcBorders>
            <w:noWrap/>
            <w:vAlign w:val="bottom"/>
            <w:hideMark/>
          </w:tcPr>
          <w:p w14:paraId="2F0376D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4588475</w:t>
            </w:r>
          </w:p>
        </w:tc>
        <w:tc>
          <w:tcPr>
            <w:tcW w:w="0" w:type="auto"/>
            <w:tcBorders>
              <w:top w:val="nil"/>
              <w:left w:val="nil"/>
              <w:bottom w:val="nil"/>
              <w:right w:val="nil"/>
            </w:tcBorders>
            <w:noWrap/>
            <w:vAlign w:val="bottom"/>
            <w:hideMark/>
          </w:tcPr>
          <w:p w14:paraId="32F211C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4406755</w:t>
            </w:r>
          </w:p>
        </w:tc>
        <w:tc>
          <w:tcPr>
            <w:tcW w:w="0" w:type="auto"/>
            <w:tcBorders>
              <w:top w:val="nil"/>
              <w:left w:val="nil"/>
              <w:bottom w:val="nil"/>
              <w:right w:val="single" w:sz="4" w:space="0" w:color="auto"/>
            </w:tcBorders>
            <w:noWrap/>
            <w:vAlign w:val="bottom"/>
            <w:hideMark/>
          </w:tcPr>
          <w:p w14:paraId="0BA1080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4035655</w:t>
            </w:r>
          </w:p>
        </w:tc>
      </w:tr>
      <w:tr w:rsidR="00C967F6" w14:paraId="21F45E3D" w14:textId="77777777" w:rsidTr="00C967F6">
        <w:trPr>
          <w:trHeight w:val="300"/>
        </w:trPr>
        <w:tc>
          <w:tcPr>
            <w:tcW w:w="0" w:type="auto"/>
            <w:tcBorders>
              <w:top w:val="nil"/>
              <w:left w:val="single" w:sz="4" w:space="0" w:color="auto"/>
              <w:bottom w:val="single" w:sz="4" w:space="0" w:color="auto"/>
              <w:right w:val="nil"/>
            </w:tcBorders>
            <w:noWrap/>
            <w:vAlign w:val="bottom"/>
            <w:hideMark/>
          </w:tcPr>
          <w:p w14:paraId="09FA1221"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R^2</w:t>
            </w:r>
          </w:p>
        </w:tc>
        <w:tc>
          <w:tcPr>
            <w:tcW w:w="0" w:type="auto"/>
            <w:tcBorders>
              <w:top w:val="nil"/>
              <w:left w:val="nil"/>
              <w:bottom w:val="single" w:sz="4" w:space="0" w:color="auto"/>
              <w:right w:val="nil"/>
            </w:tcBorders>
            <w:noWrap/>
            <w:vAlign w:val="bottom"/>
            <w:hideMark/>
          </w:tcPr>
          <w:p w14:paraId="5996283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0,45</w:t>
            </w:r>
          </w:p>
        </w:tc>
        <w:tc>
          <w:tcPr>
            <w:tcW w:w="0" w:type="auto"/>
            <w:tcBorders>
              <w:top w:val="nil"/>
              <w:left w:val="nil"/>
              <w:bottom w:val="single" w:sz="4" w:space="0" w:color="auto"/>
              <w:right w:val="nil"/>
            </w:tcBorders>
            <w:noWrap/>
            <w:vAlign w:val="bottom"/>
            <w:hideMark/>
          </w:tcPr>
          <w:p w14:paraId="7090E67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0,42</w:t>
            </w:r>
          </w:p>
        </w:tc>
        <w:tc>
          <w:tcPr>
            <w:tcW w:w="0" w:type="auto"/>
            <w:tcBorders>
              <w:top w:val="nil"/>
              <w:left w:val="nil"/>
              <w:bottom w:val="single" w:sz="4" w:space="0" w:color="auto"/>
              <w:right w:val="nil"/>
            </w:tcBorders>
            <w:noWrap/>
            <w:vAlign w:val="bottom"/>
            <w:hideMark/>
          </w:tcPr>
          <w:p w14:paraId="01E58CE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0,45</w:t>
            </w:r>
          </w:p>
        </w:tc>
        <w:tc>
          <w:tcPr>
            <w:tcW w:w="0" w:type="auto"/>
            <w:tcBorders>
              <w:top w:val="nil"/>
              <w:left w:val="nil"/>
              <w:bottom w:val="single" w:sz="4" w:space="0" w:color="auto"/>
              <w:right w:val="nil"/>
            </w:tcBorders>
            <w:noWrap/>
            <w:vAlign w:val="bottom"/>
            <w:hideMark/>
          </w:tcPr>
          <w:p w14:paraId="5E5BBD4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0,43</w:t>
            </w:r>
          </w:p>
        </w:tc>
        <w:tc>
          <w:tcPr>
            <w:tcW w:w="0" w:type="auto"/>
            <w:tcBorders>
              <w:top w:val="nil"/>
              <w:left w:val="nil"/>
              <w:bottom w:val="single" w:sz="4" w:space="0" w:color="auto"/>
              <w:right w:val="nil"/>
            </w:tcBorders>
            <w:noWrap/>
            <w:vAlign w:val="bottom"/>
            <w:hideMark/>
          </w:tcPr>
          <w:p w14:paraId="0078551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0,43</w:t>
            </w:r>
          </w:p>
        </w:tc>
        <w:tc>
          <w:tcPr>
            <w:tcW w:w="0" w:type="auto"/>
            <w:tcBorders>
              <w:top w:val="nil"/>
              <w:left w:val="nil"/>
              <w:bottom w:val="single" w:sz="4" w:space="0" w:color="auto"/>
              <w:right w:val="nil"/>
            </w:tcBorders>
            <w:noWrap/>
            <w:vAlign w:val="bottom"/>
            <w:hideMark/>
          </w:tcPr>
          <w:p w14:paraId="2364074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0,42</w:t>
            </w:r>
          </w:p>
        </w:tc>
        <w:tc>
          <w:tcPr>
            <w:tcW w:w="0" w:type="auto"/>
            <w:tcBorders>
              <w:top w:val="nil"/>
              <w:left w:val="nil"/>
              <w:bottom w:val="single" w:sz="4" w:space="0" w:color="auto"/>
              <w:right w:val="nil"/>
            </w:tcBorders>
            <w:noWrap/>
            <w:vAlign w:val="bottom"/>
            <w:hideMark/>
          </w:tcPr>
          <w:p w14:paraId="4F77042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0,44</w:t>
            </w:r>
          </w:p>
        </w:tc>
        <w:tc>
          <w:tcPr>
            <w:tcW w:w="0" w:type="auto"/>
            <w:tcBorders>
              <w:top w:val="nil"/>
              <w:left w:val="nil"/>
              <w:bottom w:val="single" w:sz="4" w:space="0" w:color="auto"/>
              <w:right w:val="single" w:sz="4" w:space="0" w:color="auto"/>
            </w:tcBorders>
            <w:noWrap/>
            <w:vAlign w:val="bottom"/>
            <w:hideMark/>
          </w:tcPr>
          <w:p w14:paraId="23E84D9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0,44</w:t>
            </w:r>
          </w:p>
        </w:tc>
      </w:tr>
      <w:tr w:rsidR="00C967F6" w14:paraId="2F153F1A" w14:textId="77777777" w:rsidTr="00C967F6">
        <w:trPr>
          <w:trHeight w:val="300"/>
        </w:trPr>
        <w:tc>
          <w:tcPr>
            <w:tcW w:w="0" w:type="auto"/>
            <w:tcBorders>
              <w:top w:val="single" w:sz="4" w:space="0" w:color="auto"/>
              <w:left w:val="single" w:sz="4" w:space="0" w:color="auto"/>
              <w:bottom w:val="nil"/>
              <w:right w:val="nil"/>
            </w:tcBorders>
            <w:noWrap/>
            <w:vAlign w:val="bottom"/>
            <w:hideMark/>
          </w:tcPr>
          <w:p w14:paraId="36D0043B" w14:textId="77777777" w:rsidR="00C967F6" w:rsidRDefault="00C967F6">
            <w:pPr>
              <w:spacing w:after="0" w:line="240" w:lineRule="auto"/>
              <w:rPr>
                <w:rFonts w:ascii="Times New Roman" w:eastAsia="Times New Roman" w:hAnsi="Times New Roman" w:cs="Times New Roman"/>
                <w:b/>
                <w:color w:val="000000"/>
                <w:sz w:val="20"/>
                <w:szCs w:val="20"/>
                <w:lang w:eastAsia="pt-BR"/>
              </w:rPr>
            </w:pPr>
            <w:r>
              <w:rPr>
                <w:rFonts w:ascii="Times New Roman" w:eastAsia="Times New Roman" w:hAnsi="Times New Roman" w:cs="Times New Roman"/>
                <w:b/>
                <w:color w:val="000000"/>
                <w:sz w:val="20"/>
                <w:szCs w:val="20"/>
                <w:lang w:eastAsia="pt-BR"/>
              </w:rPr>
              <w:t>Variáveis</w:t>
            </w:r>
          </w:p>
        </w:tc>
        <w:tc>
          <w:tcPr>
            <w:tcW w:w="0" w:type="auto"/>
            <w:tcBorders>
              <w:top w:val="single" w:sz="4" w:space="0" w:color="auto"/>
              <w:left w:val="nil"/>
              <w:bottom w:val="nil"/>
              <w:right w:val="nil"/>
            </w:tcBorders>
            <w:noWrap/>
            <w:vAlign w:val="bottom"/>
            <w:hideMark/>
          </w:tcPr>
          <w:p w14:paraId="653F1C81" w14:textId="77777777" w:rsidR="00C967F6" w:rsidRDefault="00C967F6">
            <w:pPr>
              <w:rPr>
                <w:rFonts w:ascii="Times New Roman" w:eastAsia="Times New Roman" w:hAnsi="Times New Roman" w:cs="Times New Roman"/>
                <w:b/>
                <w:color w:val="000000"/>
                <w:sz w:val="20"/>
                <w:szCs w:val="20"/>
                <w:lang w:eastAsia="pt-BR"/>
              </w:rPr>
            </w:pPr>
          </w:p>
        </w:tc>
        <w:tc>
          <w:tcPr>
            <w:tcW w:w="0" w:type="auto"/>
            <w:tcBorders>
              <w:top w:val="single" w:sz="4" w:space="0" w:color="auto"/>
              <w:left w:val="nil"/>
              <w:bottom w:val="nil"/>
              <w:right w:val="nil"/>
            </w:tcBorders>
            <w:noWrap/>
            <w:vAlign w:val="bottom"/>
            <w:hideMark/>
          </w:tcPr>
          <w:p w14:paraId="41356F3C" w14:textId="77777777" w:rsidR="00C967F6" w:rsidRDefault="00C967F6">
            <w:pPr>
              <w:spacing w:after="0"/>
              <w:rPr>
                <w:sz w:val="20"/>
                <w:szCs w:val="20"/>
                <w:lang w:eastAsia="pt-BR"/>
              </w:rPr>
            </w:pPr>
          </w:p>
        </w:tc>
        <w:tc>
          <w:tcPr>
            <w:tcW w:w="0" w:type="auto"/>
            <w:tcBorders>
              <w:top w:val="single" w:sz="4" w:space="0" w:color="auto"/>
              <w:left w:val="nil"/>
              <w:bottom w:val="nil"/>
              <w:right w:val="nil"/>
            </w:tcBorders>
            <w:noWrap/>
            <w:vAlign w:val="bottom"/>
            <w:hideMark/>
          </w:tcPr>
          <w:p w14:paraId="39F919A1" w14:textId="77777777" w:rsidR="00C967F6" w:rsidRDefault="00C967F6">
            <w:pPr>
              <w:spacing w:after="0"/>
              <w:rPr>
                <w:sz w:val="20"/>
                <w:szCs w:val="20"/>
                <w:lang w:eastAsia="pt-BR"/>
              </w:rPr>
            </w:pPr>
          </w:p>
        </w:tc>
        <w:tc>
          <w:tcPr>
            <w:tcW w:w="0" w:type="auto"/>
            <w:tcBorders>
              <w:top w:val="single" w:sz="4" w:space="0" w:color="auto"/>
              <w:left w:val="nil"/>
              <w:bottom w:val="nil"/>
              <w:right w:val="nil"/>
            </w:tcBorders>
            <w:noWrap/>
            <w:vAlign w:val="bottom"/>
            <w:hideMark/>
          </w:tcPr>
          <w:p w14:paraId="2458FE3F" w14:textId="77777777" w:rsidR="00C967F6" w:rsidRDefault="00C967F6">
            <w:pPr>
              <w:spacing w:after="0"/>
              <w:rPr>
                <w:sz w:val="20"/>
                <w:szCs w:val="20"/>
                <w:lang w:eastAsia="pt-BR"/>
              </w:rPr>
            </w:pPr>
          </w:p>
        </w:tc>
        <w:tc>
          <w:tcPr>
            <w:tcW w:w="0" w:type="auto"/>
            <w:tcBorders>
              <w:top w:val="single" w:sz="4" w:space="0" w:color="auto"/>
              <w:left w:val="nil"/>
              <w:bottom w:val="nil"/>
              <w:right w:val="nil"/>
            </w:tcBorders>
            <w:noWrap/>
            <w:vAlign w:val="bottom"/>
            <w:hideMark/>
          </w:tcPr>
          <w:p w14:paraId="051E78AD" w14:textId="77777777" w:rsidR="00C967F6" w:rsidRDefault="00C967F6">
            <w:pPr>
              <w:spacing w:after="0"/>
              <w:rPr>
                <w:sz w:val="20"/>
                <w:szCs w:val="20"/>
                <w:lang w:eastAsia="pt-BR"/>
              </w:rPr>
            </w:pPr>
          </w:p>
        </w:tc>
        <w:tc>
          <w:tcPr>
            <w:tcW w:w="0" w:type="auto"/>
            <w:tcBorders>
              <w:top w:val="single" w:sz="4" w:space="0" w:color="auto"/>
              <w:left w:val="nil"/>
              <w:bottom w:val="nil"/>
              <w:right w:val="nil"/>
            </w:tcBorders>
            <w:noWrap/>
            <w:vAlign w:val="bottom"/>
            <w:hideMark/>
          </w:tcPr>
          <w:p w14:paraId="7D084AC1" w14:textId="77777777" w:rsidR="00C967F6" w:rsidRDefault="00C967F6">
            <w:pPr>
              <w:spacing w:after="0"/>
              <w:rPr>
                <w:sz w:val="20"/>
                <w:szCs w:val="20"/>
                <w:lang w:eastAsia="pt-BR"/>
              </w:rPr>
            </w:pPr>
          </w:p>
        </w:tc>
        <w:tc>
          <w:tcPr>
            <w:tcW w:w="0" w:type="auto"/>
            <w:tcBorders>
              <w:top w:val="single" w:sz="4" w:space="0" w:color="auto"/>
              <w:left w:val="nil"/>
              <w:bottom w:val="nil"/>
              <w:right w:val="nil"/>
            </w:tcBorders>
            <w:noWrap/>
            <w:vAlign w:val="bottom"/>
            <w:hideMark/>
          </w:tcPr>
          <w:p w14:paraId="4228BA03" w14:textId="77777777" w:rsidR="00C967F6" w:rsidRDefault="00C967F6">
            <w:pPr>
              <w:spacing w:after="0"/>
              <w:rPr>
                <w:sz w:val="20"/>
                <w:szCs w:val="20"/>
                <w:lang w:eastAsia="pt-BR"/>
              </w:rPr>
            </w:pPr>
          </w:p>
        </w:tc>
        <w:tc>
          <w:tcPr>
            <w:tcW w:w="0" w:type="auto"/>
            <w:tcBorders>
              <w:top w:val="single" w:sz="4" w:space="0" w:color="auto"/>
              <w:left w:val="nil"/>
              <w:bottom w:val="nil"/>
              <w:right w:val="single" w:sz="4" w:space="0" w:color="auto"/>
            </w:tcBorders>
            <w:noWrap/>
            <w:vAlign w:val="bottom"/>
            <w:hideMark/>
          </w:tcPr>
          <w:p w14:paraId="2F74CE25" w14:textId="77777777" w:rsidR="00C967F6" w:rsidRDefault="00C967F6">
            <w:pPr>
              <w:spacing w:after="0"/>
              <w:rPr>
                <w:sz w:val="20"/>
                <w:szCs w:val="20"/>
                <w:lang w:eastAsia="pt-BR"/>
              </w:rPr>
            </w:pPr>
          </w:p>
        </w:tc>
      </w:tr>
      <w:tr w:rsidR="00C967F6" w14:paraId="4D98AEAE" w14:textId="77777777" w:rsidTr="00C967F6">
        <w:trPr>
          <w:trHeight w:val="300"/>
        </w:trPr>
        <w:tc>
          <w:tcPr>
            <w:tcW w:w="0" w:type="auto"/>
            <w:tcBorders>
              <w:top w:val="nil"/>
              <w:left w:val="single" w:sz="4" w:space="0" w:color="auto"/>
              <w:bottom w:val="nil"/>
              <w:right w:val="nil"/>
            </w:tcBorders>
            <w:noWrap/>
            <w:vAlign w:val="bottom"/>
            <w:hideMark/>
          </w:tcPr>
          <w:p w14:paraId="5D22A43B"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Intercepto</w:t>
            </w:r>
          </w:p>
        </w:tc>
        <w:tc>
          <w:tcPr>
            <w:tcW w:w="0" w:type="auto"/>
            <w:tcBorders>
              <w:top w:val="nil"/>
              <w:left w:val="nil"/>
              <w:bottom w:val="nil"/>
              <w:right w:val="nil"/>
            </w:tcBorders>
            <w:noWrap/>
            <w:vAlign w:val="bottom"/>
            <w:hideMark/>
          </w:tcPr>
          <w:p w14:paraId="150358D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5,884*</w:t>
            </w:r>
          </w:p>
        </w:tc>
        <w:tc>
          <w:tcPr>
            <w:tcW w:w="0" w:type="auto"/>
            <w:tcBorders>
              <w:top w:val="nil"/>
              <w:left w:val="nil"/>
              <w:bottom w:val="nil"/>
              <w:right w:val="nil"/>
            </w:tcBorders>
            <w:noWrap/>
            <w:vAlign w:val="bottom"/>
            <w:hideMark/>
          </w:tcPr>
          <w:p w14:paraId="3C739E5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5,681*</w:t>
            </w:r>
          </w:p>
        </w:tc>
        <w:tc>
          <w:tcPr>
            <w:tcW w:w="0" w:type="auto"/>
            <w:tcBorders>
              <w:top w:val="nil"/>
              <w:left w:val="nil"/>
              <w:bottom w:val="nil"/>
              <w:right w:val="nil"/>
            </w:tcBorders>
            <w:noWrap/>
            <w:vAlign w:val="bottom"/>
            <w:hideMark/>
          </w:tcPr>
          <w:p w14:paraId="3A8E944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5,646*</w:t>
            </w:r>
          </w:p>
        </w:tc>
        <w:tc>
          <w:tcPr>
            <w:tcW w:w="0" w:type="auto"/>
            <w:tcBorders>
              <w:top w:val="nil"/>
              <w:left w:val="nil"/>
              <w:bottom w:val="nil"/>
              <w:right w:val="nil"/>
            </w:tcBorders>
            <w:noWrap/>
            <w:vAlign w:val="bottom"/>
            <w:hideMark/>
          </w:tcPr>
          <w:p w14:paraId="0ADC0AE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5,720*</w:t>
            </w:r>
          </w:p>
        </w:tc>
        <w:tc>
          <w:tcPr>
            <w:tcW w:w="0" w:type="auto"/>
            <w:tcBorders>
              <w:top w:val="nil"/>
              <w:left w:val="nil"/>
              <w:bottom w:val="nil"/>
              <w:right w:val="nil"/>
            </w:tcBorders>
            <w:noWrap/>
            <w:vAlign w:val="bottom"/>
            <w:hideMark/>
          </w:tcPr>
          <w:p w14:paraId="369A9A2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5,985*</w:t>
            </w:r>
          </w:p>
        </w:tc>
        <w:tc>
          <w:tcPr>
            <w:tcW w:w="0" w:type="auto"/>
            <w:tcBorders>
              <w:top w:val="nil"/>
              <w:left w:val="nil"/>
              <w:bottom w:val="nil"/>
              <w:right w:val="nil"/>
            </w:tcBorders>
            <w:noWrap/>
            <w:vAlign w:val="bottom"/>
            <w:hideMark/>
          </w:tcPr>
          <w:p w14:paraId="6418B56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6,129*</w:t>
            </w:r>
          </w:p>
        </w:tc>
        <w:tc>
          <w:tcPr>
            <w:tcW w:w="0" w:type="auto"/>
            <w:tcBorders>
              <w:top w:val="nil"/>
              <w:left w:val="nil"/>
              <w:bottom w:val="nil"/>
              <w:right w:val="nil"/>
            </w:tcBorders>
            <w:noWrap/>
            <w:vAlign w:val="bottom"/>
            <w:hideMark/>
          </w:tcPr>
          <w:p w14:paraId="22F3946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6,201*</w:t>
            </w:r>
          </w:p>
        </w:tc>
        <w:tc>
          <w:tcPr>
            <w:tcW w:w="0" w:type="auto"/>
            <w:tcBorders>
              <w:top w:val="nil"/>
              <w:left w:val="nil"/>
              <w:bottom w:val="nil"/>
              <w:right w:val="single" w:sz="4" w:space="0" w:color="auto"/>
            </w:tcBorders>
            <w:noWrap/>
            <w:vAlign w:val="bottom"/>
            <w:hideMark/>
          </w:tcPr>
          <w:p w14:paraId="7590C31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6,237*</w:t>
            </w:r>
          </w:p>
        </w:tc>
      </w:tr>
      <w:tr w:rsidR="00C967F6" w14:paraId="29C4E5A4" w14:textId="77777777" w:rsidTr="00C967F6">
        <w:trPr>
          <w:trHeight w:val="300"/>
        </w:trPr>
        <w:tc>
          <w:tcPr>
            <w:tcW w:w="0" w:type="auto"/>
            <w:tcBorders>
              <w:top w:val="nil"/>
              <w:left w:val="single" w:sz="4" w:space="0" w:color="auto"/>
              <w:bottom w:val="nil"/>
              <w:right w:val="nil"/>
            </w:tcBorders>
            <w:noWrap/>
            <w:vAlign w:val="bottom"/>
            <w:hideMark/>
          </w:tcPr>
          <w:p w14:paraId="75722FEF"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Idade</w:t>
            </w:r>
          </w:p>
        </w:tc>
        <w:tc>
          <w:tcPr>
            <w:tcW w:w="0" w:type="auto"/>
            <w:tcBorders>
              <w:top w:val="nil"/>
              <w:left w:val="nil"/>
              <w:bottom w:val="nil"/>
              <w:right w:val="nil"/>
            </w:tcBorders>
            <w:noWrap/>
            <w:vAlign w:val="bottom"/>
            <w:hideMark/>
          </w:tcPr>
          <w:p w14:paraId="38A5E52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0,044*</w:t>
            </w:r>
          </w:p>
        </w:tc>
        <w:tc>
          <w:tcPr>
            <w:tcW w:w="0" w:type="auto"/>
            <w:tcBorders>
              <w:top w:val="nil"/>
              <w:left w:val="nil"/>
              <w:bottom w:val="nil"/>
              <w:right w:val="nil"/>
            </w:tcBorders>
            <w:noWrap/>
            <w:vAlign w:val="bottom"/>
            <w:hideMark/>
          </w:tcPr>
          <w:p w14:paraId="4F54D06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0,053*</w:t>
            </w:r>
          </w:p>
        </w:tc>
        <w:tc>
          <w:tcPr>
            <w:tcW w:w="0" w:type="auto"/>
            <w:tcBorders>
              <w:top w:val="nil"/>
              <w:left w:val="nil"/>
              <w:bottom w:val="nil"/>
              <w:right w:val="nil"/>
            </w:tcBorders>
            <w:noWrap/>
            <w:vAlign w:val="bottom"/>
            <w:hideMark/>
          </w:tcPr>
          <w:p w14:paraId="03CCB57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0,049*</w:t>
            </w:r>
          </w:p>
        </w:tc>
        <w:tc>
          <w:tcPr>
            <w:tcW w:w="0" w:type="auto"/>
            <w:tcBorders>
              <w:top w:val="nil"/>
              <w:left w:val="nil"/>
              <w:bottom w:val="nil"/>
              <w:right w:val="nil"/>
            </w:tcBorders>
            <w:noWrap/>
            <w:vAlign w:val="bottom"/>
            <w:hideMark/>
          </w:tcPr>
          <w:p w14:paraId="5F5AAE8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0,045*</w:t>
            </w:r>
          </w:p>
        </w:tc>
        <w:tc>
          <w:tcPr>
            <w:tcW w:w="0" w:type="auto"/>
            <w:tcBorders>
              <w:top w:val="nil"/>
              <w:left w:val="nil"/>
              <w:bottom w:val="nil"/>
              <w:right w:val="nil"/>
            </w:tcBorders>
            <w:noWrap/>
            <w:vAlign w:val="bottom"/>
            <w:hideMark/>
          </w:tcPr>
          <w:p w14:paraId="34E7885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0,040*</w:t>
            </w:r>
          </w:p>
        </w:tc>
        <w:tc>
          <w:tcPr>
            <w:tcW w:w="0" w:type="auto"/>
            <w:tcBorders>
              <w:top w:val="nil"/>
              <w:left w:val="nil"/>
              <w:bottom w:val="nil"/>
              <w:right w:val="nil"/>
            </w:tcBorders>
            <w:noWrap/>
            <w:vAlign w:val="bottom"/>
            <w:hideMark/>
          </w:tcPr>
          <w:p w14:paraId="3166CDD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0,040*</w:t>
            </w:r>
          </w:p>
        </w:tc>
        <w:tc>
          <w:tcPr>
            <w:tcW w:w="0" w:type="auto"/>
            <w:tcBorders>
              <w:top w:val="nil"/>
              <w:left w:val="nil"/>
              <w:bottom w:val="nil"/>
              <w:right w:val="nil"/>
            </w:tcBorders>
            <w:noWrap/>
            <w:vAlign w:val="bottom"/>
            <w:hideMark/>
          </w:tcPr>
          <w:p w14:paraId="4FF2C50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0,043*</w:t>
            </w:r>
          </w:p>
        </w:tc>
        <w:tc>
          <w:tcPr>
            <w:tcW w:w="0" w:type="auto"/>
            <w:tcBorders>
              <w:top w:val="nil"/>
              <w:left w:val="nil"/>
              <w:bottom w:val="nil"/>
              <w:right w:val="single" w:sz="4" w:space="0" w:color="auto"/>
            </w:tcBorders>
            <w:noWrap/>
            <w:vAlign w:val="bottom"/>
            <w:hideMark/>
          </w:tcPr>
          <w:p w14:paraId="2F7EAD2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0,042*</w:t>
            </w:r>
          </w:p>
        </w:tc>
      </w:tr>
      <w:tr w:rsidR="00C967F6" w14:paraId="57C5AE9D" w14:textId="77777777" w:rsidTr="00C967F6">
        <w:trPr>
          <w:trHeight w:val="300"/>
        </w:trPr>
        <w:tc>
          <w:tcPr>
            <w:tcW w:w="0" w:type="auto"/>
            <w:tcBorders>
              <w:top w:val="nil"/>
              <w:left w:val="single" w:sz="4" w:space="0" w:color="auto"/>
              <w:bottom w:val="nil"/>
              <w:right w:val="nil"/>
            </w:tcBorders>
            <w:noWrap/>
            <w:vAlign w:val="bottom"/>
            <w:hideMark/>
          </w:tcPr>
          <w:p w14:paraId="01AA9AD3"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Idade^2</w:t>
            </w:r>
          </w:p>
        </w:tc>
        <w:tc>
          <w:tcPr>
            <w:tcW w:w="0" w:type="auto"/>
            <w:tcBorders>
              <w:top w:val="nil"/>
              <w:left w:val="nil"/>
              <w:bottom w:val="nil"/>
              <w:right w:val="nil"/>
            </w:tcBorders>
            <w:noWrap/>
            <w:vAlign w:val="bottom"/>
            <w:hideMark/>
          </w:tcPr>
          <w:p w14:paraId="090246C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-0,001*</w:t>
            </w:r>
          </w:p>
        </w:tc>
        <w:tc>
          <w:tcPr>
            <w:tcW w:w="0" w:type="auto"/>
            <w:tcBorders>
              <w:top w:val="nil"/>
              <w:left w:val="nil"/>
              <w:bottom w:val="nil"/>
              <w:right w:val="nil"/>
            </w:tcBorders>
            <w:noWrap/>
            <w:vAlign w:val="bottom"/>
            <w:hideMark/>
          </w:tcPr>
          <w:p w14:paraId="3761132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-0,001*</w:t>
            </w:r>
          </w:p>
        </w:tc>
        <w:tc>
          <w:tcPr>
            <w:tcW w:w="0" w:type="auto"/>
            <w:tcBorders>
              <w:top w:val="nil"/>
              <w:left w:val="nil"/>
              <w:bottom w:val="nil"/>
              <w:right w:val="nil"/>
            </w:tcBorders>
            <w:noWrap/>
            <w:vAlign w:val="bottom"/>
            <w:hideMark/>
          </w:tcPr>
          <w:p w14:paraId="2227F8F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-0,001*</w:t>
            </w:r>
          </w:p>
        </w:tc>
        <w:tc>
          <w:tcPr>
            <w:tcW w:w="0" w:type="auto"/>
            <w:tcBorders>
              <w:top w:val="nil"/>
              <w:left w:val="nil"/>
              <w:bottom w:val="nil"/>
              <w:right w:val="nil"/>
            </w:tcBorders>
            <w:noWrap/>
            <w:vAlign w:val="bottom"/>
            <w:hideMark/>
          </w:tcPr>
          <w:p w14:paraId="72866BA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-0,001*</w:t>
            </w:r>
          </w:p>
        </w:tc>
        <w:tc>
          <w:tcPr>
            <w:tcW w:w="0" w:type="auto"/>
            <w:tcBorders>
              <w:top w:val="nil"/>
              <w:left w:val="nil"/>
              <w:bottom w:val="nil"/>
              <w:right w:val="nil"/>
            </w:tcBorders>
            <w:noWrap/>
            <w:vAlign w:val="bottom"/>
            <w:hideMark/>
          </w:tcPr>
          <w:p w14:paraId="29DBC1C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-0,001*</w:t>
            </w:r>
          </w:p>
        </w:tc>
        <w:tc>
          <w:tcPr>
            <w:tcW w:w="0" w:type="auto"/>
            <w:tcBorders>
              <w:top w:val="nil"/>
              <w:left w:val="nil"/>
              <w:bottom w:val="nil"/>
              <w:right w:val="nil"/>
            </w:tcBorders>
            <w:noWrap/>
            <w:vAlign w:val="bottom"/>
            <w:hideMark/>
          </w:tcPr>
          <w:p w14:paraId="6EA6A5D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-0,001*</w:t>
            </w:r>
          </w:p>
        </w:tc>
        <w:tc>
          <w:tcPr>
            <w:tcW w:w="0" w:type="auto"/>
            <w:tcBorders>
              <w:top w:val="nil"/>
              <w:left w:val="nil"/>
              <w:bottom w:val="nil"/>
              <w:right w:val="nil"/>
            </w:tcBorders>
            <w:noWrap/>
            <w:vAlign w:val="bottom"/>
            <w:hideMark/>
          </w:tcPr>
          <w:p w14:paraId="0A36320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-0,001*</w:t>
            </w:r>
          </w:p>
        </w:tc>
        <w:tc>
          <w:tcPr>
            <w:tcW w:w="0" w:type="auto"/>
            <w:tcBorders>
              <w:top w:val="nil"/>
              <w:left w:val="nil"/>
              <w:bottom w:val="nil"/>
              <w:right w:val="single" w:sz="4" w:space="0" w:color="auto"/>
            </w:tcBorders>
            <w:noWrap/>
            <w:vAlign w:val="bottom"/>
            <w:hideMark/>
          </w:tcPr>
          <w:p w14:paraId="5C2A247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-0,001*</w:t>
            </w:r>
          </w:p>
        </w:tc>
      </w:tr>
      <w:tr w:rsidR="00C967F6" w14:paraId="77DE3849" w14:textId="77777777" w:rsidTr="00C967F6">
        <w:trPr>
          <w:trHeight w:val="300"/>
        </w:trPr>
        <w:tc>
          <w:tcPr>
            <w:tcW w:w="0" w:type="auto"/>
            <w:tcBorders>
              <w:top w:val="nil"/>
              <w:left w:val="single" w:sz="4" w:space="0" w:color="auto"/>
              <w:bottom w:val="nil"/>
              <w:right w:val="nil"/>
            </w:tcBorders>
            <w:noWrap/>
            <w:vAlign w:val="bottom"/>
            <w:hideMark/>
          </w:tcPr>
          <w:p w14:paraId="55C89E84"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Feminino</w:t>
            </w:r>
          </w:p>
        </w:tc>
        <w:tc>
          <w:tcPr>
            <w:tcW w:w="0" w:type="auto"/>
            <w:tcBorders>
              <w:top w:val="nil"/>
              <w:left w:val="nil"/>
              <w:bottom w:val="nil"/>
              <w:right w:val="nil"/>
            </w:tcBorders>
            <w:noWrap/>
            <w:vAlign w:val="bottom"/>
            <w:hideMark/>
          </w:tcPr>
          <w:p w14:paraId="0C7613D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-0,319*</w:t>
            </w:r>
          </w:p>
        </w:tc>
        <w:tc>
          <w:tcPr>
            <w:tcW w:w="0" w:type="auto"/>
            <w:tcBorders>
              <w:top w:val="nil"/>
              <w:left w:val="nil"/>
              <w:bottom w:val="nil"/>
              <w:right w:val="nil"/>
            </w:tcBorders>
            <w:noWrap/>
            <w:vAlign w:val="bottom"/>
            <w:hideMark/>
          </w:tcPr>
          <w:p w14:paraId="28E4939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-0,366*</w:t>
            </w:r>
          </w:p>
        </w:tc>
        <w:tc>
          <w:tcPr>
            <w:tcW w:w="0" w:type="auto"/>
            <w:tcBorders>
              <w:top w:val="nil"/>
              <w:left w:val="nil"/>
              <w:bottom w:val="nil"/>
              <w:right w:val="nil"/>
            </w:tcBorders>
            <w:noWrap/>
            <w:vAlign w:val="bottom"/>
            <w:hideMark/>
          </w:tcPr>
          <w:p w14:paraId="63FF22A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-0,350*</w:t>
            </w:r>
          </w:p>
        </w:tc>
        <w:tc>
          <w:tcPr>
            <w:tcW w:w="0" w:type="auto"/>
            <w:tcBorders>
              <w:top w:val="nil"/>
              <w:left w:val="nil"/>
              <w:bottom w:val="nil"/>
              <w:right w:val="nil"/>
            </w:tcBorders>
            <w:noWrap/>
            <w:vAlign w:val="bottom"/>
            <w:hideMark/>
          </w:tcPr>
          <w:p w14:paraId="4DE16B3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-0,341*</w:t>
            </w:r>
          </w:p>
        </w:tc>
        <w:tc>
          <w:tcPr>
            <w:tcW w:w="0" w:type="auto"/>
            <w:tcBorders>
              <w:top w:val="nil"/>
              <w:left w:val="nil"/>
              <w:bottom w:val="nil"/>
              <w:right w:val="nil"/>
            </w:tcBorders>
            <w:noWrap/>
            <w:vAlign w:val="bottom"/>
            <w:hideMark/>
          </w:tcPr>
          <w:p w14:paraId="5BDACAD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-0,324*</w:t>
            </w:r>
          </w:p>
        </w:tc>
        <w:tc>
          <w:tcPr>
            <w:tcW w:w="0" w:type="auto"/>
            <w:tcBorders>
              <w:top w:val="nil"/>
              <w:left w:val="nil"/>
              <w:bottom w:val="nil"/>
              <w:right w:val="nil"/>
            </w:tcBorders>
            <w:noWrap/>
            <w:vAlign w:val="bottom"/>
            <w:hideMark/>
          </w:tcPr>
          <w:p w14:paraId="73A453D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-0,308*</w:t>
            </w:r>
          </w:p>
        </w:tc>
        <w:tc>
          <w:tcPr>
            <w:tcW w:w="0" w:type="auto"/>
            <w:tcBorders>
              <w:top w:val="nil"/>
              <w:left w:val="nil"/>
              <w:bottom w:val="nil"/>
              <w:right w:val="nil"/>
            </w:tcBorders>
            <w:noWrap/>
            <w:vAlign w:val="bottom"/>
            <w:hideMark/>
          </w:tcPr>
          <w:p w14:paraId="023293F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-0,284*</w:t>
            </w:r>
          </w:p>
        </w:tc>
        <w:tc>
          <w:tcPr>
            <w:tcW w:w="0" w:type="auto"/>
            <w:tcBorders>
              <w:top w:val="nil"/>
              <w:left w:val="nil"/>
              <w:bottom w:val="nil"/>
              <w:right w:val="single" w:sz="4" w:space="0" w:color="auto"/>
            </w:tcBorders>
            <w:noWrap/>
            <w:vAlign w:val="bottom"/>
            <w:hideMark/>
          </w:tcPr>
          <w:p w14:paraId="696236D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-0,271*</w:t>
            </w:r>
          </w:p>
        </w:tc>
      </w:tr>
      <w:tr w:rsidR="00C967F6" w14:paraId="4919B98C" w14:textId="77777777" w:rsidTr="00C967F6">
        <w:trPr>
          <w:trHeight w:val="300"/>
        </w:trPr>
        <w:tc>
          <w:tcPr>
            <w:tcW w:w="0" w:type="auto"/>
            <w:tcBorders>
              <w:top w:val="nil"/>
              <w:left w:val="single" w:sz="4" w:space="0" w:color="auto"/>
              <w:bottom w:val="nil"/>
              <w:right w:val="nil"/>
            </w:tcBorders>
            <w:noWrap/>
            <w:vAlign w:val="bottom"/>
            <w:hideMark/>
          </w:tcPr>
          <w:p w14:paraId="23222E20"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Branco</w:t>
            </w:r>
          </w:p>
        </w:tc>
        <w:tc>
          <w:tcPr>
            <w:tcW w:w="0" w:type="auto"/>
            <w:tcBorders>
              <w:top w:val="nil"/>
              <w:left w:val="nil"/>
              <w:bottom w:val="nil"/>
              <w:right w:val="nil"/>
            </w:tcBorders>
            <w:noWrap/>
            <w:vAlign w:val="bottom"/>
            <w:hideMark/>
          </w:tcPr>
          <w:p w14:paraId="715040C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0,020*</w:t>
            </w:r>
          </w:p>
        </w:tc>
        <w:tc>
          <w:tcPr>
            <w:tcW w:w="0" w:type="auto"/>
            <w:tcBorders>
              <w:top w:val="nil"/>
              <w:left w:val="nil"/>
              <w:bottom w:val="nil"/>
              <w:right w:val="nil"/>
            </w:tcBorders>
            <w:noWrap/>
            <w:vAlign w:val="bottom"/>
            <w:hideMark/>
          </w:tcPr>
          <w:p w14:paraId="2ED263F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0" w:type="auto"/>
            <w:tcBorders>
              <w:top w:val="nil"/>
              <w:left w:val="nil"/>
              <w:bottom w:val="nil"/>
              <w:right w:val="nil"/>
            </w:tcBorders>
            <w:noWrap/>
            <w:vAlign w:val="bottom"/>
            <w:hideMark/>
          </w:tcPr>
          <w:p w14:paraId="5850F76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0" w:type="auto"/>
            <w:tcBorders>
              <w:top w:val="nil"/>
              <w:left w:val="nil"/>
              <w:bottom w:val="nil"/>
              <w:right w:val="nil"/>
            </w:tcBorders>
            <w:noWrap/>
            <w:vAlign w:val="bottom"/>
            <w:hideMark/>
          </w:tcPr>
          <w:p w14:paraId="352F347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0,593*</w:t>
            </w:r>
          </w:p>
        </w:tc>
        <w:tc>
          <w:tcPr>
            <w:tcW w:w="0" w:type="auto"/>
            <w:tcBorders>
              <w:top w:val="nil"/>
              <w:left w:val="nil"/>
              <w:bottom w:val="nil"/>
              <w:right w:val="nil"/>
            </w:tcBorders>
            <w:noWrap/>
            <w:vAlign w:val="bottom"/>
            <w:hideMark/>
          </w:tcPr>
          <w:p w14:paraId="6EFD304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0,013*</w:t>
            </w:r>
          </w:p>
        </w:tc>
        <w:tc>
          <w:tcPr>
            <w:tcW w:w="0" w:type="auto"/>
            <w:tcBorders>
              <w:top w:val="nil"/>
              <w:left w:val="nil"/>
              <w:bottom w:val="nil"/>
              <w:right w:val="nil"/>
            </w:tcBorders>
            <w:noWrap/>
            <w:vAlign w:val="bottom"/>
            <w:hideMark/>
          </w:tcPr>
          <w:p w14:paraId="02319BE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0,016*</w:t>
            </w:r>
          </w:p>
        </w:tc>
        <w:tc>
          <w:tcPr>
            <w:tcW w:w="0" w:type="auto"/>
            <w:tcBorders>
              <w:top w:val="nil"/>
              <w:left w:val="nil"/>
              <w:bottom w:val="nil"/>
              <w:right w:val="nil"/>
            </w:tcBorders>
            <w:noWrap/>
            <w:vAlign w:val="bottom"/>
            <w:hideMark/>
          </w:tcPr>
          <w:p w14:paraId="44361E9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0,013*</w:t>
            </w:r>
          </w:p>
        </w:tc>
        <w:tc>
          <w:tcPr>
            <w:tcW w:w="0" w:type="auto"/>
            <w:tcBorders>
              <w:top w:val="nil"/>
              <w:left w:val="nil"/>
              <w:bottom w:val="nil"/>
              <w:right w:val="single" w:sz="4" w:space="0" w:color="auto"/>
            </w:tcBorders>
            <w:noWrap/>
            <w:vAlign w:val="bottom"/>
            <w:hideMark/>
          </w:tcPr>
          <w:p w14:paraId="6B41745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0,008*</w:t>
            </w:r>
          </w:p>
        </w:tc>
      </w:tr>
      <w:tr w:rsidR="00C967F6" w14:paraId="68D5C57C" w14:textId="77777777" w:rsidTr="00C967F6">
        <w:trPr>
          <w:trHeight w:val="300"/>
        </w:trPr>
        <w:tc>
          <w:tcPr>
            <w:tcW w:w="0" w:type="auto"/>
            <w:gridSpan w:val="9"/>
            <w:tcBorders>
              <w:top w:val="nil"/>
              <w:left w:val="single" w:sz="4" w:space="0" w:color="auto"/>
              <w:bottom w:val="nil"/>
              <w:right w:val="single" w:sz="4" w:space="0" w:color="auto"/>
            </w:tcBorders>
            <w:noWrap/>
            <w:vAlign w:val="bottom"/>
            <w:hideMark/>
          </w:tcPr>
          <w:p w14:paraId="7AF01EAD"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Mesorregião</w:t>
            </w:r>
          </w:p>
        </w:tc>
      </w:tr>
      <w:tr w:rsidR="00C967F6" w14:paraId="14F2F699" w14:textId="77777777" w:rsidTr="00C967F6">
        <w:trPr>
          <w:trHeight w:val="300"/>
        </w:trPr>
        <w:tc>
          <w:tcPr>
            <w:tcW w:w="0" w:type="auto"/>
            <w:tcBorders>
              <w:top w:val="nil"/>
              <w:left w:val="single" w:sz="4" w:space="0" w:color="auto"/>
              <w:bottom w:val="nil"/>
              <w:right w:val="nil"/>
            </w:tcBorders>
            <w:noWrap/>
            <w:vAlign w:val="bottom"/>
            <w:hideMark/>
          </w:tcPr>
          <w:p w14:paraId="6C0622F3"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Nordeste-RG</w:t>
            </w:r>
          </w:p>
        </w:tc>
        <w:tc>
          <w:tcPr>
            <w:tcW w:w="0" w:type="auto"/>
            <w:tcBorders>
              <w:top w:val="nil"/>
              <w:left w:val="nil"/>
              <w:bottom w:val="nil"/>
              <w:right w:val="nil"/>
            </w:tcBorders>
            <w:noWrap/>
            <w:vAlign w:val="bottom"/>
            <w:hideMark/>
          </w:tcPr>
          <w:p w14:paraId="4277BC9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0,186*</w:t>
            </w:r>
          </w:p>
        </w:tc>
        <w:tc>
          <w:tcPr>
            <w:tcW w:w="0" w:type="auto"/>
            <w:tcBorders>
              <w:top w:val="nil"/>
              <w:left w:val="nil"/>
              <w:bottom w:val="nil"/>
              <w:right w:val="nil"/>
            </w:tcBorders>
            <w:noWrap/>
            <w:vAlign w:val="bottom"/>
            <w:hideMark/>
          </w:tcPr>
          <w:p w14:paraId="068BA21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0,260*</w:t>
            </w:r>
          </w:p>
        </w:tc>
        <w:tc>
          <w:tcPr>
            <w:tcW w:w="0" w:type="auto"/>
            <w:tcBorders>
              <w:top w:val="nil"/>
              <w:left w:val="nil"/>
              <w:bottom w:val="nil"/>
              <w:right w:val="nil"/>
            </w:tcBorders>
            <w:noWrap/>
            <w:vAlign w:val="bottom"/>
            <w:hideMark/>
          </w:tcPr>
          <w:p w14:paraId="35D5F1A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0,202*</w:t>
            </w:r>
          </w:p>
        </w:tc>
        <w:tc>
          <w:tcPr>
            <w:tcW w:w="0" w:type="auto"/>
            <w:tcBorders>
              <w:top w:val="nil"/>
              <w:left w:val="nil"/>
              <w:bottom w:val="nil"/>
              <w:right w:val="nil"/>
            </w:tcBorders>
            <w:noWrap/>
            <w:vAlign w:val="bottom"/>
            <w:hideMark/>
          </w:tcPr>
          <w:p w14:paraId="6BA5187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0,210*</w:t>
            </w:r>
          </w:p>
        </w:tc>
        <w:tc>
          <w:tcPr>
            <w:tcW w:w="0" w:type="auto"/>
            <w:tcBorders>
              <w:top w:val="nil"/>
              <w:left w:val="nil"/>
              <w:bottom w:val="nil"/>
              <w:right w:val="nil"/>
            </w:tcBorders>
            <w:noWrap/>
            <w:vAlign w:val="bottom"/>
            <w:hideMark/>
          </w:tcPr>
          <w:p w14:paraId="37A97EC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0,189*</w:t>
            </w:r>
          </w:p>
        </w:tc>
        <w:tc>
          <w:tcPr>
            <w:tcW w:w="0" w:type="auto"/>
            <w:tcBorders>
              <w:top w:val="nil"/>
              <w:left w:val="nil"/>
              <w:bottom w:val="nil"/>
              <w:right w:val="nil"/>
            </w:tcBorders>
            <w:noWrap/>
            <w:vAlign w:val="bottom"/>
            <w:hideMark/>
          </w:tcPr>
          <w:p w14:paraId="7C716C6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0,180*</w:t>
            </w:r>
          </w:p>
        </w:tc>
        <w:tc>
          <w:tcPr>
            <w:tcW w:w="0" w:type="auto"/>
            <w:tcBorders>
              <w:top w:val="nil"/>
              <w:left w:val="nil"/>
              <w:bottom w:val="nil"/>
              <w:right w:val="nil"/>
            </w:tcBorders>
            <w:noWrap/>
            <w:vAlign w:val="bottom"/>
            <w:hideMark/>
          </w:tcPr>
          <w:p w14:paraId="2659DDD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0,141*</w:t>
            </w:r>
          </w:p>
        </w:tc>
        <w:tc>
          <w:tcPr>
            <w:tcW w:w="0" w:type="auto"/>
            <w:tcBorders>
              <w:top w:val="nil"/>
              <w:left w:val="nil"/>
              <w:bottom w:val="nil"/>
              <w:right w:val="single" w:sz="4" w:space="0" w:color="auto"/>
            </w:tcBorders>
            <w:noWrap/>
            <w:vAlign w:val="bottom"/>
            <w:hideMark/>
          </w:tcPr>
          <w:p w14:paraId="60A0D40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0,118*</w:t>
            </w:r>
          </w:p>
        </w:tc>
      </w:tr>
      <w:tr w:rsidR="00C967F6" w14:paraId="36A21F1C" w14:textId="77777777" w:rsidTr="00C967F6">
        <w:trPr>
          <w:trHeight w:val="300"/>
        </w:trPr>
        <w:tc>
          <w:tcPr>
            <w:tcW w:w="0" w:type="auto"/>
            <w:tcBorders>
              <w:top w:val="nil"/>
              <w:left w:val="single" w:sz="4" w:space="0" w:color="auto"/>
              <w:bottom w:val="nil"/>
              <w:right w:val="nil"/>
            </w:tcBorders>
            <w:noWrap/>
            <w:vAlign w:val="bottom"/>
            <w:hideMark/>
          </w:tcPr>
          <w:p w14:paraId="47EB0E31"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Centro Ocidental-RG</w:t>
            </w:r>
          </w:p>
        </w:tc>
        <w:tc>
          <w:tcPr>
            <w:tcW w:w="0" w:type="auto"/>
            <w:tcBorders>
              <w:top w:val="nil"/>
              <w:left w:val="nil"/>
              <w:bottom w:val="nil"/>
              <w:right w:val="nil"/>
            </w:tcBorders>
            <w:noWrap/>
            <w:vAlign w:val="bottom"/>
            <w:hideMark/>
          </w:tcPr>
          <w:p w14:paraId="1F8C5A0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-0,030*</w:t>
            </w:r>
          </w:p>
        </w:tc>
        <w:tc>
          <w:tcPr>
            <w:tcW w:w="0" w:type="auto"/>
            <w:tcBorders>
              <w:top w:val="nil"/>
              <w:left w:val="nil"/>
              <w:bottom w:val="nil"/>
              <w:right w:val="nil"/>
            </w:tcBorders>
            <w:noWrap/>
            <w:vAlign w:val="bottom"/>
            <w:hideMark/>
          </w:tcPr>
          <w:p w14:paraId="6665709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-0,016*</w:t>
            </w:r>
          </w:p>
        </w:tc>
        <w:tc>
          <w:tcPr>
            <w:tcW w:w="0" w:type="auto"/>
            <w:tcBorders>
              <w:top w:val="nil"/>
              <w:left w:val="nil"/>
              <w:bottom w:val="nil"/>
              <w:right w:val="nil"/>
            </w:tcBorders>
            <w:noWrap/>
            <w:vAlign w:val="bottom"/>
            <w:hideMark/>
          </w:tcPr>
          <w:p w14:paraId="5C9C37D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-0,042*</w:t>
            </w:r>
          </w:p>
        </w:tc>
        <w:tc>
          <w:tcPr>
            <w:tcW w:w="0" w:type="auto"/>
            <w:tcBorders>
              <w:top w:val="nil"/>
              <w:left w:val="nil"/>
              <w:bottom w:val="nil"/>
              <w:right w:val="nil"/>
            </w:tcBorders>
            <w:noWrap/>
            <w:vAlign w:val="bottom"/>
            <w:hideMark/>
          </w:tcPr>
          <w:p w14:paraId="7017837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-0,028*</w:t>
            </w:r>
          </w:p>
        </w:tc>
        <w:tc>
          <w:tcPr>
            <w:tcW w:w="0" w:type="auto"/>
            <w:tcBorders>
              <w:top w:val="nil"/>
              <w:left w:val="nil"/>
              <w:bottom w:val="nil"/>
              <w:right w:val="nil"/>
            </w:tcBorders>
            <w:noWrap/>
            <w:vAlign w:val="bottom"/>
            <w:hideMark/>
          </w:tcPr>
          <w:p w14:paraId="511BE4F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-0,027*</w:t>
            </w:r>
          </w:p>
        </w:tc>
        <w:tc>
          <w:tcPr>
            <w:tcW w:w="0" w:type="auto"/>
            <w:tcBorders>
              <w:top w:val="nil"/>
              <w:left w:val="nil"/>
              <w:bottom w:val="nil"/>
              <w:right w:val="nil"/>
            </w:tcBorders>
            <w:noWrap/>
            <w:vAlign w:val="bottom"/>
            <w:hideMark/>
          </w:tcPr>
          <w:p w14:paraId="362CBFE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-0,036*</w:t>
            </w:r>
          </w:p>
        </w:tc>
        <w:tc>
          <w:tcPr>
            <w:tcW w:w="0" w:type="auto"/>
            <w:tcBorders>
              <w:top w:val="nil"/>
              <w:left w:val="nil"/>
              <w:bottom w:val="nil"/>
              <w:right w:val="nil"/>
            </w:tcBorders>
            <w:noWrap/>
            <w:vAlign w:val="bottom"/>
            <w:hideMark/>
          </w:tcPr>
          <w:p w14:paraId="6DCB2D1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-0,026*</w:t>
            </w:r>
          </w:p>
        </w:tc>
        <w:tc>
          <w:tcPr>
            <w:tcW w:w="0" w:type="auto"/>
            <w:tcBorders>
              <w:top w:val="nil"/>
              <w:left w:val="nil"/>
              <w:bottom w:val="nil"/>
              <w:right w:val="single" w:sz="4" w:space="0" w:color="auto"/>
            </w:tcBorders>
            <w:noWrap/>
            <w:vAlign w:val="bottom"/>
            <w:hideMark/>
          </w:tcPr>
          <w:p w14:paraId="268E280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-0,011*</w:t>
            </w:r>
          </w:p>
        </w:tc>
      </w:tr>
      <w:tr w:rsidR="00C967F6" w14:paraId="0D500EBD" w14:textId="77777777" w:rsidTr="00C967F6">
        <w:trPr>
          <w:trHeight w:val="300"/>
        </w:trPr>
        <w:tc>
          <w:tcPr>
            <w:tcW w:w="0" w:type="auto"/>
            <w:tcBorders>
              <w:top w:val="nil"/>
              <w:left w:val="single" w:sz="4" w:space="0" w:color="auto"/>
              <w:bottom w:val="nil"/>
              <w:right w:val="nil"/>
            </w:tcBorders>
            <w:noWrap/>
            <w:vAlign w:val="bottom"/>
            <w:hideMark/>
          </w:tcPr>
          <w:p w14:paraId="0490401B"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Centro Oriental-RG</w:t>
            </w:r>
          </w:p>
        </w:tc>
        <w:tc>
          <w:tcPr>
            <w:tcW w:w="0" w:type="auto"/>
            <w:tcBorders>
              <w:top w:val="nil"/>
              <w:left w:val="nil"/>
              <w:bottom w:val="nil"/>
              <w:right w:val="nil"/>
            </w:tcBorders>
            <w:noWrap/>
            <w:vAlign w:val="bottom"/>
            <w:hideMark/>
          </w:tcPr>
          <w:p w14:paraId="2CF7F18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0,030*</w:t>
            </w:r>
          </w:p>
        </w:tc>
        <w:tc>
          <w:tcPr>
            <w:tcW w:w="0" w:type="auto"/>
            <w:tcBorders>
              <w:top w:val="nil"/>
              <w:left w:val="nil"/>
              <w:bottom w:val="nil"/>
              <w:right w:val="nil"/>
            </w:tcBorders>
            <w:noWrap/>
            <w:vAlign w:val="bottom"/>
            <w:hideMark/>
          </w:tcPr>
          <w:p w14:paraId="3EF87CF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0,074*</w:t>
            </w:r>
          </w:p>
        </w:tc>
        <w:tc>
          <w:tcPr>
            <w:tcW w:w="0" w:type="auto"/>
            <w:tcBorders>
              <w:top w:val="nil"/>
              <w:left w:val="nil"/>
              <w:bottom w:val="nil"/>
              <w:right w:val="nil"/>
            </w:tcBorders>
            <w:noWrap/>
            <w:vAlign w:val="bottom"/>
            <w:hideMark/>
          </w:tcPr>
          <w:p w14:paraId="5DDFC64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0,055*</w:t>
            </w:r>
          </w:p>
        </w:tc>
        <w:tc>
          <w:tcPr>
            <w:tcW w:w="0" w:type="auto"/>
            <w:tcBorders>
              <w:top w:val="nil"/>
              <w:left w:val="nil"/>
              <w:bottom w:val="nil"/>
              <w:right w:val="nil"/>
            </w:tcBorders>
            <w:noWrap/>
            <w:vAlign w:val="bottom"/>
            <w:hideMark/>
          </w:tcPr>
          <w:p w14:paraId="6CC79AB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0,050*</w:t>
            </w:r>
          </w:p>
        </w:tc>
        <w:tc>
          <w:tcPr>
            <w:tcW w:w="0" w:type="auto"/>
            <w:tcBorders>
              <w:top w:val="nil"/>
              <w:left w:val="nil"/>
              <w:bottom w:val="nil"/>
              <w:right w:val="nil"/>
            </w:tcBorders>
            <w:noWrap/>
            <w:vAlign w:val="bottom"/>
            <w:hideMark/>
          </w:tcPr>
          <w:p w14:paraId="40874C6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0,029*</w:t>
            </w:r>
          </w:p>
        </w:tc>
        <w:tc>
          <w:tcPr>
            <w:tcW w:w="0" w:type="auto"/>
            <w:tcBorders>
              <w:top w:val="nil"/>
              <w:left w:val="nil"/>
              <w:bottom w:val="nil"/>
              <w:right w:val="nil"/>
            </w:tcBorders>
            <w:noWrap/>
            <w:vAlign w:val="bottom"/>
            <w:hideMark/>
          </w:tcPr>
          <w:p w14:paraId="218AD0E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0,015*</w:t>
            </w:r>
          </w:p>
        </w:tc>
        <w:tc>
          <w:tcPr>
            <w:tcW w:w="0" w:type="auto"/>
            <w:tcBorders>
              <w:top w:val="nil"/>
              <w:left w:val="nil"/>
              <w:bottom w:val="nil"/>
              <w:right w:val="nil"/>
            </w:tcBorders>
            <w:noWrap/>
            <w:vAlign w:val="bottom"/>
            <w:hideMark/>
          </w:tcPr>
          <w:p w14:paraId="657C09D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0,017*</w:t>
            </w:r>
          </w:p>
        </w:tc>
        <w:tc>
          <w:tcPr>
            <w:tcW w:w="0" w:type="auto"/>
            <w:tcBorders>
              <w:top w:val="nil"/>
              <w:left w:val="nil"/>
              <w:bottom w:val="nil"/>
              <w:right w:val="single" w:sz="4" w:space="0" w:color="auto"/>
            </w:tcBorders>
            <w:noWrap/>
            <w:vAlign w:val="bottom"/>
            <w:hideMark/>
          </w:tcPr>
          <w:p w14:paraId="6291C56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0,015*</w:t>
            </w:r>
          </w:p>
        </w:tc>
      </w:tr>
      <w:tr w:rsidR="00C967F6" w14:paraId="4B644616" w14:textId="77777777" w:rsidTr="00C967F6">
        <w:trPr>
          <w:trHeight w:val="300"/>
        </w:trPr>
        <w:tc>
          <w:tcPr>
            <w:tcW w:w="0" w:type="auto"/>
            <w:tcBorders>
              <w:top w:val="nil"/>
              <w:left w:val="single" w:sz="4" w:space="0" w:color="auto"/>
              <w:bottom w:val="nil"/>
              <w:right w:val="nil"/>
            </w:tcBorders>
            <w:noWrap/>
            <w:vAlign w:val="bottom"/>
            <w:hideMark/>
          </w:tcPr>
          <w:p w14:paraId="53523337"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Metropolitana de PA</w:t>
            </w:r>
          </w:p>
        </w:tc>
        <w:tc>
          <w:tcPr>
            <w:tcW w:w="0" w:type="auto"/>
            <w:tcBorders>
              <w:top w:val="nil"/>
              <w:left w:val="nil"/>
              <w:bottom w:val="nil"/>
              <w:right w:val="nil"/>
            </w:tcBorders>
            <w:noWrap/>
            <w:vAlign w:val="bottom"/>
            <w:hideMark/>
          </w:tcPr>
          <w:p w14:paraId="1383948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0,169*</w:t>
            </w:r>
          </w:p>
        </w:tc>
        <w:tc>
          <w:tcPr>
            <w:tcW w:w="0" w:type="auto"/>
            <w:tcBorders>
              <w:top w:val="nil"/>
              <w:left w:val="nil"/>
              <w:bottom w:val="nil"/>
              <w:right w:val="nil"/>
            </w:tcBorders>
            <w:noWrap/>
            <w:vAlign w:val="bottom"/>
            <w:hideMark/>
          </w:tcPr>
          <w:p w14:paraId="39E6E1A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0,285*</w:t>
            </w:r>
          </w:p>
        </w:tc>
        <w:tc>
          <w:tcPr>
            <w:tcW w:w="0" w:type="auto"/>
            <w:tcBorders>
              <w:top w:val="nil"/>
              <w:left w:val="nil"/>
              <w:bottom w:val="nil"/>
              <w:right w:val="nil"/>
            </w:tcBorders>
            <w:noWrap/>
            <w:vAlign w:val="bottom"/>
            <w:hideMark/>
          </w:tcPr>
          <w:p w14:paraId="696C9EB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0,221*</w:t>
            </w:r>
          </w:p>
        </w:tc>
        <w:tc>
          <w:tcPr>
            <w:tcW w:w="0" w:type="auto"/>
            <w:tcBorders>
              <w:top w:val="nil"/>
              <w:left w:val="nil"/>
              <w:bottom w:val="nil"/>
              <w:right w:val="nil"/>
            </w:tcBorders>
            <w:noWrap/>
            <w:vAlign w:val="bottom"/>
            <w:hideMark/>
          </w:tcPr>
          <w:p w14:paraId="071279E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0,196*</w:t>
            </w:r>
          </w:p>
        </w:tc>
        <w:tc>
          <w:tcPr>
            <w:tcW w:w="0" w:type="auto"/>
            <w:tcBorders>
              <w:top w:val="nil"/>
              <w:left w:val="nil"/>
              <w:bottom w:val="nil"/>
              <w:right w:val="nil"/>
            </w:tcBorders>
            <w:noWrap/>
            <w:vAlign w:val="bottom"/>
            <w:hideMark/>
          </w:tcPr>
          <w:p w14:paraId="6ADC349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0,151*</w:t>
            </w:r>
          </w:p>
        </w:tc>
        <w:tc>
          <w:tcPr>
            <w:tcW w:w="0" w:type="auto"/>
            <w:tcBorders>
              <w:top w:val="nil"/>
              <w:left w:val="nil"/>
              <w:bottom w:val="nil"/>
              <w:right w:val="nil"/>
            </w:tcBorders>
            <w:noWrap/>
            <w:vAlign w:val="bottom"/>
            <w:hideMark/>
          </w:tcPr>
          <w:p w14:paraId="1CDA673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0,139*</w:t>
            </w:r>
          </w:p>
        </w:tc>
        <w:tc>
          <w:tcPr>
            <w:tcW w:w="0" w:type="auto"/>
            <w:tcBorders>
              <w:top w:val="nil"/>
              <w:left w:val="nil"/>
              <w:bottom w:val="nil"/>
              <w:right w:val="nil"/>
            </w:tcBorders>
            <w:noWrap/>
            <w:vAlign w:val="bottom"/>
            <w:hideMark/>
          </w:tcPr>
          <w:p w14:paraId="01B755A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0,129*</w:t>
            </w:r>
          </w:p>
        </w:tc>
        <w:tc>
          <w:tcPr>
            <w:tcW w:w="0" w:type="auto"/>
            <w:tcBorders>
              <w:top w:val="nil"/>
              <w:left w:val="nil"/>
              <w:bottom w:val="nil"/>
              <w:right w:val="single" w:sz="4" w:space="0" w:color="auto"/>
            </w:tcBorders>
            <w:noWrap/>
            <w:vAlign w:val="bottom"/>
            <w:hideMark/>
          </w:tcPr>
          <w:p w14:paraId="715E580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0,122*</w:t>
            </w:r>
          </w:p>
        </w:tc>
      </w:tr>
      <w:tr w:rsidR="00C967F6" w14:paraId="1B0FED7C" w14:textId="77777777" w:rsidTr="00C967F6">
        <w:trPr>
          <w:trHeight w:val="300"/>
        </w:trPr>
        <w:tc>
          <w:tcPr>
            <w:tcW w:w="0" w:type="auto"/>
            <w:tcBorders>
              <w:top w:val="nil"/>
              <w:left w:val="single" w:sz="4" w:space="0" w:color="auto"/>
              <w:bottom w:val="nil"/>
              <w:right w:val="nil"/>
            </w:tcBorders>
            <w:noWrap/>
            <w:vAlign w:val="bottom"/>
            <w:hideMark/>
          </w:tcPr>
          <w:p w14:paraId="60E18B4A"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Sudoeste-RG</w:t>
            </w:r>
          </w:p>
        </w:tc>
        <w:tc>
          <w:tcPr>
            <w:tcW w:w="0" w:type="auto"/>
            <w:tcBorders>
              <w:top w:val="nil"/>
              <w:left w:val="nil"/>
              <w:bottom w:val="nil"/>
              <w:right w:val="nil"/>
            </w:tcBorders>
            <w:noWrap/>
            <w:vAlign w:val="bottom"/>
            <w:hideMark/>
          </w:tcPr>
          <w:p w14:paraId="47A972C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-0,077*</w:t>
            </w:r>
          </w:p>
        </w:tc>
        <w:tc>
          <w:tcPr>
            <w:tcW w:w="0" w:type="auto"/>
            <w:tcBorders>
              <w:top w:val="nil"/>
              <w:left w:val="nil"/>
              <w:bottom w:val="nil"/>
              <w:right w:val="nil"/>
            </w:tcBorders>
            <w:noWrap/>
            <w:vAlign w:val="bottom"/>
            <w:hideMark/>
          </w:tcPr>
          <w:p w14:paraId="4AA5B89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-0,057*</w:t>
            </w:r>
          </w:p>
        </w:tc>
        <w:tc>
          <w:tcPr>
            <w:tcW w:w="0" w:type="auto"/>
            <w:tcBorders>
              <w:top w:val="nil"/>
              <w:left w:val="nil"/>
              <w:bottom w:val="nil"/>
              <w:right w:val="nil"/>
            </w:tcBorders>
            <w:noWrap/>
            <w:vAlign w:val="bottom"/>
            <w:hideMark/>
          </w:tcPr>
          <w:p w14:paraId="52A6CFA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-0,098*</w:t>
            </w:r>
          </w:p>
        </w:tc>
        <w:tc>
          <w:tcPr>
            <w:tcW w:w="0" w:type="auto"/>
            <w:tcBorders>
              <w:top w:val="nil"/>
              <w:left w:val="nil"/>
              <w:bottom w:val="nil"/>
              <w:right w:val="nil"/>
            </w:tcBorders>
            <w:noWrap/>
            <w:vAlign w:val="bottom"/>
            <w:hideMark/>
          </w:tcPr>
          <w:p w14:paraId="6478CA8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-0,080*</w:t>
            </w:r>
          </w:p>
        </w:tc>
        <w:tc>
          <w:tcPr>
            <w:tcW w:w="0" w:type="auto"/>
            <w:tcBorders>
              <w:top w:val="nil"/>
              <w:left w:val="nil"/>
              <w:bottom w:val="nil"/>
              <w:right w:val="nil"/>
            </w:tcBorders>
            <w:noWrap/>
            <w:vAlign w:val="bottom"/>
            <w:hideMark/>
          </w:tcPr>
          <w:p w14:paraId="08FE71D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-0,090*</w:t>
            </w:r>
          </w:p>
        </w:tc>
        <w:tc>
          <w:tcPr>
            <w:tcW w:w="0" w:type="auto"/>
            <w:tcBorders>
              <w:top w:val="nil"/>
              <w:left w:val="nil"/>
              <w:bottom w:val="nil"/>
              <w:right w:val="nil"/>
            </w:tcBorders>
            <w:noWrap/>
            <w:vAlign w:val="bottom"/>
            <w:hideMark/>
          </w:tcPr>
          <w:p w14:paraId="2462F67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-0,079*</w:t>
            </w:r>
          </w:p>
        </w:tc>
        <w:tc>
          <w:tcPr>
            <w:tcW w:w="0" w:type="auto"/>
            <w:tcBorders>
              <w:top w:val="nil"/>
              <w:left w:val="nil"/>
              <w:bottom w:val="nil"/>
              <w:right w:val="nil"/>
            </w:tcBorders>
            <w:noWrap/>
            <w:vAlign w:val="bottom"/>
            <w:hideMark/>
          </w:tcPr>
          <w:p w14:paraId="039507A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-0,060*</w:t>
            </w:r>
          </w:p>
        </w:tc>
        <w:tc>
          <w:tcPr>
            <w:tcW w:w="0" w:type="auto"/>
            <w:tcBorders>
              <w:top w:val="nil"/>
              <w:left w:val="nil"/>
              <w:bottom w:val="nil"/>
              <w:right w:val="single" w:sz="4" w:space="0" w:color="auto"/>
            </w:tcBorders>
            <w:noWrap/>
            <w:vAlign w:val="bottom"/>
            <w:hideMark/>
          </w:tcPr>
          <w:p w14:paraId="0753206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-0,036*</w:t>
            </w:r>
          </w:p>
        </w:tc>
      </w:tr>
      <w:tr w:rsidR="00C967F6" w14:paraId="1509DB65" w14:textId="77777777" w:rsidTr="00C967F6">
        <w:trPr>
          <w:trHeight w:val="300"/>
        </w:trPr>
        <w:tc>
          <w:tcPr>
            <w:tcW w:w="0" w:type="auto"/>
            <w:tcBorders>
              <w:top w:val="nil"/>
              <w:left w:val="single" w:sz="4" w:space="0" w:color="auto"/>
              <w:bottom w:val="nil"/>
              <w:right w:val="nil"/>
            </w:tcBorders>
            <w:noWrap/>
            <w:vAlign w:val="bottom"/>
            <w:hideMark/>
          </w:tcPr>
          <w:p w14:paraId="4D167980"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Sudeste-RG</w:t>
            </w:r>
          </w:p>
        </w:tc>
        <w:tc>
          <w:tcPr>
            <w:tcW w:w="0" w:type="auto"/>
            <w:tcBorders>
              <w:top w:val="nil"/>
              <w:left w:val="nil"/>
              <w:bottom w:val="nil"/>
              <w:right w:val="nil"/>
            </w:tcBorders>
            <w:noWrap/>
            <w:vAlign w:val="bottom"/>
            <w:hideMark/>
          </w:tcPr>
          <w:p w14:paraId="723FF9F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0,038*</w:t>
            </w:r>
          </w:p>
        </w:tc>
        <w:tc>
          <w:tcPr>
            <w:tcW w:w="0" w:type="auto"/>
            <w:tcBorders>
              <w:top w:val="nil"/>
              <w:left w:val="nil"/>
              <w:bottom w:val="nil"/>
              <w:right w:val="nil"/>
            </w:tcBorders>
            <w:noWrap/>
            <w:vAlign w:val="bottom"/>
            <w:hideMark/>
          </w:tcPr>
          <w:p w14:paraId="1B656A1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0,031*</w:t>
            </w:r>
          </w:p>
        </w:tc>
        <w:tc>
          <w:tcPr>
            <w:tcW w:w="0" w:type="auto"/>
            <w:tcBorders>
              <w:top w:val="nil"/>
              <w:left w:val="nil"/>
              <w:bottom w:val="nil"/>
              <w:right w:val="nil"/>
            </w:tcBorders>
            <w:noWrap/>
            <w:vAlign w:val="bottom"/>
            <w:hideMark/>
          </w:tcPr>
          <w:p w14:paraId="1CA4142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-0,002</w:t>
            </w:r>
          </w:p>
        </w:tc>
        <w:tc>
          <w:tcPr>
            <w:tcW w:w="0" w:type="auto"/>
            <w:tcBorders>
              <w:top w:val="nil"/>
              <w:left w:val="nil"/>
              <w:bottom w:val="nil"/>
              <w:right w:val="nil"/>
            </w:tcBorders>
            <w:noWrap/>
            <w:vAlign w:val="bottom"/>
            <w:hideMark/>
          </w:tcPr>
          <w:p w14:paraId="5DA6ED0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0,031*</w:t>
            </w:r>
          </w:p>
        </w:tc>
        <w:tc>
          <w:tcPr>
            <w:tcW w:w="0" w:type="auto"/>
            <w:tcBorders>
              <w:top w:val="nil"/>
              <w:left w:val="nil"/>
              <w:bottom w:val="nil"/>
              <w:right w:val="nil"/>
            </w:tcBorders>
            <w:noWrap/>
            <w:vAlign w:val="bottom"/>
            <w:hideMark/>
          </w:tcPr>
          <w:p w14:paraId="67E0B20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0,009*</w:t>
            </w:r>
          </w:p>
        </w:tc>
        <w:tc>
          <w:tcPr>
            <w:tcW w:w="0" w:type="auto"/>
            <w:tcBorders>
              <w:top w:val="nil"/>
              <w:left w:val="nil"/>
              <w:bottom w:val="nil"/>
              <w:right w:val="nil"/>
            </w:tcBorders>
            <w:noWrap/>
            <w:vAlign w:val="bottom"/>
            <w:hideMark/>
          </w:tcPr>
          <w:p w14:paraId="3219EFF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0,046*</w:t>
            </w:r>
          </w:p>
        </w:tc>
        <w:tc>
          <w:tcPr>
            <w:tcW w:w="0" w:type="auto"/>
            <w:tcBorders>
              <w:top w:val="nil"/>
              <w:left w:val="nil"/>
              <w:bottom w:val="nil"/>
              <w:right w:val="nil"/>
            </w:tcBorders>
            <w:noWrap/>
            <w:vAlign w:val="bottom"/>
            <w:hideMark/>
          </w:tcPr>
          <w:p w14:paraId="2817862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0,064*</w:t>
            </w:r>
          </w:p>
        </w:tc>
        <w:tc>
          <w:tcPr>
            <w:tcW w:w="0" w:type="auto"/>
            <w:tcBorders>
              <w:top w:val="nil"/>
              <w:left w:val="nil"/>
              <w:bottom w:val="nil"/>
              <w:right w:val="single" w:sz="4" w:space="0" w:color="auto"/>
            </w:tcBorders>
            <w:noWrap/>
            <w:vAlign w:val="bottom"/>
            <w:hideMark/>
          </w:tcPr>
          <w:p w14:paraId="2982ABE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0,059*</w:t>
            </w:r>
          </w:p>
        </w:tc>
      </w:tr>
      <w:tr w:rsidR="00C967F6" w14:paraId="475A090B" w14:textId="77777777" w:rsidTr="00C967F6">
        <w:trPr>
          <w:trHeight w:val="300"/>
        </w:trPr>
        <w:tc>
          <w:tcPr>
            <w:tcW w:w="0" w:type="auto"/>
            <w:gridSpan w:val="9"/>
            <w:tcBorders>
              <w:top w:val="nil"/>
              <w:left w:val="single" w:sz="4" w:space="0" w:color="auto"/>
              <w:bottom w:val="nil"/>
              <w:right w:val="single" w:sz="4" w:space="0" w:color="auto"/>
            </w:tcBorders>
            <w:noWrap/>
            <w:vAlign w:val="bottom"/>
            <w:hideMark/>
          </w:tcPr>
          <w:p w14:paraId="36326BB0"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Ensino Formal</w:t>
            </w:r>
          </w:p>
        </w:tc>
      </w:tr>
      <w:tr w:rsidR="00C967F6" w14:paraId="7525562A" w14:textId="77777777" w:rsidTr="00C967F6">
        <w:trPr>
          <w:trHeight w:val="300"/>
        </w:trPr>
        <w:tc>
          <w:tcPr>
            <w:tcW w:w="0" w:type="auto"/>
            <w:tcBorders>
              <w:top w:val="nil"/>
              <w:left w:val="single" w:sz="4" w:space="0" w:color="auto"/>
              <w:bottom w:val="nil"/>
              <w:right w:val="nil"/>
            </w:tcBorders>
            <w:noWrap/>
            <w:vAlign w:val="bottom"/>
            <w:hideMark/>
          </w:tcPr>
          <w:p w14:paraId="6419B71F"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Fundamental I</w:t>
            </w:r>
          </w:p>
        </w:tc>
        <w:tc>
          <w:tcPr>
            <w:tcW w:w="0" w:type="auto"/>
            <w:tcBorders>
              <w:top w:val="nil"/>
              <w:left w:val="nil"/>
              <w:bottom w:val="nil"/>
              <w:right w:val="nil"/>
            </w:tcBorders>
            <w:noWrap/>
            <w:vAlign w:val="bottom"/>
            <w:hideMark/>
          </w:tcPr>
          <w:p w14:paraId="49930F1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0,077*</w:t>
            </w:r>
          </w:p>
        </w:tc>
        <w:tc>
          <w:tcPr>
            <w:tcW w:w="0" w:type="auto"/>
            <w:tcBorders>
              <w:top w:val="nil"/>
              <w:left w:val="nil"/>
              <w:bottom w:val="nil"/>
              <w:right w:val="nil"/>
            </w:tcBorders>
            <w:noWrap/>
            <w:vAlign w:val="bottom"/>
            <w:hideMark/>
          </w:tcPr>
          <w:p w14:paraId="29B664E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-0,052*</w:t>
            </w:r>
          </w:p>
        </w:tc>
        <w:tc>
          <w:tcPr>
            <w:tcW w:w="0" w:type="auto"/>
            <w:tcBorders>
              <w:top w:val="nil"/>
              <w:left w:val="nil"/>
              <w:bottom w:val="nil"/>
              <w:right w:val="nil"/>
            </w:tcBorders>
            <w:noWrap/>
            <w:vAlign w:val="bottom"/>
            <w:hideMark/>
          </w:tcPr>
          <w:p w14:paraId="5549EEA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0,154*</w:t>
            </w:r>
          </w:p>
        </w:tc>
        <w:tc>
          <w:tcPr>
            <w:tcW w:w="0" w:type="auto"/>
            <w:tcBorders>
              <w:top w:val="nil"/>
              <w:left w:val="nil"/>
              <w:bottom w:val="nil"/>
              <w:right w:val="nil"/>
            </w:tcBorders>
            <w:noWrap/>
            <w:vAlign w:val="bottom"/>
            <w:hideMark/>
          </w:tcPr>
          <w:p w14:paraId="105626E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0,129*</w:t>
            </w:r>
          </w:p>
        </w:tc>
        <w:tc>
          <w:tcPr>
            <w:tcW w:w="0" w:type="auto"/>
            <w:tcBorders>
              <w:top w:val="nil"/>
              <w:left w:val="nil"/>
              <w:bottom w:val="nil"/>
              <w:right w:val="nil"/>
            </w:tcBorders>
            <w:noWrap/>
            <w:vAlign w:val="bottom"/>
            <w:hideMark/>
          </w:tcPr>
          <w:p w14:paraId="541E833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0,128*</w:t>
            </w:r>
          </w:p>
        </w:tc>
        <w:tc>
          <w:tcPr>
            <w:tcW w:w="0" w:type="auto"/>
            <w:tcBorders>
              <w:top w:val="nil"/>
              <w:left w:val="nil"/>
              <w:bottom w:val="nil"/>
              <w:right w:val="nil"/>
            </w:tcBorders>
            <w:noWrap/>
            <w:vAlign w:val="bottom"/>
            <w:hideMark/>
          </w:tcPr>
          <w:p w14:paraId="319DC4E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0,119*</w:t>
            </w:r>
          </w:p>
        </w:tc>
        <w:tc>
          <w:tcPr>
            <w:tcW w:w="0" w:type="auto"/>
            <w:tcBorders>
              <w:top w:val="nil"/>
              <w:left w:val="nil"/>
              <w:bottom w:val="nil"/>
              <w:right w:val="nil"/>
            </w:tcBorders>
            <w:noWrap/>
            <w:vAlign w:val="bottom"/>
            <w:hideMark/>
          </w:tcPr>
          <w:p w14:paraId="0C96C00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0,083*</w:t>
            </w:r>
          </w:p>
        </w:tc>
        <w:tc>
          <w:tcPr>
            <w:tcW w:w="0" w:type="auto"/>
            <w:tcBorders>
              <w:top w:val="nil"/>
              <w:left w:val="nil"/>
              <w:bottom w:val="nil"/>
              <w:right w:val="single" w:sz="4" w:space="0" w:color="auto"/>
            </w:tcBorders>
            <w:noWrap/>
            <w:vAlign w:val="bottom"/>
            <w:hideMark/>
          </w:tcPr>
          <w:p w14:paraId="0E51DA0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0,074*</w:t>
            </w:r>
          </w:p>
        </w:tc>
      </w:tr>
      <w:tr w:rsidR="00C967F6" w14:paraId="360F28FD" w14:textId="77777777" w:rsidTr="00C967F6">
        <w:trPr>
          <w:trHeight w:val="300"/>
        </w:trPr>
        <w:tc>
          <w:tcPr>
            <w:tcW w:w="0" w:type="auto"/>
            <w:tcBorders>
              <w:top w:val="nil"/>
              <w:left w:val="single" w:sz="4" w:space="0" w:color="auto"/>
              <w:bottom w:val="nil"/>
              <w:right w:val="nil"/>
            </w:tcBorders>
            <w:noWrap/>
            <w:vAlign w:val="bottom"/>
            <w:hideMark/>
          </w:tcPr>
          <w:p w14:paraId="3467887D"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Fundamental II</w:t>
            </w:r>
          </w:p>
        </w:tc>
        <w:tc>
          <w:tcPr>
            <w:tcW w:w="0" w:type="auto"/>
            <w:tcBorders>
              <w:top w:val="nil"/>
              <w:left w:val="nil"/>
              <w:bottom w:val="nil"/>
              <w:right w:val="nil"/>
            </w:tcBorders>
            <w:noWrap/>
            <w:vAlign w:val="bottom"/>
            <w:hideMark/>
          </w:tcPr>
          <w:p w14:paraId="02EBE76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0,172*</w:t>
            </w:r>
          </w:p>
        </w:tc>
        <w:tc>
          <w:tcPr>
            <w:tcW w:w="0" w:type="auto"/>
            <w:tcBorders>
              <w:top w:val="nil"/>
              <w:left w:val="nil"/>
              <w:bottom w:val="nil"/>
              <w:right w:val="nil"/>
            </w:tcBorders>
            <w:noWrap/>
            <w:vAlign w:val="bottom"/>
            <w:hideMark/>
          </w:tcPr>
          <w:p w14:paraId="2F17F7B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0,074*</w:t>
            </w:r>
          </w:p>
        </w:tc>
        <w:tc>
          <w:tcPr>
            <w:tcW w:w="0" w:type="auto"/>
            <w:tcBorders>
              <w:top w:val="nil"/>
              <w:left w:val="nil"/>
              <w:bottom w:val="nil"/>
              <w:right w:val="nil"/>
            </w:tcBorders>
            <w:noWrap/>
            <w:vAlign w:val="bottom"/>
            <w:hideMark/>
          </w:tcPr>
          <w:p w14:paraId="4585DC0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0,244*</w:t>
            </w:r>
          </w:p>
        </w:tc>
        <w:tc>
          <w:tcPr>
            <w:tcW w:w="0" w:type="auto"/>
            <w:tcBorders>
              <w:top w:val="nil"/>
              <w:left w:val="nil"/>
              <w:bottom w:val="nil"/>
              <w:right w:val="nil"/>
            </w:tcBorders>
            <w:noWrap/>
            <w:vAlign w:val="bottom"/>
            <w:hideMark/>
          </w:tcPr>
          <w:p w14:paraId="3B57C9A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0,226*</w:t>
            </w:r>
          </w:p>
        </w:tc>
        <w:tc>
          <w:tcPr>
            <w:tcW w:w="0" w:type="auto"/>
            <w:tcBorders>
              <w:top w:val="nil"/>
              <w:left w:val="nil"/>
              <w:bottom w:val="nil"/>
              <w:right w:val="nil"/>
            </w:tcBorders>
            <w:noWrap/>
            <w:vAlign w:val="bottom"/>
            <w:hideMark/>
          </w:tcPr>
          <w:p w14:paraId="31DFA08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0,209*</w:t>
            </w:r>
          </w:p>
        </w:tc>
        <w:tc>
          <w:tcPr>
            <w:tcW w:w="0" w:type="auto"/>
            <w:tcBorders>
              <w:top w:val="nil"/>
              <w:left w:val="nil"/>
              <w:bottom w:val="nil"/>
              <w:right w:val="nil"/>
            </w:tcBorders>
            <w:noWrap/>
            <w:vAlign w:val="bottom"/>
            <w:hideMark/>
          </w:tcPr>
          <w:p w14:paraId="6B1D150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0,186*</w:t>
            </w:r>
          </w:p>
        </w:tc>
        <w:tc>
          <w:tcPr>
            <w:tcW w:w="0" w:type="auto"/>
            <w:tcBorders>
              <w:top w:val="nil"/>
              <w:left w:val="nil"/>
              <w:bottom w:val="nil"/>
              <w:right w:val="nil"/>
            </w:tcBorders>
            <w:noWrap/>
            <w:vAlign w:val="bottom"/>
            <w:hideMark/>
          </w:tcPr>
          <w:p w14:paraId="55BBC4A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0,147*</w:t>
            </w:r>
          </w:p>
        </w:tc>
        <w:tc>
          <w:tcPr>
            <w:tcW w:w="0" w:type="auto"/>
            <w:tcBorders>
              <w:top w:val="nil"/>
              <w:left w:val="nil"/>
              <w:bottom w:val="nil"/>
              <w:right w:val="single" w:sz="4" w:space="0" w:color="auto"/>
            </w:tcBorders>
            <w:noWrap/>
            <w:vAlign w:val="bottom"/>
            <w:hideMark/>
          </w:tcPr>
          <w:p w14:paraId="1F73BC6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0,125*</w:t>
            </w:r>
          </w:p>
        </w:tc>
      </w:tr>
      <w:tr w:rsidR="00C967F6" w14:paraId="57248356" w14:textId="77777777" w:rsidTr="00C967F6">
        <w:trPr>
          <w:trHeight w:val="300"/>
        </w:trPr>
        <w:tc>
          <w:tcPr>
            <w:tcW w:w="0" w:type="auto"/>
            <w:tcBorders>
              <w:top w:val="nil"/>
              <w:left w:val="single" w:sz="4" w:space="0" w:color="auto"/>
              <w:bottom w:val="nil"/>
              <w:right w:val="nil"/>
            </w:tcBorders>
            <w:noWrap/>
            <w:vAlign w:val="bottom"/>
            <w:hideMark/>
          </w:tcPr>
          <w:p w14:paraId="7EA43185"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Médio Incompleto</w:t>
            </w:r>
          </w:p>
        </w:tc>
        <w:tc>
          <w:tcPr>
            <w:tcW w:w="0" w:type="auto"/>
            <w:tcBorders>
              <w:top w:val="nil"/>
              <w:left w:val="nil"/>
              <w:bottom w:val="nil"/>
              <w:right w:val="nil"/>
            </w:tcBorders>
            <w:noWrap/>
            <w:vAlign w:val="bottom"/>
            <w:hideMark/>
          </w:tcPr>
          <w:p w14:paraId="7C0CC3A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0,225*</w:t>
            </w:r>
          </w:p>
        </w:tc>
        <w:tc>
          <w:tcPr>
            <w:tcW w:w="0" w:type="auto"/>
            <w:tcBorders>
              <w:top w:val="nil"/>
              <w:left w:val="nil"/>
              <w:bottom w:val="nil"/>
              <w:right w:val="nil"/>
            </w:tcBorders>
            <w:noWrap/>
            <w:vAlign w:val="bottom"/>
            <w:hideMark/>
          </w:tcPr>
          <w:p w14:paraId="10BC00E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0,200*</w:t>
            </w:r>
          </w:p>
        </w:tc>
        <w:tc>
          <w:tcPr>
            <w:tcW w:w="0" w:type="auto"/>
            <w:tcBorders>
              <w:top w:val="nil"/>
              <w:left w:val="nil"/>
              <w:bottom w:val="nil"/>
              <w:right w:val="nil"/>
            </w:tcBorders>
            <w:noWrap/>
            <w:vAlign w:val="bottom"/>
            <w:hideMark/>
          </w:tcPr>
          <w:p w14:paraId="177B0F7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0,336*</w:t>
            </w:r>
          </w:p>
        </w:tc>
        <w:tc>
          <w:tcPr>
            <w:tcW w:w="0" w:type="auto"/>
            <w:tcBorders>
              <w:top w:val="nil"/>
              <w:left w:val="nil"/>
              <w:bottom w:val="nil"/>
              <w:right w:val="nil"/>
            </w:tcBorders>
            <w:noWrap/>
            <w:vAlign w:val="bottom"/>
            <w:hideMark/>
          </w:tcPr>
          <w:p w14:paraId="670CD32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0,292*</w:t>
            </w:r>
          </w:p>
        </w:tc>
        <w:tc>
          <w:tcPr>
            <w:tcW w:w="0" w:type="auto"/>
            <w:tcBorders>
              <w:top w:val="nil"/>
              <w:left w:val="nil"/>
              <w:bottom w:val="nil"/>
              <w:right w:val="nil"/>
            </w:tcBorders>
            <w:noWrap/>
            <w:vAlign w:val="bottom"/>
            <w:hideMark/>
          </w:tcPr>
          <w:p w14:paraId="720E066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0,253*</w:t>
            </w:r>
          </w:p>
        </w:tc>
        <w:tc>
          <w:tcPr>
            <w:tcW w:w="0" w:type="auto"/>
            <w:tcBorders>
              <w:top w:val="nil"/>
              <w:left w:val="nil"/>
              <w:bottom w:val="nil"/>
              <w:right w:val="nil"/>
            </w:tcBorders>
            <w:noWrap/>
            <w:vAlign w:val="bottom"/>
            <w:hideMark/>
          </w:tcPr>
          <w:p w14:paraId="1F18082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0,209*</w:t>
            </w:r>
          </w:p>
        </w:tc>
        <w:tc>
          <w:tcPr>
            <w:tcW w:w="0" w:type="auto"/>
            <w:tcBorders>
              <w:top w:val="nil"/>
              <w:left w:val="nil"/>
              <w:bottom w:val="nil"/>
              <w:right w:val="nil"/>
            </w:tcBorders>
            <w:noWrap/>
            <w:vAlign w:val="bottom"/>
            <w:hideMark/>
          </w:tcPr>
          <w:p w14:paraId="77FD107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0,163*</w:t>
            </w:r>
          </w:p>
        </w:tc>
        <w:tc>
          <w:tcPr>
            <w:tcW w:w="0" w:type="auto"/>
            <w:tcBorders>
              <w:top w:val="nil"/>
              <w:left w:val="nil"/>
              <w:bottom w:val="nil"/>
              <w:right w:val="single" w:sz="4" w:space="0" w:color="auto"/>
            </w:tcBorders>
            <w:noWrap/>
            <w:vAlign w:val="bottom"/>
            <w:hideMark/>
          </w:tcPr>
          <w:p w14:paraId="426C7DD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0,135*</w:t>
            </w:r>
          </w:p>
        </w:tc>
      </w:tr>
      <w:tr w:rsidR="00C967F6" w14:paraId="5F745EC8" w14:textId="77777777" w:rsidTr="00C967F6">
        <w:trPr>
          <w:trHeight w:val="300"/>
        </w:trPr>
        <w:tc>
          <w:tcPr>
            <w:tcW w:w="0" w:type="auto"/>
            <w:tcBorders>
              <w:top w:val="nil"/>
              <w:left w:val="single" w:sz="4" w:space="0" w:color="auto"/>
              <w:bottom w:val="nil"/>
              <w:right w:val="nil"/>
            </w:tcBorders>
            <w:noWrap/>
            <w:vAlign w:val="bottom"/>
            <w:hideMark/>
          </w:tcPr>
          <w:p w14:paraId="2ECF591A"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Médio Completo</w:t>
            </w:r>
          </w:p>
        </w:tc>
        <w:tc>
          <w:tcPr>
            <w:tcW w:w="0" w:type="auto"/>
            <w:tcBorders>
              <w:top w:val="nil"/>
              <w:left w:val="nil"/>
              <w:bottom w:val="nil"/>
              <w:right w:val="nil"/>
            </w:tcBorders>
            <w:noWrap/>
            <w:vAlign w:val="bottom"/>
            <w:hideMark/>
          </w:tcPr>
          <w:p w14:paraId="639A12A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0,399*</w:t>
            </w:r>
          </w:p>
        </w:tc>
        <w:tc>
          <w:tcPr>
            <w:tcW w:w="0" w:type="auto"/>
            <w:tcBorders>
              <w:top w:val="nil"/>
              <w:left w:val="nil"/>
              <w:bottom w:val="nil"/>
              <w:right w:val="nil"/>
            </w:tcBorders>
            <w:noWrap/>
            <w:vAlign w:val="bottom"/>
            <w:hideMark/>
          </w:tcPr>
          <w:p w14:paraId="28C9C90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0,410*</w:t>
            </w:r>
          </w:p>
        </w:tc>
        <w:tc>
          <w:tcPr>
            <w:tcW w:w="0" w:type="auto"/>
            <w:tcBorders>
              <w:top w:val="nil"/>
              <w:left w:val="nil"/>
              <w:bottom w:val="nil"/>
              <w:right w:val="nil"/>
            </w:tcBorders>
            <w:noWrap/>
            <w:vAlign w:val="bottom"/>
            <w:hideMark/>
          </w:tcPr>
          <w:p w14:paraId="6032459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0,545*</w:t>
            </w:r>
          </w:p>
        </w:tc>
        <w:tc>
          <w:tcPr>
            <w:tcW w:w="0" w:type="auto"/>
            <w:tcBorders>
              <w:top w:val="nil"/>
              <w:left w:val="nil"/>
              <w:bottom w:val="nil"/>
              <w:right w:val="nil"/>
            </w:tcBorders>
            <w:noWrap/>
            <w:vAlign w:val="bottom"/>
            <w:hideMark/>
          </w:tcPr>
          <w:p w14:paraId="03A4C49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0,491*</w:t>
            </w:r>
          </w:p>
        </w:tc>
        <w:tc>
          <w:tcPr>
            <w:tcW w:w="0" w:type="auto"/>
            <w:tcBorders>
              <w:top w:val="nil"/>
              <w:left w:val="nil"/>
              <w:bottom w:val="nil"/>
              <w:right w:val="nil"/>
            </w:tcBorders>
            <w:noWrap/>
            <w:vAlign w:val="bottom"/>
            <w:hideMark/>
          </w:tcPr>
          <w:p w14:paraId="6315BB2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0,425*</w:t>
            </w:r>
          </w:p>
        </w:tc>
        <w:tc>
          <w:tcPr>
            <w:tcW w:w="0" w:type="auto"/>
            <w:tcBorders>
              <w:top w:val="nil"/>
              <w:left w:val="nil"/>
              <w:bottom w:val="nil"/>
              <w:right w:val="nil"/>
            </w:tcBorders>
            <w:noWrap/>
            <w:vAlign w:val="bottom"/>
            <w:hideMark/>
          </w:tcPr>
          <w:p w14:paraId="53BA98A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0,373*</w:t>
            </w:r>
          </w:p>
        </w:tc>
        <w:tc>
          <w:tcPr>
            <w:tcW w:w="0" w:type="auto"/>
            <w:tcBorders>
              <w:top w:val="nil"/>
              <w:left w:val="nil"/>
              <w:bottom w:val="nil"/>
              <w:right w:val="nil"/>
            </w:tcBorders>
            <w:noWrap/>
            <w:vAlign w:val="bottom"/>
            <w:hideMark/>
          </w:tcPr>
          <w:p w14:paraId="387ECFF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0,317*</w:t>
            </w:r>
          </w:p>
        </w:tc>
        <w:tc>
          <w:tcPr>
            <w:tcW w:w="0" w:type="auto"/>
            <w:tcBorders>
              <w:top w:val="nil"/>
              <w:left w:val="nil"/>
              <w:bottom w:val="nil"/>
              <w:right w:val="single" w:sz="4" w:space="0" w:color="auto"/>
            </w:tcBorders>
            <w:noWrap/>
            <w:vAlign w:val="bottom"/>
            <w:hideMark/>
          </w:tcPr>
          <w:p w14:paraId="73FD821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0,283*</w:t>
            </w:r>
          </w:p>
        </w:tc>
      </w:tr>
      <w:tr w:rsidR="00C967F6" w14:paraId="22E07655" w14:textId="77777777" w:rsidTr="00C967F6">
        <w:trPr>
          <w:trHeight w:val="300"/>
        </w:trPr>
        <w:tc>
          <w:tcPr>
            <w:tcW w:w="0" w:type="auto"/>
            <w:tcBorders>
              <w:top w:val="nil"/>
              <w:left w:val="single" w:sz="4" w:space="0" w:color="auto"/>
              <w:bottom w:val="nil"/>
              <w:right w:val="nil"/>
            </w:tcBorders>
            <w:noWrap/>
            <w:vAlign w:val="bottom"/>
            <w:hideMark/>
          </w:tcPr>
          <w:p w14:paraId="0E6501F1"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Superior Incompleto</w:t>
            </w:r>
          </w:p>
        </w:tc>
        <w:tc>
          <w:tcPr>
            <w:tcW w:w="0" w:type="auto"/>
            <w:tcBorders>
              <w:top w:val="nil"/>
              <w:left w:val="nil"/>
              <w:bottom w:val="nil"/>
              <w:right w:val="nil"/>
            </w:tcBorders>
            <w:noWrap/>
            <w:vAlign w:val="bottom"/>
            <w:hideMark/>
          </w:tcPr>
          <w:p w14:paraId="5408218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0,683*</w:t>
            </w:r>
          </w:p>
        </w:tc>
        <w:tc>
          <w:tcPr>
            <w:tcW w:w="0" w:type="auto"/>
            <w:tcBorders>
              <w:top w:val="nil"/>
              <w:left w:val="nil"/>
              <w:bottom w:val="nil"/>
              <w:right w:val="nil"/>
            </w:tcBorders>
            <w:noWrap/>
            <w:vAlign w:val="bottom"/>
            <w:hideMark/>
          </w:tcPr>
          <w:p w14:paraId="56FA89D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0,734*</w:t>
            </w:r>
          </w:p>
        </w:tc>
        <w:tc>
          <w:tcPr>
            <w:tcW w:w="0" w:type="auto"/>
            <w:tcBorders>
              <w:top w:val="nil"/>
              <w:left w:val="nil"/>
              <w:bottom w:val="nil"/>
              <w:right w:val="nil"/>
            </w:tcBorders>
            <w:noWrap/>
            <w:vAlign w:val="bottom"/>
            <w:hideMark/>
          </w:tcPr>
          <w:p w14:paraId="6485C7A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0,831*</w:t>
            </w:r>
          </w:p>
        </w:tc>
        <w:tc>
          <w:tcPr>
            <w:tcW w:w="0" w:type="auto"/>
            <w:tcBorders>
              <w:top w:val="nil"/>
              <w:left w:val="nil"/>
              <w:bottom w:val="nil"/>
              <w:right w:val="nil"/>
            </w:tcBorders>
            <w:noWrap/>
            <w:vAlign w:val="bottom"/>
            <w:hideMark/>
          </w:tcPr>
          <w:p w14:paraId="7B4847D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0,809*</w:t>
            </w:r>
          </w:p>
        </w:tc>
        <w:tc>
          <w:tcPr>
            <w:tcW w:w="0" w:type="auto"/>
            <w:tcBorders>
              <w:top w:val="nil"/>
              <w:left w:val="nil"/>
              <w:bottom w:val="nil"/>
              <w:right w:val="nil"/>
            </w:tcBorders>
            <w:noWrap/>
            <w:vAlign w:val="bottom"/>
            <w:hideMark/>
          </w:tcPr>
          <w:p w14:paraId="1EFA34C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0,727*</w:t>
            </w:r>
          </w:p>
        </w:tc>
        <w:tc>
          <w:tcPr>
            <w:tcW w:w="0" w:type="auto"/>
            <w:tcBorders>
              <w:top w:val="nil"/>
              <w:left w:val="nil"/>
              <w:bottom w:val="nil"/>
              <w:right w:val="nil"/>
            </w:tcBorders>
            <w:noWrap/>
            <w:vAlign w:val="bottom"/>
            <w:hideMark/>
          </w:tcPr>
          <w:p w14:paraId="7FC8101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0,657*</w:t>
            </w:r>
          </w:p>
        </w:tc>
        <w:tc>
          <w:tcPr>
            <w:tcW w:w="0" w:type="auto"/>
            <w:tcBorders>
              <w:top w:val="nil"/>
              <w:left w:val="nil"/>
              <w:bottom w:val="nil"/>
              <w:right w:val="nil"/>
            </w:tcBorders>
            <w:noWrap/>
            <w:vAlign w:val="bottom"/>
            <w:hideMark/>
          </w:tcPr>
          <w:p w14:paraId="391EDD2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0,549*</w:t>
            </w:r>
          </w:p>
        </w:tc>
        <w:tc>
          <w:tcPr>
            <w:tcW w:w="0" w:type="auto"/>
            <w:tcBorders>
              <w:top w:val="nil"/>
              <w:left w:val="nil"/>
              <w:bottom w:val="nil"/>
              <w:right w:val="single" w:sz="4" w:space="0" w:color="auto"/>
            </w:tcBorders>
            <w:noWrap/>
            <w:vAlign w:val="bottom"/>
            <w:hideMark/>
          </w:tcPr>
          <w:p w14:paraId="70164EF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0,491*</w:t>
            </w:r>
          </w:p>
        </w:tc>
      </w:tr>
      <w:tr w:rsidR="00C967F6" w14:paraId="3643098D" w14:textId="77777777" w:rsidTr="00C967F6">
        <w:trPr>
          <w:trHeight w:val="300"/>
        </w:trPr>
        <w:tc>
          <w:tcPr>
            <w:tcW w:w="0" w:type="auto"/>
            <w:tcBorders>
              <w:top w:val="nil"/>
              <w:left w:val="single" w:sz="4" w:space="0" w:color="auto"/>
              <w:bottom w:val="nil"/>
              <w:right w:val="nil"/>
            </w:tcBorders>
            <w:noWrap/>
            <w:vAlign w:val="bottom"/>
            <w:hideMark/>
          </w:tcPr>
          <w:p w14:paraId="182866A2"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Superior Completo</w:t>
            </w:r>
          </w:p>
        </w:tc>
        <w:tc>
          <w:tcPr>
            <w:tcW w:w="0" w:type="auto"/>
            <w:tcBorders>
              <w:top w:val="nil"/>
              <w:left w:val="nil"/>
              <w:bottom w:val="nil"/>
              <w:right w:val="nil"/>
            </w:tcBorders>
            <w:noWrap/>
            <w:vAlign w:val="bottom"/>
            <w:hideMark/>
          </w:tcPr>
          <w:p w14:paraId="60F620D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1,038*</w:t>
            </w:r>
          </w:p>
        </w:tc>
        <w:tc>
          <w:tcPr>
            <w:tcW w:w="0" w:type="auto"/>
            <w:tcBorders>
              <w:top w:val="nil"/>
              <w:left w:val="nil"/>
              <w:bottom w:val="nil"/>
              <w:right w:val="nil"/>
            </w:tcBorders>
            <w:noWrap/>
            <w:vAlign w:val="bottom"/>
            <w:hideMark/>
          </w:tcPr>
          <w:p w14:paraId="5D5645E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0,970*</w:t>
            </w:r>
          </w:p>
        </w:tc>
        <w:tc>
          <w:tcPr>
            <w:tcW w:w="0" w:type="auto"/>
            <w:tcBorders>
              <w:top w:val="nil"/>
              <w:left w:val="nil"/>
              <w:bottom w:val="nil"/>
              <w:right w:val="nil"/>
            </w:tcBorders>
            <w:noWrap/>
            <w:vAlign w:val="bottom"/>
            <w:hideMark/>
          </w:tcPr>
          <w:p w14:paraId="51C45D1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1,970*</w:t>
            </w:r>
          </w:p>
        </w:tc>
        <w:tc>
          <w:tcPr>
            <w:tcW w:w="0" w:type="auto"/>
            <w:tcBorders>
              <w:top w:val="nil"/>
              <w:left w:val="nil"/>
              <w:bottom w:val="nil"/>
              <w:right w:val="nil"/>
            </w:tcBorders>
            <w:noWrap/>
            <w:vAlign w:val="bottom"/>
            <w:hideMark/>
          </w:tcPr>
          <w:p w14:paraId="7533778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1,154*</w:t>
            </w:r>
          </w:p>
        </w:tc>
        <w:tc>
          <w:tcPr>
            <w:tcW w:w="0" w:type="auto"/>
            <w:tcBorders>
              <w:top w:val="nil"/>
              <w:left w:val="nil"/>
              <w:bottom w:val="nil"/>
              <w:right w:val="nil"/>
            </w:tcBorders>
            <w:noWrap/>
            <w:vAlign w:val="bottom"/>
            <w:hideMark/>
          </w:tcPr>
          <w:p w14:paraId="527E00F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1,083*</w:t>
            </w:r>
          </w:p>
        </w:tc>
        <w:tc>
          <w:tcPr>
            <w:tcW w:w="0" w:type="auto"/>
            <w:tcBorders>
              <w:top w:val="nil"/>
              <w:left w:val="nil"/>
              <w:bottom w:val="nil"/>
              <w:right w:val="nil"/>
            </w:tcBorders>
            <w:noWrap/>
            <w:vAlign w:val="bottom"/>
            <w:hideMark/>
          </w:tcPr>
          <w:p w14:paraId="46F6D15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1,028*</w:t>
            </w:r>
          </w:p>
        </w:tc>
        <w:tc>
          <w:tcPr>
            <w:tcW w:w="0" w:type="auto"/>
            <w:tcBorders>
              <w:top w:val="nil"/>
              <w:left w:val="nil"/>
              <w:bottom w:val="nil"/>
              <w:right w:val="nil"/>
            </w:tcBorders>
            <w:noWrap/>
            <w:vAlign w:val="bottom"/>
            <w:hideMark/>
          </w:tcPr>
          <w:p w14:paraId="05C94AB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0,949*</w:t>
            </w:r>
          </w:p>
        </w:tc>
        <w:tc>
          <w:tcPr>
            <w:tcW w:w="0" w:type="auto"/>
            <w:tcBorders>
              <w:top w:val="nil"/>
              <w:left w:val="nil"/>
              <w:bottom w:val="nil"/>
              <w:right w:val="single" w:sz="4" w:space="0" w:color="auto"/>
            </w:tcBorders>
            <w:noWrap/>
            <w:vAlign w:val="bottom"/>
            <w:hideMark/>
          </w:tcPr>
          <w:p w14:paraId="16437DE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0,884*</w:t>
            </w:r>
          </w:p>
        </w:tc>
      </w:tr>
      <w:tr w:rsidR="00C967F6" w14:paraId="50ACC9BC" w14:textId="77777777" w:rsidTr="00C967F6">
        <w:trPr>
          <w:trHeight w:val="300"/>
        </w:trPr>
        <w:tc>
          <w:tcPr>
            <w:tcW w:w="0" w:type="auto"/>
            <w:tcBorders>
              <w:top w:val="nil"/>
              <w:left w:val="single" w:sz="4" w:space="0" w:color="auto"/>
              <w:bottom w:val="nil"/>
              <w:right w:val="nil"/>
            </w:tcBorders>
            <w:noWrap/>
            <w:vAlign w:val="bottom"/>
            <w:hideMark/>
          </w:tcPr>
          <w:p w14:paraId="44D223E4"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Pós-Graduação</w:t>
            </w:r>
          </w:p>
        </w:tc>
        <w:tc>
          <w:tcPr>
            <w:tcW w:w="0" w:type="auto"/>
            <w:tcBorders>
              <w:top w:val="nil"/>
              <w:left w:val="nil"/>
              <w:bottom w:val="nil"/>
              <w:right w:val="nil"/>
            </w:tcBorders>
            <w:noWrap/>
            <w:vAlign w:val="bottom"/>
            <w:hideMark/>
          </w:tcPr>
          <w:p w14:paraId="4CB7A81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1,456*</w:t>
            </w:r>
          </w:p>
        </w:tc>
        <w:tc>
          <w:tcPr>
            <w:tcW w:w="0" w:type="auto"/>
            <w:tcBorders>
              <w:top w:val="nil"/>
              <w:left w:val="nil"/>
              <w:bottom w:val="nil"/>
              <w:right w:val="nil"/>
            </w:tcBorders>
            <w:noWrap/>
            <w:vAlign w:val="bottom"/>
            <w:hideMark/>
          </w:tcPr>
          <w:p w14:paraId="3CB9228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0" w:type="auto"/>
            <w:tcBorders>
              <w:top w:val="nil"/>
              <w:left w:val="nil"/>
              <w:bottom w:val="nil"/>
              <w:right w:val="nil"/>
            </w:tcBorders>
            <w:noWrap/>
            <w:vAlign w:val="bottom"/>
            <w:hideMark/>
          </w:tcPr>
          <w:p w14:paraId="256F2FA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0" w:type="auto"/>
            <w:tcBorders>
              <w:top w:val="nil"/>
              <w:left w:val="nil"/>
              <w:bottom w:val="nil"/>
              <w:right w:val="nil"/>
            </w:tcBorders>
            <w:noWrap/>
            <w:vAlign w:val="bottom"/>
            <w:hideMark/>
          </w:tcPr>
          <w:p w14:paraId="3584B90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1,628*</w:t>
            </w:r>
          </w:p>
        </w:tc>
        <w:tc>
          <w:tcPr>
            <w:tcW w:w="0" w:type="auto"/>
            <w:tcBorders>
              <w:top w:val="nil"/>
              <w:left w:val="nil"/>
              <w:bottom w:val="nil"/>
              <w:right w:val="nil"/>
            </w:tcBorders>
            <w:noWrap/>
            <w:vAlign w:val="bottom"/>
            <w:hideMark/>
          </w:tcPr>
          <w:p w14:paraId="3FBABEF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1,523*</w:t>
            </w:r>
          </w:p>
        </w:tc>
        <w:tc>
          <w:tcPr>
            <w:tcW w:w="0" w:type="auto"/>
            <w:tcBorders>
              <w:top w:val="nil"/>
              <w:left w:val="nil"/>
              <w:bottom w:val="nil"/>
              <w:right w:val="nil"/>
            </w:tcBorders>
            <w:noWrap/>
            <w:vAlign w:val="bottom"/>
            <w:hideMark/>
          </w:tcPr>
          <w:p w14:paraId="7A3E0FB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1,414*</w:t>
            </w:r>
          </w:p>
        </w:tc>
        <w:tc>
          <w:tcPr>
            <w:tcW w:w="0" w:type="auto"/>
            <w:tcBorders>
              <w:top w:val="nil"/>
              <w:left w:val="nil"/>
              <w:bottom w:val="nil"/>
              <w:right w:val="nil"/>
            </w:tcBorders>
            <w:noWrap/>
            <w:vAlign w:val="bottom"/>
            <w:hideMark/>
          </w:tcPr>
          <w:p w14:paraId="39EE63A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1,396*</w:t>
            </w:r>
          </w:p>
        </w:tc>
        <w:tc>
          <w:tcPr>
            <w:tcW w:w="0" w:type="auto"/>
            <w:tcBorders>
              <w:top w:val="nil"/>
              <w:left w:val="nil"/>
              <w:bottom w:val="nil"/>
              <w:right w:val="single" w:sz="4" w:space="0" w:color="auto"/>
            </w:tcBorders>
            <w:noWrap/>
            <w:vAlign w:val="bottom"/>
            <w:hideMark/>
          </w:tcPr>
          <w:p w14:paraId="09710A8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1,345*</w:t>
            </w:r>
          </w:p>
        </w:tc>
      </w:tr>
      <w:tr w:rsidR="00C967F6" w14:paraId="6E50D65E" w14:textId="77777777" w:rsidTr="00C967F6">
        <w:trPr>
          <w:trHeight w:val="300"/>
        </w:trPr>
        <w:tc>
          <w:tcPr>
            <w:tcW w:w="0" w:type="auto"/>
            <w:gridSpan w:val="9"/>
            <w:tcBorders>
              <w:top w:val="nil"/>
              <w:left w:val="single" w:sz="4" w:space="0" w:color="auto"/>
              <w:bottom w:val="nil"/>
              <w:right w:val="single" w:sz="4" w:space="0" w:color="auto"/>
            </w:tcBorders>
            <w:noWrap/>
            <w:vAlign w:val="bottom"/>
            <w:hideMark/>
          </w:tcPr>
          <w:p w14:paraId="0FC40718"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Tempo no emprego</w:t>
            </w:r>
          </w:p>
        </w:tc>
      </w:tr>
      <w:tr w:rsidR="00C967F6" w14:paraId="3B119762" w14:textId="77777777" w:rsidTr="00C967F6">
        <w:trPr>
          <w:trHeight w:val="300"/>
        </w:trPr>
        <w:tc>
          <w:tcPr>
            <w:tcW w:w="0" w:type="auto"/>
            <w:tcBorders>
              <w:top w:val="nil"/>
              <w:left w:val="single" w:sz="4" w:space="0" w:color="auto"/>
              <w:bottom w:val="nil"/>
              <w:right w:val="nil"/>
            </w:tcBorders>
            <w:noWrap/>
            <w:vAlign w:val="bottom"/>
            <w:hideMark/>
          </w:tcPr>
          <w:p w14:paraId="2E3CCC43"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 a 3 anos</w:t>
            </w:r>
          </w:p>
        </w:tc>
        <w:tc>
          <w:tcPr>
            <w:tcW w:w="0" w:type="auto"/>
            <w:tcBorders>
              <w:top w:val="nil"/>
              <w:left w:val="nil"/>
              <w:bottom w:val="nil"/>
              <w:right w:val="nil"/>
            </w:tcBorders>
            <w:noWrap/>
            <w:vAlign w:val="bottom"/>
            <w:hideMark/>
          </w:tcPr>
          <w:p w14:paraId="6D74E06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0,106*</w:t>
            </w:r>
          </w:p>
        </w:tc>
        <w:tc>
          <w:tcPr>
            <w:tcW w:w="0" w:type="auto"/>
            <w:tcBorders>
              <w:top w:val="nil"/>
              <w:left w:val="nil"/>
              <w:bottom w:val="nil"/>
              <w:right w:val="nil"/>
            </w:tcBorders>
            <w:noWrap/>
            <w:vAlign w:val="bottom"/>
            <w:hideMark/>
          </w:tcPr>
          <w:p w14:paraId="37D1ED3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0,137*</w:t>
            </w:r>
          </w:p>
        </w:tc>
        <w:tc>
          <w:tcPr>
            <w:tcW w:w="0" w:type="auto"/>
            <w:tcBorders>
              <w:top w:val="nil"/>
              <w:left w:val="nil"/>
              <w:bottom w:val="nil"/>
              <w:right w:val="nil"/>
            </w:tcBorders>
            <w:noWrap/>
            <w:vAlign w:val="bottom"/>
            <w:hideMark/>
          </w:tcPr>
          <w:p w14:paraId="0B86458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0,111*</w:t>
            </w:r>
          </w:p>
        </w:tc>
        <w:tc>
          <w:tcPr>
            <w:tcW w:w="0" w:type="auto"/>
            <w:tcBorders>
              <w:top w:val="nil"/>
              <w:left w:val="nil"/>
              <w:bottom w:val="nil"/>
              <w:right w:val="nil"/>
            </w:tcBorders>
            <w:noWrap/>
            <w:vAlign w:val="bottom"/>
            <w:hideMark/>
          </w:tcPr>
          <w:p w14:paraId="3925164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0,099*</w:t>
            </w:r>
          </w:p>
        </w:tc>
        <w:tc>
          <w:tcPr>
            <w:tcW w:w="0" w:type="auto"/>
            <w:tcBorders>
              <w:top w:val="nil"/>
              <w:left w:val="nil"/>
              <w:bottom w:val="nil"/>
              <w:right w:val="nil"/>
            </w:tcBorders>
            <w:noWrap/>
            <w:vAlign w:val="bottom"/>
            <w:hideMark/>
          </w:tcPr>
          <w:p w14:paraId="5ED4159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0,109*</w:t>
            </w:r>
          </w:p>
        </w:tc>
        <w:tc>
          <w:tcPr>
            <w:tcW w:w="0" w:type="auto"/>
            <w:tcBorders>
              <w:top w:val="nil"/>
              <w:left w:val="nil"/>
              <w:bottom w:val="nil"/>
              <w:right w:val="nil"/>
            </w:tcBorders>
            <w:noWrap/>
            <w:vAlign w:val="bottom"/>
            <w:hideMark/>
          </w:tcPr>
          <w:p w14:paraId="094CB7A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0,113*</w:t>
            </w:r>
          </w:p>
        </w:tc>
        <w:tc>
          <w:tcPr>
            <w:tcW w:w="0" w:type="auto"/>
            <w:tcBorders>
              <w:top w:val="nil"/>
              <w:left w:val="nil"/>
              <w:bottom w:val="nil"/>
              <w:right w:val="nil"/>
            </w:tcBorders>
            <w:noWrap/>
            <w:vAlign w:val="bottom"/>
            <w:hideMark/>
          </w:tcPr>
          <w:p w14:paraId="5F2ED9F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0,101*</w:t>
            </w:r>
          </w:p>
        </w:tc>
        <w:tc>
          <w:tcPr>
            <w:tcW w:w="0" w:type="auto"/>
            <w:tcBorders>
              <w:top w:val="nil"/>
              <w:left w:val="nil"/>
              <w:bottom w:val="nil"/>
              <w:right w:val="single" w:sz="4" w:space="0" w:color="auto"/>
            </w:tcBorders>
            <w:noWrap/>
            <w:vAlign w:val="bottom"/>
            <w:hideMark/>
          </w:tcPr>
          <w:p w14:paraId="236D819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0,062*</w:t>
            </w:r>
          </w:p>
        </w:tc>
      </w:tr>
      <w:tr w:rsidR="00C967F6" w14:paraId="08781045" w14:textId="77777777" w:rsidTr="00C967F6">
        <w:trPr>
          <w:trHeight w:val="300"/>
        </w:trPr>
        <w:tc>
          <w:tcPr>
            <w:tcW w:w="0" w:type="auto"/>
            <w:tcBorders>
              <w:top w:val="nil"/>
              <w:left w:val="single" w:sz="4" w:space="0" w:color="auto"/>
              <w:bottom w:val="nil"/>
              <w:right w:val="nil"/>
            </w:tcBorders>
            <w:noWrap/>
            <w:vAlign w:val="bottom"/>
            <w:hideMark/>
          </w:tcPr>
          <w:p w14:paraId="2CE96B69"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 a 5 anos</w:t>
            </w:r>
          </w:p>
        </w:tc>
        <w:tc>
          <w:tcPr>
            <w:tcW w:w="0" w:type="auto"/>
            <w:tcBorders>
              <w:top w:val="nil"/>
              <w:left w:val="nil"/>
              <w:bottom w:val="nil"/>
              <w:right w:val="nil"/>
            </w:tcBorders>
            <w:noWrap/>
            <w:vAlign w:val="bottom"/>
            <w:hideMark/>
          </w:tcPr>
          <w:p w14:paraId="11CA68B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0,220*</w:t>
            </w:r>
          </w:p>
        </w:tc>
        <w:tc>
          <w:tcPr>
            <w:tcW w:w="0" w:type="auto"/>
            <w:tcBorders>
              <w:top w:val="nil"/>
              <w:left w:val="nil"/>
              <w:bottom w:val="nil"/>
              <w:right w:val="nil"/>
            </w:tcBorders>
            <w:noWrap/>
            <w:vAlign w:val="bottom"/>
            <w:hideMark/>
          </w:tcPr>
          <w:p w14:paraId="1D1F4E6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0,254*</w:t>
            </w:r>
          </w:p>
        </w:tc>
        <w:tc>
          <w:tcPr>
            <w:tcW w:w="0" w:type="auto"/>
            <w:tcBorders>
              <w:top w:val="nil"/>
              <w:left w:val="nil"/>
              <w:bottom w:val="nil"/>
              <w:right w:val="nil"/>
            </w:tcBorders>
            <w:noWrap/>
            <w:vAlign w:val="bottom"/>
            <w:hideMark/>
          </w:tcPr>
          <w:p w14:paraId="55109CA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0,220*</w:t>
            </w:r>
          </w:p>
        </w:tc>
        <w:tc>
          <w:tcPr>
            <w:tcW w:w="0" w:type="auto"/>
            <w:tcBorders>
              <w:top w:val="nil"/>
              <w:left w:val="nil"/>
              <w:bottom w:val="nil"/>
              <w:right w:val="nil"/>
            </w:tcBorders>
            <w:noWrap/>
            <w:vAlign w:val="bottom"/>
            <w:hideMark/>
          </w:tcPr>
          <w:p w14:paraId="7957034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0,187*</w:t>
            </w:r>
          </w:p>
        </w:tc>
        <w:tc>
          <w:tcPr>
            <w:tcW w:w="0" w:type="auto"/>
            <w:tcBorders>
              <w:top w:val="nil"/>
              <w:left w:val="nil"/>
              <w:bottom w:val="nil"/>
              <w:right w:val="nil"/>
            </w:tcBorders>
            <w:noWrap/>
            <w:vAlign w:val="bottom"/>
            <w:hideMark/>
          </w:tcPr>
          <w:p w14:paraId="1A253BE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0,236*</w:t>
            </w:r>
          </w:p>
        </w:tc>
        <w:tc>
          <w:tcPr>
            <w:tcW w:w="0" w:type="auto"/>
            <w:tcBorders>
              <w:top w:val="nil"/>
              <w:left w:val="nil"/>
              <w:bottom w:val="nil"/>
              <w:right w:val="nil"/>
            </w:tcBorders>
            <w:noWrap/>
            <w:vAlign w:val="bottom"/>
            <w:hideMark/>
          </w:tcPr>
          <w:p w14:paraId="217875B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0,226*</w:t>
            </w:r>
          </w:p>
        </w:tc>
        <w:tc>
          <w:tcPr>
            <w:tcW w:w="0" w:type="auto"/>
            <w:tcBorders>
              <w:top w:val="nil"/>
              <w:left w:val="nil"/>
              <w:bottom w:val="nil"/>
              <w:right w:val="nil"/>
            </w:tcBorders>
            <w:noWrap/>
            <w:vAlign w:val="bottom"/>
            <w:hideMark/>
          </w:tcPr>
          <w:p w14:paraId="2548FB6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0,212*</w:t>
            </w:r>
          </w:p>
        </w:tc>
        <w:tc>
          <w:tcPr>
            <w:tcW w:w="0" w:type="auto"/>
            <w:tcBorders>
              <w:top w:val="nil"/>
              <w:left w:val="nil"/>
              <w:bottom w:val="nil"/>
              <w:right w:val="single" w:sz="4" w:space="0" w:color="auto"/>
            </w:tcBorders>
            <w:noWrap/>
            <w:vAlign w:val="bottom"/>
            <w:hideMark/>
          </w:tcPr>
          <w:p w14:paraId="7BE12C9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0,180*</w:t>
            </w:r>
          </w:p>
        </w:tc>
      </w:tr>
      <w:tr w:rsidR="00C967F6" w14:paraId="6D657369" w14:textId="77777777" w:rsidTr="00C967F6">
        <w:trPr>
          <w:trHeight w:val="300"/>
        </w:trPr>
        <w:tc>
          <w:tcPr>
            <w:tcW w:w="0" w:type="auto"/>
            <w:tcBorders>
              <w:top w:val="nil"/>
              <w:left w:val="single" w:sz="4" w:space="0" w:color="auto"/>
              <w:bottom w:val="nil"/>
              <w:right w:val="nil"/>
            </w:tcBorders>
            <w:noWrap/>
            <w:vAlign w:val="bottom"/>
            <w:hideMark/>
          </w:tcPr>
          <w:p w14:paraId="0114ED21"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 a 10 ano</w:t>
            </w:r>
          </w:p>
        </w:tc>
        <w:tc>
          <w:tcPr>
            <w:tcW w:w="0" w:type="auto"/>
            <w:tcBorders>
              <w:top w:val="nil"/>
              <w:left w:val="nil"/>
              <w:bottom w:val="nil"/>
              <w:right w:val="nil"/>
            </w:tcBorders>
            <w:noWrap/>
            <w:vAlign w:val="bottom"/>
            <w:hideMark/>
          </w:tcPr>
          <w:p w14:paraId="1AD9B81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0,338*</w:t>
            </w:r>
          </w:p>
        </w:tc>
        <w:tc>
          <w:tcPr>
            <w:tcW w:w="0" w:type="auto"/>
            <w:tcBorders>
              <w:top w:val="nil"/>
              <w:left w:val="nil"/>
              <w:bottom w:val="nil"/>
              <w:right w:val="nil"/>
            </w:tcBorders>
            <w:noWrap/>
            <w:vAlign w:val="bottom"/>
            <w:hideMark/>
          </w:tcPr>
          <w:p w14:paraId="2D7857E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0,360*</w:t>
            </w:r>
          </w:p>
        </w:tc>
        <w:tc>
          <w:tcPr>
            <w:tcW w:w="0" w:type="auto"/>
            <w:tcBorders>
              <w:top w:val="nil"/>
              <w:left w:val="nil"/>
              <w:bottom w:val="nil"/>
              <w:right w:val="nil"/>
            </w:tcBorders>
            <w:noWrap/>
            <w:vAlign w:val="bottom"/>
            <w:hideMark/>
          </w:tcPr>
          <w:p w14:paraId="7CD0D61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0,362*</w:t>
            </w:r>
          </w:p>
        </w:tc>
        <w:tc>
          <w:tcPr>
            <w:tcW w:w="0" w:type="auto"/>
            <w:tcBorders>
              <w:top w:val="nil"/>
              <w:left w:val="nil"/>
              <w:bottom w:val="nil"/>
              <w:right w:val="nil"/>
            </w:tcBorders>
            <w:noWrap/>
            <w:vAlign w:val="bottom"/>
            <w:hideMark/>
          </w:tcPr>
          <w:p w14:paraId="72B286D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0,331*</w:t>
            </w:r>
          </w:p>
        </w:tc>
        <w:tc>
          <w:tcPr>
            <w:tcW w:w="0" w:type="auto"/>
            <w:tcBorders>
              <w:top w:val="nil"/>
              <w:left w:val="nil"/>
              <w:bottom w:val="nil"/>
              <w:right w:val="nil"/>
            </w:tcBorders>
            <w:noWrap/>
            <w:vAlign w:val="bottom"/>
            <w:hideMark/>
          </w:tcPr>
          <w:p w14:paraId="45EBAAD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0,314*</w:t>
            </w:r>
          </w:p>
        </w:tc>
        <w:tc>
          <w:tcPr>
            <w:tcW w:w="0" w:type="auto"/>
            <w:tcBorders>
              <w:top w:val="nil"/>
              <w:left w:val="nil"/>
              <w:bottom w:val="nil"/>
              <w:right w:val="nil"/>
            </w:tcBorders>
            <w:noWrap/>
            <w:vAlign w:val="bottom"/>
            <w:hideMark/>
          </w:tcPr>
          <w:p w14:paraId="7D04DD2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0,350*</w:t>
            </w:r>
          </w:p>
        </w:tc>
        <w:tc>
          <w:tcPr>
            <w:tcW w:w="0" w:type="auto"/>
            <w:tcBorders>
              <w:top w:val="nil"/>
              <w:left w:val="nil"/>
              <w:bottom w:val="nil"/>
              <w:right w:val="nil"/>
            </w:tcBorders>
            <w:noWrap/>
            <w:vAlign w:val="bottom"/>
            <w:hideMark/>
          </w:tcPr>
          <w:p w14:paraId="3EA4269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0,339*</w:t>
            </w:r>
          </w:p>
        </w:tc>
        <w:tc>
          <w:tcPr>
            <w:tcW w:w="0" w:type="auto"/>
            <w:tcBorders>
              <w:top w:val="nil"/>
              <w:left w:val="nil"/>
              <w:bottom w:val="nil"/>
              <w:right w:val="single" w:sz="4" w:space="0" w:color="auto"/>
            </w:tcBorders>
            <w:noWrap/>
            <w:vAlign w:val="bottom"/>
            <w:hideMark/>
          </w:tcPr>
          <w:p w14:paraId="3A691C0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0,303*</w:t>
            </w:r>
          </w:p>
        </w:tc>
      </w:tr>
      <w:tr w:rsidR="00C967F6" w14:paraId="0C235010" w14:textId="77777777" w:rsidTr="00C967F6">
        <w:trPr>
          <w:trHeight w:val="300"/>
        </w:trPr>
        <w:tc>
          <w:tcPr>
            <w:tcW w:w="0" w:type="auto"/>
            <w:tcBorders>
              <w:top w:val="nil"/>
              <w:left w:val="single" w:sz="4" w:space="0" w:color="auto"/>
              <w:bottom w:val="single" w:sz="4" w:space="0" w:color="auto"/>
              <w:right w:val="nil"/>
            </w:tcBorders>
            <w:noWrap/>
            <w:vAlign w:val="bottom"/>
            <w:hideMark/>
          </w:tcPr>
          <w:p w14:paraId="680983CB"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 ou mais anos</w:t>
            </w:r>
          </w:p>
        </w:tc>
        <w:tc>
          <w:tcPr>
            <w:tcW w:w="0" w:type="auto"/>
            <w:tcBorders>
              <w:top w:val="nil"/>
              <w:left w:val="nil"/>
              <w:bottom w:val="single" w:sz="4" w:space="0" w:color="auto"/>
              <w:right w:val="nil"/>
            </w:tcBorders>
            <w:noWrap/>
            <w:vAlign w:val="bottom"/>
            <w:hideMark/>
          </w:tcPr>
          <w:p w14:paraId="5011FE4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0,634*</w:t>
            </w:r>
          </w:p>
        </w:tc>
        <w:tc>
          <w:tcPr>
            <w:tcW w:w="0" w:type="auto"/>
            <w:tcBorders>
              <w:top w:val="nil"/>
              <w:left w:val="nil"/>
              <w:bottom w:val="single" w:sz="4" w:space="0" w:color="auto"/>
              <w:right w:val="nil"/>
            </w:tcBorders>
            <w:noWrap/>
            <w:vAlign w:val="bottom"/>
            <w:hideMark/>
          </w:tcPr>
          <w:p w14:paraId="5D55BDF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0,657*</w:t>
            </w:r>
          </w:p>
        </w:tc>
        <w:tc>
          <w:tcPr>
            <w:tcW w:w="0" w:type="auto"/>
            <w:tcBorders>
              <w:top w:val="nil"/>
              <w:left w:val="nil"/>
              <w:bottom w:val="single" w:sz="4" w:space="0" w:color="auto"/>
              <w:right w:val="nil"/>
            </w:tcBorders>
            <w:noWrap/>
            <w:vAlign w:val="bottom"/>
            <w:hideMark/>
          </w:tcPr>
          <w:p w14:paraId="3D659F7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0,653*</w:t>
            </w:r>
          </w:p>
        </w:tc>
        <w:tc>
          <w:tcPr>
            <w:tcW w:w="0" w:type="auto"/>
            <w:tcBorders>
              <w:top w:val="nil"/>
              <w:left w:val="nil"/>
              <w:bottom w:val="single" w:sz="4" w:space="0" w:color="auto"/>
              <w:right w:val="nil"/>
            </w:tcBorders>
            <w:noWrap/>
            <w:vAlign w:val="bottom"/>
            <w:hideMark/>
          </w:tcPr>
          <w:p w14:paraId="7EA2B5C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0,615*</w:t>
            </w:r>
          </w:p>
        </w:tc>
        <w:tc>
          <w:tcPr>
            <w:tcW w:w="0" w:type="auto"/>
            <w:tcBorders>
              <w:top w:val="nil"/>
              <w:left w:val="nil"/>
              <w:bottom w:val="single" w:sz="4" w:space="0" w:color="auto"/>
              <w:right w:val="nil"/>
            </w:tcBorders>
            <w:noWrap/>
            <w:vAlign w:val="bottom"/>
            <w:hideMark/>
          </w:tcPr>
          <w:p w14:paraId="4324533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0,645*</w:t>
            </w:r>
          </w:p>
        </w:tc>
        <w:tc>
          <w:tcPr>
            <w:tcW w:w="0" w:type="auto"/>
            <w:tcBorders>
              <w:top w:val="nil"/>
              <w:left w:val="nil"/>
              <w:bottom w:val="single" w:sz="4" w:space="0" w:color="auto"/>
              <w:right w:val="nil"/>
            </w:tcBorders>
            <w:noWrap/>
            <w:vAlign w:val="bottom"/>
            <w:hideMark/>
          </w:tcPr>
          <w:p w14:paraId="6398EFD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0,634*</w:t>
            </w:r>
          </w:p>
        </w:tc>
        <w:tc>
          <w:tcPr>
            <w:tcW w:w="0" w:type="auto"/>
            <w:tcBorders>
              <w:top w:val="nil"/>
              <w:left w:val="nil"/>
              <w:bottom w:val="single" w:sz="4" w:space="0" w:color="auto"/>
              <w:right w:val="nil"/>
            </w:tcBorders>
            <w:noWrap/>
            <w:vAlign w:val="bottom"/>
            <w:hideMark/>
          </w:tcPr>
          <w:p w14:paraId="7D36184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0,634*</w:t>
            </w:r>
          </w:p>
        </w:tc>
        <w:tc>
          <w:tcPr>
            <w:tcW w:w="0" w:type="auto"/>
            <w:tcBorders>
              <w:top w:val="nil"/>
              <w:left w:val="nil"/>
              <w:bottom w:val="single" w:sz="4" w:space="0" w:color="auto"/>
              <w:right w:val="single" w:sz="4" w:space="0" w:color="auto"/>
            </w:tcBorders>
            <w:noWrap/>
            <w:vAlign w:val="bottom"/>
            <w:hideMark/>
          </w:tcPr>
          <w:p w14:paraId="1F4DF10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0,595*</w:t>
            </w:r>
          </w:p>
        </w:tc>
      </w:tr>
    </w:tbl>
    <w:p w14:paraId="41C33F18" w14:textId="4660379F" w:rsidR="00C967F6" w:rsidRDefault="00C967F6" w:rsidP="00C967F6">
      <w:pPr>
        <w:spacing w:after="0"/>
        <w:rPr>
          <w:rFonts w:ascii="Times New Roman" w:hAnsi="Times New Roman" w:cs="Times New Roman"/>
        </w:rPr>
      </w:pPr>
      <w:r>
        <w:rPr>
          <w:rFonts w:ascii="Times New Roman" w:hAnsi="Times New Roman" w:cs="Times New Roman"/>
          <w:b/>
        </w:rPr>
        <w:t>Fonte</w:t>
      </w:r>
      <w:r>
        <w:rPr>
          <w:rFonts w:ascii="Times New Roman" w:hAnsi="Times New Roman" w:cs="Times New Roman"/>
        </w:rPr>
        <w:t>: Elaborado pelos autore</w:t>
      </w:r>
      <w:r w:rsidR="00066687">
        <w:rPr>
          <w:rFonts w:ascii="Times New Roman" w:hAnsi="Times New Roman" w:cs="Times New Roman"/>
        </w:rPr>
        <w:t>s com base nos dados da RAIS-MTE</w:t>
      </w:r>
    </w:p>
    <w:p w14:paraId="7A5847EB" w14:textId="77777777" w:rsidR="00C967F6" w:rsidRDefault="00C967F6" w:rsidP="00C967F6">
      <w:pPr>
        <w:spacing w:after="0"/>
        <w:rPr>
          <w:rFonts w:ascii="Times New Roman" w:hAnsi="Times New Roman" w:cs="Times New Roman"/>
        </w:rPr>
      </w:pPr>
      <w:r>
        <w:rPr>
          <w:rFonts w:ascii="Times New Roman" w:hAnsi="Times New Roman" w:cs="Times New Roman"/>
        </w:rPr>
        <w:t>(*) significante a 0,01%</w:t>
      </w:r>
    </w:p>
    <w:p w14:paraId="430A5D03" w14:textId="3242D45E" w:rsidR="004925F0" w:rsidRDefault="004925F0" w:rsidP="00695F2A">
      <w:pPr>
        <w:spacing w:after="0" w:line="240" w:lineRule="auto"/>
        <w:jc w:val="both"/>
        <w:rPr>
          <w:rFonts w:ascii="Times New Roman" w:hAnsi="Times New Roman" w:cs="Times New Roman"/>
        </w:rPr>
      </w:pPr>
    </w:p>
    <w:p w14:paraId="48D9F0C4" w14:textId="725014DE" w:rsidR="004925F0" w:rsidRPr="00584EBA" w:rsidRDefault="00F021E5" w:rsidP="00ED6773">
      <w:pPr>
        <w:spacing w:after="0" w:line="240" w:lineRule="auto"/>
        <w:ind w:firstLine="708"/>
        <w:jc w:val="both"/>
        <w:rPr>
          <w:rFonts w:ascii="Times New Roman" w:hAnsi="Times New Roman" w:cs="Times New Roman"/>
          <w:sz w:val="24"/>
          <w:szCs w:val="24"/>
        </w:rPr>
      </w:pPr>
      <w:r w:rsidRPr="00584EBA">
        <w:rPr>
          <w:rFonts w:ascii="Times New Roman" w:hAnsi="Times New Roman" w:cs="Times New Roman"/>
          <w:sz w:val="24"/>
          <w:szCs w:val="24"/>
        </w:rPr>
        <w:t>A variável idade ao quadrado (idade^2), proxy para experiê</w:t>
      </w:r>
      <w:r w:rsidR="00ED6773">
        <w:rPr>
          <w:rFonts w:ascii="Times New Roman" w:hAnsi="Times New Roman" w:cs="Times New Roman"/>
          <w:sz w:val="24"/>
          <w:szCs w:val="24"/>
        </w:rPr>
        <w:t xml:space="preserve">ncia, apresentou sinal negativo. </w:t>
      </w:r>
      <w:r w:rsidRPr="00584EBA">
        <w:rPr>
          <w:rFonts w:ascii="Times New Roman" w:hAnsi="Times New Roman" w:cs="Times New Roman"/>
          <w:sz w:val="24"/>
          <w:szCs w:val="24"/>
        </w:rPr>
        <w:t>Espera-se que maiores níveis de experiência elevem os rendimentos oriundos do trabalho, mas esses valores crescem a taxas decrescentes.</w:t>
      </w:r>
      <w:r w:rsidR="00866B24" w:rsidRPr="00584EBA">
        <w:rPr>
          <w:rFonts w:ascii="Times New Roman" w:hAnsi="Times New Roman" w:cs="Times New Roman"/>
          <w:sz w:val="24"/>
          <w:szCs w:val="24"/>
        </w:rPr>
        <w:tab/>
      </w:r>
      <w:r w:rsidR="0096198C" w:rsidRPr="00584EBA">
        <w:rPr>
          <w:rFonts w:ascii="Times New Roman" w:hAnsi="Times New Roman" w:cs="Times New Roman"/>
          <w:sz w:val="24"/>
          <w:szCs w:val="24"/>
        </w:rPr>
        <w:t>Indivíduos</w:t>
      </w:r>
      <w:r w:rsidR="0000097B" w:rsidRPr="00584EBA">
        <w:rPr>
          <w:rFonts w:ascii="Times New Roman" w:hAnsi="Times New Roman" w:cs="Times New Roman"/>
          <w:sz w:val="24"/>
          <w:szCs w:val="24"/>
        </w:rPr>
        <w:t xml:space="preserve"> com</w:t>
      </w:r>
      <w:r w:rsidR="0096198C" w:rsidRPr="00584EBA">
        <w:rPr>
          <w:rFonts w:ascii="Times New Roman" w:hAnsi="Times New Roman" w:cs="Times New Roman"/>
          <w:sz w:val="24"/>
          <w:szCs w:val="24"/>
        </w:rPr>
        <w:t xml:space="preserve"> maior tempo de permanência no emprego possuem diferenciais de salário</w:t>
      </w:r>
      <w:r w:rsidR="00B82B84" w:rsidRPr="00584EBA">
        <w:rPr>
          <w:rFonts w:ascii="Times New Roman" w:hAnsi="Times New Roman" w:cs="Times New Roman"/>
          <w:sz w:val="24"/>
          <w:szCs w:val="24"/>
        </w:rPr>
        <w:t>s</w:t>
      </w:r>
      <w:r w:rsidR="0096198C" w:rsidRPr="00584EBA">
        <w:rPr>
          <w:rFonts w:ascii="Times New Roman" w:hAnsi="Times New Roman" w:cs="Times New Roman"/>
          <w:sz w:val="24"/>
          <w:szCs w:val="24"/>
        </w:rPr>
        <w:t xml:space="preserve"> positivos em comparação às categorias inferiores. </w:t>
      </w:r>
      <w:r w:rsidR="003B7B4F" w:rsidRPr="00584EBA">
        <w:rPr>
          <w:rFonts w:ascii="Times New Roman" w:hAnsi="Times New Roman" w:cs="Times New Roman"/>
          <w:sz w:val="24"/>
          <w:szCs w:val="24"/>
        </w:rPr>
        <w:t>Trabalhadores</w:t>
      </w:r>
      <w:r w:rsidR="00EC3EC9" w:rsidRPr="00584EBA">
        <w:rPr>
          <w:rFonts w:ascii="Times New Roman" w:hAnsi="Times New Roman" w:cs="Times New Roman"/>
          <w:sz w:val="24"/>
          <w:szCs w:val="24"/>
        </w:rPr>
        <w:t xml:space="preserve"> que</w:t>
      </w:r>
      <w:r w:rsidR="003B7B4F" w:rsidRPr="00584EBA">
        <w:rPr>
          <w:rFonts w:ascii="Times New Roman" w:hAnsi="Times New Roman" w:cs="Times New Roman"/>
          <w:sz w:val="24"/>
          <w:szCs w:val="24"/>
        </w:rPr>
        <w:t>, por exemplo,</w:t>
      </w:r>
      <w:r w:rsidR="00B82B84" w:rsidRPr="00584EBA">
        <w:rPr>
          <w:rFonts w:ascii="Times New Roman" w:hAnsi="Times New Roman" w:cs="Times New Roman"/>
          <w:sz w:val="24"/>
          <w:szCs w:val="24"/>
        </w:rPr>
        <w:t xml:space="preserve"> ocup</w:t>
      </w:r>
      <w:r w:rsidR="003B7B4F" w:rsidRPr="00584EBA">
        <w:rPr>
          <w:rFonts w:ascii="Times New Roman" w:hAnsi="Times New Roman" w:cs="Times New Roman"/>
          <w:sz w:val="24"/>
          <w:szCs w:val="24"/>
        </w:rPr>
        <w:t>a</w:t>
      </w:r>
      <w:r w:rsidR="00B82B84" w:rsidRPr="00584EBA">
        <w:rPr>
          <w:rFonts w:ascii="Times New Roman" w:hAnsi="Times New Roman" w:cs="Times New Roman"/>
          <w:sz w:val="24"/>
          <w:szCs w:val="24"/>
        </w:rPr>
        <w:t>m um posto de trabalho por um período entre 1 e 3 anos, receb</w:t>
      </w:r>
      <w:r w:rsidR="003B7B4F" w:rsidRPr="00584EBA">
        <w:rPr>
          <w:rFonts w:ascii="Times New Roman" w:hAnsi="Times New Roman" w:cs="Times New Roman"/>
          <w:sz w:val="24"/>
          <w:szCs w:val="24"/>
        </w:rPr>
        <w:t>e</w:t>
      </w:r>
      <w:r w:rsidR="00B82B84" w:rsidRPr="00584EBA">
        <w:rPr>
          <w:rFonts w:ascii="Times New Roman" w:hAnsi="Times New Roman" w:cs="Times New Roman"/>
          <w:sz w:val="24"/>
          <w:szCs w:val="24"/>
        </w:rPr>
        <w:t xml:space="preserve">m em média 10,6% a mais do que </w:t>
      </w:r>
      <w:r w:rsidR="00584EBA" w:rsidRPr="00584EBA">
        <w:rPr>
          <w:rFonts w:ascii="Times New Roman" w:hAnsi="Times New Roman" w:cs="Times New Roman"/>
          <w:sz w:val="24"/>
          <w:szCs w:val="24"/>
        </w:rPr>
        <w:t xml:space="preserve">aqueles que </w:t>
      </w:r>
      <w:r w:rsidR="003B7B4F" w:rsidRPr="00584EBA">
        <w:rPr>
          <w:rFonts w:ascii="Times New Roman" w:hAnsi="Times New Roman" w:cs="Times New Roman"/>
          <w:sz w:val="24"/>
          <w:szCs w:val="24"/>
        </w:rPr>
        <w:t>ocupam</w:t>
      </w:r>
      <w:r w:rsidR="00B82B84" w:rsidRPr="00584EBA">
        <w:rPr>
          <w:rFonts w:ascii="Times New Roman" w:hAnsi="Times New Roman" w:cs="Times New Roman"/>
          <w:sz w:val="24"/>
          <w:szCs w:val="24"/>
        </w:rPr>
        <w:t xml:space="preserve"> um emprego por menos de 1 ano (categoria de referência). </w:t>
      </w:r>
      <w:r w:rsidR="00EC3EC9" w:rsidRPr="00584EBA">
        <w:rPr>
          <w:rFonts w:ascii="Times New Roman" w:hAnsi="Times New Roman" w:cs="Times New Roman"/>
          <w:sz w:val="24"/>
          <w:szCs w:val="24"/>
        </w:rPr>
        <w:t xml:space="preserve">Diferenciais mais elevados são atribuídos para </w:t>
      </w:r>
      <w:r w:rsidR="0000097B" w:rsidRPr="00584EBA">
        <w:rPr>
          <w:rFonts w:ascii="Times New Roman" w:hAnsi="Times New Roman" w:cs="Times New Roman"/>
          <w:sz w:val="24"/>
          <w:szCs w:val="24"/>
        </w:rPr>
        <w:t>indivíduos</w:t>
      </w:r>
      <w:r w:rsidR="00EC3EC9" w:rsidRPr="00584EBA">
        <w:rPr>
          <w:rFonts w:ascii="Times New Roman" w:hAnsi="Times New Roman" w:cs="Times New Roman"/>
          <w:sz w:val="24"/>
          <w:szCs w:val="24"/>
        </w:rPr>
        <w:t xml:space="preserve"> que estejam a mais de 10 no mesmo emprego. </w:t>
      </w:r>
      <w:r w:rsidRPr="00584EBA">
        <w:rPr>
          <w:rFonts w:ascii="Times New Roman" w:hAnsi="Times New Roman" w:cs="Times New Roman"/>
          <w:sz w:val="24"/>
          <w:szCs w:val="24"/>
        </w:rPr>
        <w:t>Trabalhadores</w:t>
      </w:r>
      <w:r w:rsidR="00EC3EC9" w:rsidRPr="00584EBA">
        <w:rPr>
          <w:rFonts w:ascii="Times New Roman" w:hAnsi="Times New Roman" w:cs="Times New Roman"/>
          <w:sz w:val="24"/>
          <w:szCs w:val="24"/>
        </w:rPr>
        <w:t xml:space="preserve"> pertencen</w:t>
      </w:r>
      <w:r w:rsidRPr="00584EBA">
        <w:rPr>
          <w:rFonts w:ascii="Times New Roman" w:hAnsi="Times New Roman" w:cs="Times New Roman"/>
          <w:sz w:val="24"/>
          <w:szCs w:val="24"/>
        </w:rPr>
        <w:t xml:space="preserve">tes </w:t>
      </w:r>
      <w:r w:rsidR="00EC3EC9" w:rsidRPr="00584EBA">
        <w:rPr>
          <w:rFonts w:ascii="Times New Roman" w:hAnsi="Times New Roman" w:cs="Times New Roman"/>
          <w:sz w:val="24"/>
          <w:szCs w:val="24"/>
        </w:rPr>
        <w:t>a essa categoria recebe</w:t>
      </w:r>
      <w:r w:rsidR="00E403F2" w:rsidRPr="00584EBA">
        <w:rPr>
          <w:rFonts w:ascii="Times New Roman" w:hAnsi="Times New Roman" w:cs="Times New Roman"/>
          <w:sz w:val="24"/>
          <w:szCs w:val="24"/>
        </w:rPr>
        <w:t>m</w:t>
      </w:r>
      <w:r w:rsidR="00EC3EC9" w:rsidRPr="00584EBA">
        <w:rPr>
          <w:rFonts w:ascii="Times New Roman" w:hAnsi="Times New Roman" w:cs="Times New Roman"/>
          <w:sz w:val="24"/>
          <w:szCs w:val="24"/>
        </w:rPr>
        <w:t xml:space="preserve"> em média 29,6% (</w:t>
      </w:r>
      <w:r w:rsidR="003B7B4F" w:rsidRPr="00584EBA">
        <w:rPr>
          <w:rFonts w:ascii="Times New Roman" w:hAnsi="Times New Roman" w:cs="Times New Roman"/>
          <w:sz w:val="24"/>
          <w:szCs w:val="24"/>
        </w:rPr>
        <w:t>0,63</w:t>
      </w:r>
      <w:r w:rsidR="00EC3EC9" w:rsidRPr="00584EBA">
        <w:rPr>
          <w:rFonts w:ascii="Times New Roman" w:hAnsi="Times New Roman" w:cs="Times New Roman"/>
          <w:sz w:val="24"/>
          <w:szCs w:val="24"/>
        </w:rPr>
        <w:t xml:space="preserve">4 </w:t>
      </w:r>
      <w:r w:rsidR="003B7B4F" w:rsidRPr="00584EBA">
        <w:rPr>
          <w:rFonts w:ascii="Times New Roman" w:hAnsi="Times New Roman" w:cs="Times New Roman"/>
          <w:sz w:val="24"/>
          <w:szCs w:val="24"/>
        </w:rPr>
        <w:t>–</w:t>
      </w:r>
      <w:r w:rsidR="00EC3EC9" w:rsidRPr="00584EBA">
        <w:rPr>
          <w:rFonts w:ascii="Times New Roman" w:hAnsi="Times New Roman" w:cs="Times New Roman"/>
          <w:sz w:val="24"/>
          <w:szCs w:val="24"/>
        </w:rPr>
        <w:t xml:space="preserve"> </w:t>
      </w:r>
      <w:r w:rsidR="003B7B4F" w:rsidRPr="00584EBA">
        <w:rPr>
          <w:rFonts w:ascii="Times New Roman" w:hAnsi="Times New Roman" w:cs="Times New Roman"/>
          <w:sz w:val="24"/>
          <w:szCs w:val="24"/>
        </w:rPr>
        <w:t>0,</w:t>
      </w:r>
      <w:r w:rsidR="00EC3EC9" w:rsidRPr="00584EBA">
        <w:rPr>
          <w:rFonts w:ascii="Times New Roman" w:hAnsi="Times New Roman" w:cs="Times New Roman"/>
          <w:sz w:val="24"/>
          <w:szCs w:val="24"/>
        </w:rPr>
        <w:t>338</w:t>
      </w:r>
      <w:r w:rsidR="00B97215" w:rsidRPr="00584EBA">
        <w:rPr>
          <w:rFonts w:ascii="Times New Roman" w:hAnsi="Times New Roman" w:cs="Times New Roman"/>
          <w:sz w:val="24"/>
          <w:szCs w:val="24"/>
        </w:rPr>
        <w:t>) do que aqueles classificados na categoria imediatamente inferior (5 a 10 anos).</w:t>
      </w:r>
      <w:r w:rsidR="00EC3EC9" w:rsidRPr="00584EBA">
        <w:rPr>
          <w:rFonts w:ascii="Times New Roman" w:hAnsi="Times New Roman" w:cs="Times New Roman"/>
          <w:sz w:val="24"/>
          <w:szCs w:val="24"/>
        </w:rPr>
        <w:t xml:space="preserve"> </w:t>
      </w:r>
    </w:p>
    <w:p w14:paraId="61452A87" w14:textId="27CB0B18" w:rsidR="00BD204D" w:rsidRPr="00584EBA" w:rsidRDefault="00BD204D" w:rsidP="00695F2A">
      <w:pPr>
        <w:spacing w:after="0" w:line="240" w:lineRule="auto"/>
        <w:jc w:val="both"/>
        <w:rPr>
          <w:rFonts w:ascii="Times New Roman" w:hAnsi="Times New Roman" w:cs="Times New Roman"/>
          <w:sz w:val="24"/>
          <w:szCs w:val="24"/>
        </w:rPr>
      </w:pPr>
      <w:r w:rsidRPr="00584EBA">
        <w:rPr>
          <w:rFonts w:ascii="Times New Roman" w:hAnsi="Times New Roman" w:cs="Times New Roman"/>
          <w:sz w:val="24"/>
          <w:szCs w:val="24"/>
        </w:rPr>
        <w:tab/>
        <w:t>O modelo de dados empilhados ainda mostra que níveis mais elevados de educação formal produzem maiores rendimentos oriundos do trabalho.</w:t>
      </w:r>
      <w:r w:rsidR="00853E7D" w:rsidRPr="00584EBA">
        <w:rPr>
          <w:rFonts w:ascii="Times New Roman" w:hAnsi="Times New Roman" w:cs="Times New Roman"/>
          <w:sz w:val="24"/>
          <w:szCs w:val="24"/>
        </w:rPr>
        <w:t xml:space="preserve"> Considerando o período 2000-</w:t>
      </w:r>
      <w:r w:rsidR="00853E7D" w:rsidRPr="00584EBA">
        <w:rPr>
          <w:rFonts w:ascii="Times New Roman" w:hAnsi="Times New Roman" w:cs="Times New Roman"/>
          <w:sz w:val="24"/>
          <w:szCs w:val="24"/>
        </w:rPr>
        <w:lastRenderedPageBreak/>
        <w:t>2017, um trabalhador que tenha concluído ao menos os primeiros quatro anos do ensino fundamental (Fundamental I), receba em média 7,7% a mais do que um indivíduo classificado na categoria de referência (</w:t>
      </w:r>
      <w:r w:rsidR="003809E8" w:rsidRPr="00584EBA">
        <w:rPr>
          <w:rFonts w:ascii="Times New Roman" w:hAnsi="Times New Roman" w:cs="Times New Roman"/>
          <w:sz w:val="24"/>
          <w:szCs w:val="24"/>
        </w:rPr>
        <w:t>ausência</w:t>
      </w:r>
      <w:r w:rsidR="00853E7D" w:rsidRPr="00584EBA">
        <w:rPr>
          <w:rFonts w:ascii="Times New Roman" w:hAnsi="Times New Roman" w:cs="Times New Roman"/>
          <w:sz w:val="24"/>
          <w:szCs w:val="24"/>
        </w:rPr>
        <w:t xml:space="preserve"> e</w:t>
      </w:r>
      <w:r w:rsidR="003809E8" w:rsidRPr="00584EBA">
        <w:rPr>
          <w:rFonts w:ascii="Times New Roman" w:hAnsi="Times New Roman" w:cs="Times New Roman"/>
          <w:sz w:val="24"/>
          <w:szCs w:val="24"/>
        </w:rPr>
        <w:t>nsin</w:t>
      </w:r>
      <w:r w:rsidR="00853E7D" w:rsidRPr="00584EBA">
        <w:rPr>
          <w:rFonts w:ascii="Times New Roman" w:hAnsi="Times New Roman" w:cs="Times New Roman"/>
          <w:sz w:val="24"/>
          <w:szCs w:val="24"/>
        </w:rPr>
        <w:t>o formal).</w:t>
      </w:r>
      <w:r w:rsidR="00B83974" w:rsidRPr="00584EBA">
        <w:rPr>
          <w:rFonts w:ascii="Times New Roman" w:hAnsi="Times New Roman" w:cs="Times New Roman"/>
          <w:sz w:val="24"/>
          <w:szCs w:val="24"/>
        </w:rPr>
        <w:t xml:space="preserve"> </w:t>
      </w:r>
      <w:r w:rsidR="003B7B4F" w:rsidRPr="00584EBA">
        <w:rPr>
          <w:rFonts w:ascii="Times New Roman" w:hAnsi="Times New Roman" w:cs="Times New Roman"/>
          <w:sz w:val="24"/>
          <w:szCs w:val="24"/>
        </w:rPr>
        <w:t>Já, indivíduos com pós-graduação, recebem cerca de 41,8% a mais do que os que possuem ensino superior completo (1,45 – 1,038)</w:t>
      </w:r>
    </w:p>
    <w:p w14:paraId="31F3B167" w14:textId="51160E70" w:rsidR="00A94C19" w:rsidRPr="00584EBA" w:rsidRDefault="00986AA9" w:rsidP="00695F2A">
      <w:pPr>
        <w:spacing w:after="0" w:line="240" w:lineRule="auto"/>
        <w:ind w:firstLine="709"/>
        <w:jc w:val="both"/>
        <w:rPr>
          <w:rFonts w:ascii="Times New Roman" w:hAnsi="Times New Roman" w:cs="Times New Roman"/>
          <w:sz w:val="24"/>
          <w:szCs w:val="24"/>
        </w:rPr>
      </w:pPr>
      <w:r w:rsidRPr="00584EBA">
        <w:rPr>
          <w:rFonts w:ascii="Times New Roman" w:hAnsi="Times New Roman" w:cs="Times New Roman"/>
          <w:sz w:val="24"/>
          <w:szCs w:val="24"/>
        </w:rPr>
        <w:t>Diferenciais positivos de salário foram observados para ocupados em empregos localizados nas mesorregiões Nordeste Rio-Grandense (18,6%), Metropolitana de Porto Alegre (16,9%),</w:t>
      </w:r>
      <w:r w:rsidR="00177AA7" w:rsidRPr="00584EBA">
        <w:rPr>
          <w:rFonts w:ascii="Times New Roman" w:hAnsi="Times New Roman" w:cs="Times New Roman"/>
          <w:sz w:val="24"/>
          <w:szCs w:val="24"/>
        </w:rPr>
        <w:t xml:space="preserve"> Sudeste Rio-Grandense (3,8%) e Centro Oriental Rio-Grandense (3%) em comparação à mesorregião do Noroeste Rio-Grandense. Por outro lado,</w:t>
      </w:r>
      <w:r w:rsidR="00EE3B05" w:rsidRPr="00584EBA">
        <w:rPr>
          <w:rFonts w:ascii="Times New Roman" w:hAnsi="Times New Roman" w:cs="Times New Roman"/>
          <w:sz w:val="24"/>
          <w:szCs w:val="24"/>
        </w:rPr>
        <w:t xml:space="preserve"> as mesorregiões</w:t>
      </w:r>
      <w:r w:rsidR="00177AA7" w:rsidRPr="00584EBA">
        <w:rPr>
          <w:rFonts w:ascii="Times New Roman" w:hAnsi="Times New Roman" w:cs="Times New Roman"/>
          <w:sz w:val="24"/>
          <w:szCs w:val="24"/>
        </w:rPr>
        <w:t xml:space="preserve"> Sudoeste Rio-Grandense (-7,7%) e Centro Ocidental Rio-Grandense (-3%) </w:t>
      </w:r>
      <w:r w:rsidR="00313C20" w:rsidRPr="00584EBA">
        <w:rPr>
          <w:rFonts w:ascii="Times New Roman" w:hAnsi="Times New Roman" w:cs="Times New Roman"/>
          <w:sz w:val="24"/>
          <w:szCs w:val="24"/>
        </w:rPr>
        <w:t>apresentaram diferenciais</w:t>
      </w:r>
      <w:r w:rsidR="00177AA7" w:rsidRPr="00584EBA">
        <w:rPr>
          <w:rFonts w:ascii="Times New Roman" w:hAnsi="Times New Roman" w:cs="Times New Roman"/>
          <w:sz w:val="24"/>
          <w:szCs w:val="24"/>
        </w:rPr>
        <w:t xml:space="preserve"> de salário inferior</w:t>
      </w:r>
      <w:r w:rsidR="00313C20" w:rsidRPr="00584EBA">
        <w:rPr>
          <w:rFonts w:ascii="Times New Roman" w:hAnsi="Times New Roman" w:cs="Times New Roman"/>
          <w:sz w:val="24"/>
          <w:szCs w:val="24"/>
        </w:rPr>
        <w:t>es</w:t>
      </w:r>
      <w:r w:rsidR="00177AA7" w:rsidRPr="00584EBA">
        <w:rPr>
          <w:rFonts w:ascii="Times New Roman" w:hAnsi="Times New Roman" w:cs="Times New Roman"/>
          <w:sz w:val="24"/>
          <w:szCs w:val="24"/>
        </w:rPr>
        <w:t xml:space="preserve"> a categoria de referência.</w:t>
      </w:r>
      <w:r w:rsidR="004925F0" w:rsidRPr="00584EBA">
        <w:rPr>
          <w:rFonts w:ascii="Times New Roman" w:hAnsi="Times New Roman" w:cs="Times New Roman"/>
          <w:sz w:val="24"/>
          <w:szCs w:val="24"/>
        </w:rPr>
        <w:t xml:space="preserve"> </w:t>
      </w:r>
    </w:p>
    <w:p w14:paraId="1FC28E5F" w14:textId="2502EB10" w:rsidR="0077327E" w:rsidRPr="00836189" w:rsidRDefault="0077327E" w:rsidP="00695F2A">
      <w:pPr>
        <w:spacing w:after="0" w:line="240" w:lineRule="auto"/>
        <w:ind w:firstLine="709"/>
        <w:jc w:val="both"/>
        <w:rPr>
          <w:rFonts w:ascii="Times New Roman" w:hAnsi="Times New Roman" w:cs="Times New Roman"/>
          <w:sz w:val="24"/>
          <w:szCs w:val="24"/>
        </w:rPr>
      </w:pPr>
      <w:r w:rsidRPr="007D666E">
        <w:rPr>
          <w:rFonts w:ascii="Times New Roman" w:hAnsi="Times New Roman" w:cs="Times New Roman"/>
          <w:sz w:val="24"/>
          <w:szCs w:val="24"/>
        </w:rPr>
        <w:t xml:space="preserve">Apesar de não estarem presentes no Quadro 1, foram inseridas variáveis binárias para os anos no modelo de dados empilhados (2001 a 2017). Os coeficientes obtidos apresentaram valores temporalmente crescentes e se mostraram estatisticamente significantes segundo os </w:t>
      </w:r>
      <w:r w:rsidRPr="00836189">
        <w:rPr>
          <w:rFonts w:ascii="Times New Roman" w:hAnsi="Times New Roman" w:cs="Times New Roman"/>
          <w:sz w:val="24"/>
          <w:szCs w:val="24"/>
        </w:rPr>
        <w:t>resultados do Teste t (p&lt;=0,05)</w:t>
      </w:r>
      <w:r w:rsidR="00584EBA" w:rsidRPr="00836189">
        <w:rPr>
          <w:rFonts w:ascii="Times New Roman" w:hAnsi="Times New Roman" w:cs="Times New Roman"/>
          <w:sz w:val="24"/>
          <w:szCs w:val="24"/>
        </w:rPr>
        <w:t>.</w:t>
      </w:r>
    </w:p>
    <w:p w14:paraId="360DDA04" w14:textId="77777777" w:rsidR="007D666E" w:rsidRPr="00836189" w:rsidRDefault="007D666E" w:rsidP="00695F2A">
      <w:pPr>
        <w:spacing w:after="0" w:line="240" w:lineRule="auto"/>
        <w:ind w:firstLine="709"/>
        <w:jc w:val="both"/>
        <w:rPr>
          <w:rFonts w:ascii="Times New Roman" w:hAnsi="Times New Roman" w:cs="Times New Roman"/>
          <w:sz w:val="24"/>
          <w:szCs w:val="24"/>
        </w:rPr>
      </w:pPr>
      <w:r w:rsidRPr="00836189">
        <w:rPr>
          <w:rFonts w:ascii="Times New Roman" w:hAnsi="Times New Roman" w:cs="Times New Roman"/>
          <w:sz w:val="24"/>
          <w:szCs w:val="24"/>
        </w:rPr>
        <w:t>Os coeficientes dos modelos ajustados para anos selecionados (2003, 2006, 2009, 2012, 2015 e 2017) indicam que houve redução da desigualdade de rendimentos do mercado de trabalho do Rio Grande do Sul ao longo do tempo no que se refere a sexo e cor. No ano 2000 mulheres recebiam em média 36,6% menos do que homens. Em 2017, essa diferença foi de 27,1%. Indivíduos de cor branca tinham salários 1,3% superior a não brancos em 2009, sendo que em 2007 esse valor de diferencial positivo caiu para 0,8%.</w:t>
      </w:r>
    </w:p>
    <w:p w14:paraId="4C71951B" w14:textId="77777777" w:rsidR="007D666E" w:rsidRPr="00836189" w:rsidRDefault="007D666E" w:rsidP="00695F2A">
      <w:pPr>
        <w:spacing w:after="0" w:line="240" w:lineRule="auto"/>
        <w:ind w:firstLine="709"/>
        <w:jc w:val="both"/>
        <w:rPr>
          <w:rFonts w:ascii="Times New Roman" w:hAnsi="Times New Roman" w:cs="Times New Roman"/>
          <w:sz w:val="24"/>
          <w:szCs w:val="24"/>
        </w:rPr>
      </w:pPr>
      <w:r w:rsidRPr="00836189">
        <w:rPr>
          <w:rFonts w:ascii="Times New Roman" w:hAnsi="Times New Roman" w:cs="Times New Roman"/>
          <w:sz w:val="24"/>
          <w:szCs w:val="24"/>
        </w:rPr>
        <w:t xml:space="preserve">Categorias mais elevadas de ensino formal apresentaram remunerações mais elevadas em todos os anos. No entanto, os coeficientes indicam que as diferenças de remuneração entre as sete categorias de ensino formal e a categoria de referência (ausência de ensino formal) caíram ao longo do tempo. </w:t>
      </w:r>
    </w:p>
    <w:p w14:paraId="3C721BDA" w14:textId="77777777" w:rsidR="007D666E" w:rsidRPr="00836189" w:rsidRDefault="007D666E" w:rsidP="00695F2A">
      <w:pPr>
        <w:spacing w:after="0" w:line="240" w:lineRule="auto"/>
        <w:ind w:firstLine="709"/>
        <w:jc w:val="both"/>
        <w:rPr>
          <w:rFonts w:ascii="Times New Roman" w:hAnsi="Times New Roman" w:cs="Times New Roman"/>
          <w:sz w:val="24"/>
          <w:szCs w:val="24"/>
        </w:rPr>
      </w:pPr>
      <w:r w:rsidRPr="00836189">
        <w:rPr>
          <w:rFonts w:ascii="Times New Roman" w:hAnsi="Times New Roman" w:cs="Times New Roman"/>
          <w:sz w:val="24"/>
          <w:szCs w:val="24"/>
        </w:rPr>
        <w:t xml:space="preserve">Houve um crescimento do diferencial salários a favor de indivíduos que possuem ensino superior completo em comparação a aqueles que possuem ensino superior incompleto. Em 2000 essa diferença era de 23,6% (0,97-0,734) e em 2017 de 39,3% (0,884-0,491). O resultados também sugerem uma estabilidade do diferencial entre pós-graduados e trabalhadores com ensino superior completo ao longo dos anos. </w:t>
      </w:r>
    </w:p>
    <w:p w14:paraId="00A35B62" w14:textId="77777777" w:rsidR="007D666E" w:rsidRDefault="007D666E" w:rsidP="00695F2A">
      <w:pPr>
        <w:spacing w:after="0" w:line="240" w:lineRule="auto"/>
        <w:ind w:firstLine="709"/>
        <w:jc w:val="both"/>
        <w:rPr>
          <w:rFonts w:ascii="Times New Roman" w:hAnsi="Times New Roman" w:cs="Times New Roman"/>
          <w:sz w:val="24"/>
          <w:szCs w:val="24"/>
        </w:rPr>
      </w:pPr>
      <w:r w:rsidRPr="00836189">
        <w:rPr>
          <w:rFonts w:ascii="Times New Roman" w:hAnsi="Times New Roman" w:cs="Times New Roman"/>
          <w:sz w:val="24"/>
          <w:szCs w:val="24"/>
        </w:rPr>
        <w:t>Por outro lado, observa-se uma queda do diferencial de rendimentos entre categorias de ensino formal não citadas anteriormente quando comparadas vis-à-vis com categorias imediatamente inferiores. Em outras palavra, houve uma queda no diferencial de salário ao longo dos anos ao se comparar as categorias Superior Incompleto com Médio Completo, Médio Completo com Médio Incompleto, Médio Incompleto com Fundamental II e Fundamental II com Fundamental I.</w:t>
      </w:r>
    </w:p>
    <w:p w14:paraId="0A724262" w14:textId="25AF0A54" w:rsidR="00E91238" w:rsidRPr="00E91238" w:rsidRDefault="006D2714" w:rsidP="00695F2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Padrão </w:t>
      </w:r>
      <w:r w:rsidRPr="00E91238">
        <w:rPr>
          <w:rFonts w:ascii="Times New Roman" w:hAnsi="Times New Roman" w:cs="Times New Roman"/>
          <w:sz w:val="24"/>
          <w:szCs w:val="24"/>
        </w:rPr>
        <w:t>relativamente</w:t>
      </w:r>
      <w:r w:rsidR="00E91238" w:rsidRPr="00E91238">
        <w:rPr>
          <w:rFonts w:ascii="Times New Roman" w:hAnsi="Times New Roman" w:cs="Times New Roman"/>
          <w:sz w:val="24"/>
          <w:szCs w:val="24"/>
        </w:rPr>
        <w:t xml:space="preserve"> distinto foi observado para os coeficientes das variáveis binárias relacionadas ao tempo de permanência no emprego.  Houve redução da desigualdade de rendimentos quando se compara todas as categorias com a categoria de referência.  No ano 2000, indivíduos com tempo de permanência no emprego entre 3 e 5 anos recebiam em média 25,4% a mais do que aqueles que apresentavam tempo de permanência no emprego inferior a 1 ano. Em 2017, esse diferencial foi de 18%. </w:t>
      </w:r>
    </w:p>
    <w:p w14:paraId="67E338EA" w14:textId="5C696CD0" w:rsidR="00E91238" w:rsidRPr="00836189" w:rsidRDefault="00E91238" w:rsidP="00695F2A">
      <w:pPr>
        <w:spacing w:after="0" w:line="240" w:lineRule="auto"/>
        <w:ind w:firstLine="709"/>
        <w:jc w:val="both"/>
        <w:rPr>
          <w:rFonts w:ascii="Times New Roman" w:hAnsi="Times New Roman" w:cs="Times New Roman"/>
          <w:sz w:val="24"/>
          <w:szCs w:val="24"/>
        </w:rPr>
      </w:pPr>
      <w:r w:rsidRPr="00E91238">
        <w:rPr>
          <w:rFonts w:ascii="Times New Roman" w:hAnsi="Times New Roman" w:cs="Times New Roman"/>
          <w:sz w:val="24"/>
          <w:szCs w:val="24"/>
        </w:rPr>
        <w:t>No entanto, em uma comparação vis-à-vis, os resultados mostram estabilidade nos diferencias de rendimento ao se comparar as categorias “10 anos ou mais” com “5 a 10 anos”, “5 a 10 anos” com “3 a 5 anos” e “3 a 5 anos” com “1 a 3 anos”. Em 2000, um trabalhador ocupado por mais de 3 anos e por menos de 5 anos recebia 11,4% a mais do que um que indivíduo empregado por mais de 1 e por menos de 3 anos (0,22-0,106). Em 2017 essa diferença foi de 11,8% (0,18-0,062).</w:t>
      </w:r>
    </w:p>
    <w:p w14:paraId="14CADE4B" w14:textId="180FDFE4" w:rsidR="004F6B50" w:rsidRDefault="004F6B50" w:rsidP="004F6B5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Por fim, ao longo do período ocorreu uma queda nas diferenças salariais regionais no Rio Grande do Sul, não apenas ao se comparar as mesorregiões com a categoria de referência, mas todas as mesorregiões entre si. Dessa forma, a elevação do salário médio real que ocorreu </w:t>
      </w:r>
      <w:r w:rsidR="00F42728">
        <w:rPr>
          <w:rFonts w:ascii="Times New Roman" w:hAnsi="Times New Roman" w:cs="Times New Roman"/>
          <w:sz w:val="24"/>
          <w:szCs w:val="24"/>
        </w:rPr>
        <w:lastRenderedPageBreak/>
        <w:t>no Estado entre 2000 e 2017</w:t>
      </w:r>
      <w:r>
        <w:rPr>
          <w:rFonts w:ascii="Times New Roman" w:hAnsi="Times New Roman" w:cs="Times New Roman"/>
          <w:sz w:val="24"/>
          <w:szCs w:val="24"/>
        </w:rPr>
        <w:t xml:space="preserve"> foi acompanhada de </w:t>
      </w:r>
      <w:r w:rsidR="00F42728">
        <w:rPr>
          <w:rFonts w:ascii="Times New Roman" w:hAnsi="Times New Roman" w:cs="Times New Roman"/>
          <w:sz w:val="24"/>
          <w:szCs w:val="24"/>
        </w:rPr>
        <w:t xml:space="preserve">uma </w:t>
      </w:r>
      <w:r>
        <w:rPr>
          <w:rFonts w:ascii="Times New Roman" w:hAnsi="Times New Roman" w:cs="Times New Roman"/>
          <w:sz w:val="24"/>
          <w:szCs w:val="24"/>
        </w:rPr>
        <w:t>redução das disparidades regionais dos rendimentos trabalho.</w:t>
      </w:r>
    </w:p>
    <w:p w14:paraId="4C31B7DD" w14:textId="77777777" w:rsidR="00CB2932" w:rsidRDefault="00CB2932" w:rsidP="0077327E">
      <w:pPr>
        <w:spacing w:after="0" w:line="360" w:lineRule="auto"/>
        <w:ind w:firstLine="708"/>
        <w:rPr>
          <w:rFonts w:ascii="Times New Roman" w:hAnsi="Times New Roman" w:cs="Times New Roman"/>
          <w:sz w:val="24"/>
          <w:szCs w:val="24"/>
        </w:rPr>
      </w:pPr>
    </w:p>
    <w:p w14:paraId="1B8DDEA3" w14:textId="500A7BA3" w:rsidR="001420A9" w:rsidRDefault="001420A9" w:rsidP="001420A9">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4.2 Regressões </w:t>
      </w:r>
      <w:proofErr w:type="spellStart"/>
      <w:r>
        <w:rPr>
          <w:rFonts w:ascii="Times New Roman" w:hAnsi="Times New Roman" w:cs="Times New Roman"/>
          <w:b/>
          <w:sz w:val="24"/>
          <w:szCs w:val="24"/>
        </w:rPr>
        <w:t>quantílicas</w:t>
      </w:r>
      <w:proofErr w:type="spellEnd"/>
      <w:r>
        <w:rPr>
          <w:rFonts w:ascii="Times New Roman" w:hAnsi="Times New Roman" w:cs="Times New Roman"/>
          <w:sz w:val="24"/>
          <w:szCs w:val="24"/>
        </w:rPr>
        <w:t xml:space="preserve"> </w:t>
      </w:r>
    </w:p>
    <w:p w14:paraId="7ADD884B" w14:textId="77777777" w:rsidR="0077327E" w:rsidRDefault="0077327E" w:rsidP="00C967F6">
      <w:pPr>
        <w:rPr>
          <w:rFonts w:ascii="Times New Roman" w:hAnsi="Times New Roman" w:cs="Times New Roman"/>
        </w:rPr>
      </w:pPr>
    </w:p>
    <w:p w14:paraId="5F90E26C" w14:textId="00B01990" w:rsidR="00C510E6" w:rsidRDefault="004A6397" w:rsidP="0022156F">
      <w:pPr>
        <w:ind w:firstLine="708"/>
        <w:jc w:val="both"/>
        <w:rPr>
          <w:rFonts w:ascii="Times New Roman" w:hAnsi="Times New Roman" w:cs="Times New Roman"/>
          <w:sz w:val="24"/>
          <w:szCs w:val="24"/>
        </w:rPr>
      </w:pPr>
      <w:r>
        <w:rPr>
          <w:rFonts w:ascii="Times New Roman" w:hAnsi="Times New Roman" w:cs="Times New Roman"/>
          <w:sz w:val="24"/>
          <w:szCs w:val="24"/>
        </w:rPr>
        <w:t xml:space="preserve">Os resultados das regressões </w:t>
      </w:r>
      <w:proofErr w:type="spellStart"/>
      <w:r>
        <w:rPr>
          <w:rFonts w:ascii="Times New Roman" w:hAnsi="Times New Roman" w:cs="Times New Roman"/>
          <w:sz w:val="24"/>
          <w:szCs w:val="24"/>
        </w:rPr>
        <w:t>quantílicas</w:t>
      </w:r>
      <w:proofErr w:type="spellEnd"/>
      <w:r>
        <w:rPr>
          <w:rFonts w:ascii="Times New Roman" w:hAnsi="Times New Roman" w:cs="Times New Roman"/>
          <w:sz w:val="24"/>
          <w:szCs w:val="24"/>
        </w:rPr>
        <w:t xml:space="preserve"> </w:t>
      </w:r>
      <w:r w:rsidR="00906492">
        <w:rPr>
          <w:rFonts w:ascii="Times New Roman" w:hAnsi="Times New Roman" w:cs="Times New Roman"/>
          <w:sz w:val="24"/>
          <w:szCs w:val="24"/>
        </w:rPr>
        <w:t>efetuadas</w:t>
      </w:r>
      <w:r>
        <w:rPr>
          <w:rFonts w:ascii="Times New Roman" w:hAnsi="Times New Roman" w:cs="Times New Roman"/>
          <w:sz w:val="24"/>
          <w:szCs w:val="24"/>
        </w:rPr>
        <w:t xml:space="preserve"> para os três quartis da distribuição do logaritmo do salário mostram que houve redução dos coeficientes associados a sexo, cor, mesorregião, nível de ensino formal e tempo de permanência no emprego</w:t>
      </w:r>
      <w:r w:rsidR="00906492">
        <w:rPr>
          <w:rFonts w:ascii="Times New Roman" w:hAnsi="Times New Roman" w:cs="Times New Roman"/>
          <w:sz w:val="24"/>
          <w:szCs w:val="24"/>
        </w:rPr>
        <w:t xml:space="preserve"> entre os anos de 2000 e 2017</w:t>
      </w:r>
      <w:r>
        <w:rPr>
          <w:rFonts w:ascii="Times New Roman" w:hAnsi="Times New Roman" w:cs="Times New Roman"/>
          <w:sz w:val="24"/>
          <w:szCs w:val="24"/>
        </w:rPr>
        <w:t xml:space="preserve"> (Tabela 1, Tabela 2 e Tabela 3).</w:t>
      </w:r>
      <w:r w:rsidR="00906492">
        <w:rPr>
          <w:rFonts w:ascii="Times New Roman" w:hAnsi="Times New Roman" w:cs="Times New Roman"/>
          <w:sz w:val="24"/>
          <w:szCs w:val="24"/>
        </w:rPr>
        <w:t xml:space="preserve"> </w:t>
      </w:r>
    </w:p>
    <w:p w14:paraId="7ED151D8" w14:textId="3FD0A38F" w:rsidR="00906492" w:rsidRPr="00C510E6" w:rsidRDefault="00906492" w:rsidP="00377EB0">
      <w:pPr>
        <w:ind w:firstLine="708"/>
        <w:jc w:val="both"/>
        <w:rPr>
          <w:rFonts w:ascii="Times New Roman" w:hAnsi="Times New Roman" w:cs="Times New Roman"/>
          <w:sz w:val="24"/>
          <w:szCs w:val="24"/>
        </w:rPr>
      </w:pPr>
      <w:r>
        <w:rPr>
          <w:rFonts w:ascii="Times New Roman" w:hAnsi="Times New Roman" w:cs="Times New Roman"/>
          <w:sz w:val="24"/>
          <w:szCs w:val="24"/>
        </w:rPr>
        <w:t>A queda d</w:t>
      </w:r>
      <w:r w:rsidR="00844AA9">
        <w:rPr>
          <w:rFonts w:ascii="Times New Roman" w:hAnsi="Times New Roman" w:cs="Times New Roman"/>
          <w:sz w:val="24"/>
          <w:szCs w:val="24"/>
        </w:rPr>
        <w:t>a desigualdade salarial determinada</w:t>
      </w:r>
      <w:r w:rsidR="004E281B">
        <w:rPr>
          <w:rFonts w:ascii="Times New Roman" w:hAnsi="Times New Roman" w:cs="Times New Roman"/>
          <w:sz w:val="24"/>
          <w:szCs w:val="24"/>
        </w:rPr>
        <w:t xml:space="preserve"> pelo sexo foi maior nos níveis</w:t>
      </w:r>
      <w:r w:rsidR="00F81966">
        <w:rPr>
          <w:rFonts w:ascii="Times New Roman" w:hAnsi="Times New Roman" w:cs="Times New Roman"/>
          <w:sz w:val="24"/>
          <w:szCs w:val="24"/>
        </w:rPr>
        <w:t xml:space="preserve"> mais elevados</w:t>
      </w:r>
      <w:r w:rsidR="004E281B">
        <w:rPr>
          <w:rFonts w:ascii="Times New Roman" w:hAnsi="Times New Roman" w:cs="Times New Roman"/>
          <w:sz w:val="24"/>
          <w:szCs w:val="24"/>
        </w:rPr>
        <w:t xml:space="preserve"> (Q75) e intermediários (Q50) da distribuição </w:t>
      </w:r>
      <w:r w:rsidR="00844AA9">
        <w:rPr>
          <w:rFonts w:ascii="Times New Roman" w:hAnsi="Times New Roman" w:cs="Times New Roman"/>
          <w:sz w:val="24"/>
          <w:szCs w:val="24"/>
        </w:rPr>
        <w:t>de rendimentos</w:t>
      </w:r>
      <w:r w:rsidR="004E281B">
        <w:rPr>
          <w:rFonts w:ascii="Times New Roman" w:hAnsi="Times New Roman" w:cs="Times New Roman"/>
          <w:sz w:val="24"/>
          <w:szCs w:val="24"/>
        </w:rPr>
        <w:t xml:space="preserve">.  No ano 2000, </w:t>
      </w:r>
      <w:r w:rsidR="00844AA9">
        <w:rPr>
          <w:rFonts w:ascii="Times New Roman" w:hAnsi="Times New Roman" w:cs="Times New Roman"/>
          <w:sz w:val="24"/>
          <w:szCs w:val="24"/>
        </w:rPr>
        <w:t>mulheres com</w:t>
      </w:r>
      <w:r w:rsidR="004E281B">
        <w:rPr>
          <w:rFonts w:ascii="Times New Roman" w:hAnsi="Times New Roman" w:cs="Times New Roman"/>
          <w:sz w:val="24"/>
          <w:szCs w:val="24"/>
        </w:rPr>
        <w:t xml:space="preserve"> remuneração </w:t>
      </w:r>
      <w:r w:rsidR="00F81966">
        <w:rPr>
          <w:rFonts w:ascii="Times New Roman" w:hAnsi="Times New Roman" w:cs="Times New Roman"/>
          <w:sz w:val="24"/>
          <w:szCs w:val="24"/>
        </w:rPr>
        <w:t xml:space="preserve">compatível ao terceiro quartil da </w:t>
      </w:r>
      <w:r w:rsidR="000A26CC">
        <w:rPr>
          <w:rFonts w:ascii="Times New Roman" w:hAnsi="Times New Roman" w:cs="Times New Roman"/>
          <w:sz w:val="24"/>
          <w:szCs w:val="24"/>
        </w:rPr>
        <w:t>distribuição</w:t>
      </w:r>
      <w:r w:rsidR="00A86CB6">
        <w:rPr>
          <w:rFonts w:ascii="Times New Roman" w:hAnsi="Times New Roman" w:cs="Times New Roman"/>
          <w:sz w:val="24"/>
          <w:szCs w:val="24"/>
        </w:rPr>
        <w:t xml:space="preserve"> (Q75)</w:t>
      </w:r>
      <w:r w:rsidR="004E281B">
        <w:rPr>
          <w:rFonts w:ascii="Times New Roman" w:hAnsi="Times New Roman" w:cs="Times New Roman"/>
          <w:sz w:val="24"/>
          <w:szCs w:val="24"/>
        </w:rPr>
        <w:t xml:space="preserve"> ganhavam 40,23% a menos do que homens. Em 2017 a diferença salarial em desfavor às mulheres</w:t>
      </w:r>
      <w:r w:rsidR="007F543B">
        <w:rPr>
          <w:rFonts w:ascii="Times New Roman" w:hAnsi="Times New Roman" w:cs="Times New Roman"/>
          <w:sz w:val="24"/>
          <w:szCs w:val="24"/>
        </w:rPr>
        <w:t xml:space="preserve"> nesse quartil</w:t>
      </w:r>
      <w:r w:rsidR="004E281B">
        <w:rPr>
          <w:rFonts w:ascii="Times New Roman" w:hAnsi="Times New Roman" w:cs="Times New Roman"/>
          <w:sz w:val="24"/>
          <w:szCs w:val="24"/>
        </w:rPr>
        <w:t xml:space="preserve"> foi de 28,21%, o que representa uma queda de aproximadamente 12%</w:t>
      </w:r>
      <w:r w:rsidR="00844AA9">
        <w:rPr>
          <w:rFonts w:ascii="Times New Roman" w:hAnsi="Times New Roman" w:cs="Times New Roman"/>
          <w:sz w:val="24"/>
          <w:szCs w:val="24"/>
        </w:rPr>
        <w:t xml:space="preserve"> (Tabela 3)</w:t>
      </w:r>
      <w:r w:rsidR="004E281B">
        <w:rPr>
          <w:rFonts w:ascii="Times New Roman" w:hAnsi="Times New Roman" w:cs="Times New Roman"/>
          <w:sz w:val="24"/>
          <w:szCs w:val="24"/>
        </w:rPr>
        <w:t>.</w:t>
      </w:r>
      <w:r w:rsidR="00A86CB6">
        <w:rPr>
          <w:rFonts w:ascii="Times New Roman" w:hAnsi="Times New Roman" w:cs="Times New Roman"/>
          <w:sz w:val="24"/>
          <w:szCs w:val="24"/>
        </w:rPr>
        <w:t xml:space="preserve"> </w:t>
      </w:r>
      <w:r w:rsidR="00F16B06">
        <w:rPr>
          <w:rFonts w:ascii="Times New Roman" w:hAnsi="Times New Roman" w:cs="Times New Roman"/>
          <w:sz w:val="24"/>
          <w:szCs w:val="24"/>
        </w:rPr>
        <w:t>Já no nível inferior da distribuição (Q25),</w:t>
      </w:r>
      <w:r w:rsidR="00BA62F0">
        <w:rPr>
          <w:rFonts w:ascii="Times New Roman" w:hAnsi="Times New Roman" w:cs="Times New Roman"/>
          <w:sz w:val="24"/>
          <w:szCs w:val="24"/>
        </w:rPr>
        <w:t xml:space="preserve"> as</w:t>
      </w:r>
      <w:r w:rsidR="00F16B06">
        <w:rPr>
          <w:rFonts w:ascii="Times New Roman" w:hAnsi="Times New Roman" w:cs="Times New Roman"/>
          <w:sz w:val="24"/>
          <w:szCs w:val="24"/>
        </w:rPr>
        <w:t xml:space="preserve"> mulheres </w:t>
      </w:r>
      <w:r w:rsidR="00BA62F0">
        <w:rPr>
          <w:rFonts w:ascii="Times New Roman" w:hAnsi="Times New Roman" w:cs="Times New Roman"/>
          <w:sz w:val="24"/>
          <w:szCs w:val="24"/>
        </w:rPr>
        <w:t>recebiam 27</w:t>
      </w:r>
      <w:r w:rsidR="00F16B06">
        <w:rPr>
          <w:rFonts w:ascii="Times New Roman" w:hAnsi="Times New Roman" w:cs="Times New Roman"/>
          <w:sz w:val="24"/>
          <w:szCs w:val="24"/>
        </w:rPr>
        <w:t>,23% a menos do que os homens em 2000</w:t>
      </w:r>
      <w:r w:rsidR="007F543B">
        <w:rPr>
          <w:rFonts w:ascii="Times New Roman" w:hAnsi="Times New Roman" w:cs="Times New Roman"/>
          <w:sz w:val="24"/>
          <w:szCs w:val="24"/>
        </w:rPr>
        <w:t>. Em 2017 esse valor foi de 19,15%</w:t>
      </w:r>
      <w:r w:rsidR="00BA62F0">
        <w:rPr>
          <w:rFonts w:ascii="Times New Roman" w:hAnsi="Times New Roman" w:cs="Times New Roman"/>
          <w:sz w:val="24"/>
          <w:szCs w:val="24"/>
        </w:rPr>
        <w:t>, uma queda de cerca de 8%</w:t>
      </w:r>
      <w:r w:rsidR="004A224C">
        <w:rPr>
          <w:rFonts w:ascii="Times New Roman" w:hAnsi="Times New Roman" w:cs="Times New Roman"/>
          <w:sz w:val="24"/>
          <w:szCs w:val="24"/>
        </w:rPr>
        <w:t xml:space="preserve"> (Tabela 1)</w:t>
      </w:r>
      <w:r w:rsidR="00BA62F0">
        <w:rPr>
          <w:rFonts w:ascii="Times New Roman" w:hAnsi="Times New Roman" w:cs="Times New Roman"/>
          <w:sz w:val="24"/>
          <w:szCs w:val="24"/>
        </w:rPr>
        <w:t>.</w:t>
      </w:r>
      <w:r w:rsidR="00377EB0">
        <w:rPr>
          <w:rFonts w:ascii="Times New Roman" w:hAnsi="Times New Roman" w:cs="Times New Roman"/>
          <w:sz w:val="24"/>
          <w:szCs w:val="24"/>
        </w:rPr>
        <w:t xml:space="preserve"> </w:t>
      </w:r>
    </w:p>
    <w:p w14:paraId="3E84D64C" w14:textId="3F6B51B9" w:rsidR="00C967F6" w:rsidRDefault="008372AE" w:rsidP="00C967F6">
      <w:pPr>
        <w:spacing w:after="0"/>
        <w:rPr>
          <w:rFonts w:ascii="Times New Roman" w:hAnsi="Times New Roman" w:cs="Times New Roman"/>
        </w:rPr>
      </w:pPr>
      <w:r>
        <w:rPr>
          <w:rFonts w:ascii="Times New Roman" w:hAnsi="Times New Roman" w:cs="Times New Roman"/>
          <w:b/>
        </w:rPr>
        <w:t>Tabela 1</w:t>
      </w:r>
      <w:r w:rsidR="00C967F6">
        <w:rPr>
          <w:rFonts w:ascii="Times New Roman" w:hAnsi="Times New Roman" w:cs="Times New Roman"/>
          <w:b/>
        </w:rPr>
        <w:t>.</w:t>
      </w:r>
      <w:r w:rsidR="00C967F6">
        <w:rPr>
          <w:rFonts w:ascii="Times New Roman" w:hAnsi="Times New Roman" w:cs="Times New Roman"/>
        </w:rPr>
        <w:t xml:space="preserve">  Determinantes socioeconômicos dos diferenciais de rendimento no mercado de trabalho formal do Rio Grande do Sul – Regressão Quantílicas (Q25)</w:t>
      </w:r>
    </w:p>
    <w:tbl>
      <w:tblPr>
        <w:tblW w:w="0" w:type="auto"/>
        <w:jc w:val="center"/>
        <w:tblCellMar>
          <w:left w:w="70" w:type="dxa"/>
          <w:right w:w="70" w:type="dxa"/>
        </w:tblCellMar>
        <w:tblLook w:val="04A0" w:firstRow="1" w:lastRow="0" w:firstColumn="1" w:lastColumn="0" w:noHBand="0" w:noVBand="1"/>
      </w:tblPr>
      <w:tblGrid>
        <w:gridCol w:w="1857"/>
        <w:gridCol w:w="857"/>
        <w:gridCol w:w="857"/>
        <w:gridCol w:w="857"/>
        <w:gridCol w:w="857"/>
        <w:gridCol w:w="857"/>
        <w:gridCol w:w="857"/>
        <w:gridCol w:w="857"/>
      </w:tblGrid>
      <w:tr w:rsidR="00C967F6" w14:paraId="61E13861" w14:textId="77777777" w:rsidTr="00C967F6">
        <w:trPr>
          <w:trHeight w:val="300"/>
          <w:jc w:val="center"/>
        </w:trPr>
        <w:tc>
          <w:tcPr>
            <w:tcW w:w="0" w:type="auto"/>
            <w:tcBorders>
              <w:top w:val="single" w:sz="4" w:space="0" w:color="auto"/>
              <w:left w:val="nil"/>
              <w:bottom w:val="single" w:sz="4" w:space="0" w:color="auto"/>
              <w:right w:val="nil"/>
            </w:tcBorders>
            <w:noWrap/>
            <w:vAlign w:val="bottom"/>
            <w:hideMark/>
          </w:tcPr>
          <w:p w14:paraId="091DF9A7" w14:textId="77777777" w:rsidR="00C967F6" w:rsidRDefault="00C967F6">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Variáveis</w:t>
            </w:r>
          </w:p>
        </w:tc>
        <w:tc>
          <w:tcPr>
            <w:tcW w:w="0" w:type="auto"/>
            <w:tcBorders>
              <w:top w:val="single" w:sz="4" w:space="0" w:color="auto"/>
              <w:left w:val="nil"/>
              <w:bottom w:val="single" w:sz="4" w:space="0" w:color="auto"/>
              <w:right w:val="nil"/>
            </w:tcBorders>
            <w:noWrap/>
            <w:vAlign w:val="bottom"/>
            <w:hideMark/>
          </w:tcPr>
          <w:p w14:paraId="5DFF3F8D"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2000</w:t>
            </w:r>
          </w:p>
        </w:tc>
        <w:tc>
          <w:tcPr>
            <w:tcW w:w="0" w:type="auto"/>
            <w:tcBorders>
              <w:top w:val="single" w:sz="4" w:space="0" w:color="auto"/>
              <w:left w:val="nil"/>
              <w:bottom w:val="single" w:sz="4" w:space="0" w:color="auto"/>
              <w:right w:val="nil"/>
            </w:tcBorders>
            <w:noWrap/>
            <w:vAlign w:val="bottom"/>
            <w:hideMark/>
          </w:tcPr>
          <w:p w14:paraId="2435F3CB"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2003</w:t>
            </w:r>
          </w:p>
        </w:tc>
        <w:tc>
          <w:tcPr>
            <w:tcW w:w="0" w:type="auto"/>
            <w:tcBorders>
              <w:top w:val="single" w:sz="4" w:space="0" w:color="auto"/>
              <w:left w:val="nil"/>
              <w:bottom w:val="single" w:sz="4" w:space="0" w:color="auto"/>
              <w:right w:val="nil"/>
            </w:tcBorders>
            <w:noWrap/>
            <w:vAlign w:val="bottom"/>
            <w:hideMark/>
          </w:tcPr>
          <w:p w14:paraId="44D677FB"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2006</w:t>
            </w:r>
          </w:p>
        </w:tc>
        <w:tc>
          <w:tcPr>
            <w:tcW w:w="0" w:type="auto"/>
            <w:tcBorders>
              <w:top w:val="single" w:sz="4" w:space="0" w:color="auto"/>
              <w:left w:val="nil"/>
              <w:bottom w:val="single" w:sz="4" w:space="0" w:color="auto"/>
              <w:right w:val="nil"/>
            </w:tcBorders>
            <w:noWrap/>
            <w:vAlign w:val="bottom"/>
            <w:hideMark/>
          </w:tcPr>
          <w:p w14:paraId="72C5ABBA"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2009</w:t>
            </w:r>
          </w:p>
        </w:tc>
        <w:tc>
          <w:tcPr>
            <w:tcW w:w="0" w:type="auto"/>
            <w:tcBorders>
              <w:top w:val="single" w:sz="4" w:space="0" w:color="auto"/>
              <w:left w:val="nil"/>
              <w:bottom w:val="single" w:sz="4" w:space="0" w:color="auto"/>
              <w:right w:val="nil"/>
            </w:tcBorders>
            <w:noWrap/>
            <w:vAlign w:val="bottom"/>
            <w:hideMark/>
          </w:tcPr>
          <w:p w14:paraId="2459ECB8"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2012</w:t>
            </w:r>
          </w:p>
        </w:tc>
        <w:tc>
          <w:tcPr>
            <w:tcW w:w="0" w:type="auto"/>
            <w:tcBorders>
              <w:top w:val="single" w:sz="4" w:space="0" w:color="auto"/>
              <w:left w:val="nil"/>
              <w:bottom w:val="single" w:sz="4" w:space="0" w:color="auto"/>
              <w:right w:val="nil"/>
            </w:tcBorders>
            <w:noWrap/>
            <w:vAlign w:val="bottom"/>
            <w:hideMark/>
          </w:tcPr>
          <w:p w14:paraId="28DB02EC"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2015</w:t>
            </w:r>
          </w:p>
        </w:tc>
        <w:tc>
          <w:tcPr>
            <w:tcW w:w="0" w:type="auto"/>
            <w:tcBorders>
              <w:top w:val="single" w:sz="4" w:space="0" w:color="auto"/>
              <w:left w:val="nil"/>
              <w:bottom w:val="single" w:sz="4" w:space="0" w:color="auto"/>
              <w:right w:val="nil"/>
            </w:tcBorders>
            <w:noWrap/>
            <w:vAlign w:val="bottom"/>
            <w:hideMark/>
          </w:tcPr>
          <w:p w14:paraId="750BD46C"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2017</w:t>
            </w:r>
          </w:p>
        </w:tc>
      </w:tr>
      <w:tr w:rsidR="00C967F6" w14:paraId="77233C55" w14:textId="77777777" w:rsidTr="00C967F6">
        <w:trPr>
          <w:trHeight w:val="300"/>
          <w:jc w:val="center"/>
        </w:trPr>
        <w:tc>
          <w:tcPr>
            <w:tcW w:w="0" w:type="auto"/>
            <w:tcBorders>
              <w:top w:val="single" w:sz="4" w:space="0" w:color="auto"/>
              <w:left w:val="nil"/>
              <w:bottom w:val="nil"/>
              <w:right w:val="nil"/>
            </w:tcBorders>
            <w:noWrap/>
            <w:vAlign w:val="bottom"/>
            <w:hideMark/>
          </w:tcPr>
          <w:p w14:paraId="183CD8E7"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Intercepto</w:t>
            </w:r>
          </w:p>
        </w:tc>
        <w:tc>
          <w:tcPr>
            <w:tcW w:w="0" w:type="auto"/>
            <w:tcBorders>
              <w:top w:val="single" w:sz="4" w:space="0" w:color="auto"/>
              <w:left w:val="nil"/>
              <w:bottom w:val="nil"/>
              <w:right w:val="nil"/>
            </w:tcBorders>
            <w:noWrap/>
            <w:vAlign w:val="bottom"/>
            <w:hideMark/>
          </w:tcPr>
          <w:p w14:paraId="7159CC7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5,5224*</w:t>
            </w:r>
          </w:p>
        </w:tc>
        <w:tc>
          <w:tcPr>
            <w:tcW w:w="0" w:type="auto"/>
            <w:tcBorders>
              <w:top w:val="single" w:sz="4" w:space="0" w:color="auto"/>
              <w:left w:val="nil"/>
              <w:bottom w:val="nil"/>
              <w:right w:val="nil"/>
            </w:tcBorders>
            <w:noWrap/>
            <w:vAlign w:val="bottom"/>
            <w:hideMark/>
          </w:tcPr>
          <w:p w14:paraId="1D05D41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5,7664*</w:t>
            </w:r>
          </w:p>
        </w:tc>
        <w:tc>
          <w:tcPr>
            <w:tcW w:w="0" w:type="auto"/>
            <w:tcBorders>
              <w:top w:val="single" w:sz="4" w:space="0" w:color="auto"/>
              <w:left w:val="nil"/>
              <w:bottom w:val="nil"/>
              <w:right w:val="nil"/>
            </w:tcBorders>
            <w:noWrap/>
            <w:vAlign w:val="bottom"/>
            <w:hideMark/>
          </w:tcPr>
          <w:p w14:paraId="03A533C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5,9100*</w:t>
            </w:r>
          </w:p>
        </w:tc>
        <w:tc>
          <w:tcPr>
            <w:tcW w:w="0" w:type="auto"/>
            <w:tcBorders>
              <w:top w:val="single" w:sz="4" w:space="0" w:color="auto"/>
              <w:left w:val="nil"/>
              <w:bottom w:val="nil"/>
              <w:right w:val="nil"/>
            </w:tcBorders>
            <w:noWrap/>
            <w:vAlign w:val="bottom"/>
            <w:hideMark/>
          </w:tcPr>
          <w:p w14:paraId="73BFCAC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6,0963*</w:t>
            </w:r>
          </w:p>
        </w:tc>
        <w:tc>
          <w:tcPr>
            <w:tcW w:w="0" w:type="auto"/>
            <w:tcBorders>
              <w:top w:val="single" w:sz="4" w:space="0" w:color="auto"/>
              <w:left w:val="nil"/>
              <w:bottom w:val="nil"/>
              <w:right w:val="nil"/>
            </w:tcBorders>
            <w:noWrap/>
            <w:vAlign w:val="bottom"/>
            <w:hideMark/>
          </w:tcPr>
          <w:p w14:paraId="1FD2452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6,1870*</w:t>
            </w:r>
          </w:p>
        </w:tc>
        <w:tc>
          <w:tcPr>
            <w:tcW w:w="0" w:type="auto"/>
            <w:tcBorders>
              <w:top w:val="single" w:sz="4" w:space="0" w:color="auto"/>
              <w:left w:val="nil"/>
              <w:bottom w:val="nil"/>
              <w:right w:val="nil"/>
            </w:tcBorders>
            <w:noWrap/>
            <w:vAlign w:val="bottom"/>
            <w:hideMark/>
          </w:tcPr>
          <w:p w14:paraId="60B49AF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6,2106*</w:t>
            </w:r>
          </w:p>
        </w:tc>
        <w:tc>
          <w:tcPr>
            <w:tcW w:w="0" w:type="auto"/>
            <w:tcBorders>
              <w:top w:val="single" w:sz="4" w:space="0" w:color="auto"/>
              <w:left w:val="nil"/>
              <w:bottom w:val="nil"/>
              <w:right w:val="nil"/>
            </w:tcBorders>
            <w:noWrap/>
            <w:vAlign w:val="bottom"/>
            <w:hideMark/>
          </w:tcPr>
          <w:p w14:paraId="0BA940A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6,2468*</w:t>
            </w:r>
          </w:p>
        </w:tc>
      </w:tr>
      <w:tr w:rsidR="00C967F6" w14:paraId="04A056EF" w14:textId="77777777" w:rsidTr="00C967F6">
        <w:trPr>
          <w:trHeight w:val="300"/>
          <w:jc w:val="center"/>
        </w:trPr>
        <w:tc>
          <w:tcPr>
            <w:tcW w:w="0" w:type="auto"/>
            <w:noWrap/>
            <w:vAlign w:val="bottom"/>
            <w:hideMark/>
          </w:tcPr>
          <w:p w14:paraId="1DCE8304"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Idade</w:t>
            </w:r>
          </w:p>
        </w:tc>
        <w:tc>
          <w:tcPr>
            <w:tcW w:w="0" w:type="auto"/>
            <w:noWrap/>
            <w:vAlign w:val="bottom"/>
            <w:hideMark/>
          </w:tcPr>
          <w:p w14:paraId="1684E6E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0,0457*</w:t>
            </w:r>
          </w:p>
        </w:tc>
        <w:tc>
          <w:tcPr>
            <w:tcW w:w="0" w:type="auto"/>
            <w:noWrap/>
            <w:vAlign w:val="bottom"/>
            <w:hideMark/>
          </w:tcPr>
          <w:p w14:paraId="039BEDF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0,0370*</w:t>
            </w:r>
          </w:p>
        </w:tc>
        <w:tc>
          <w:tcPr>
            <w:tcW w:w="0" w:type="auto"/>
            <w:noWrap/>
            <w:vAlign w:val="bottom"/>
            <w:hideMark/>
          </w:tcPr>
          <w:p w14:paraId="1004C45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0,0330*</w:t>
            </w:r>
          </w:p>
        </w:tc>
        <w:tc>
          <w:tcPr>
            <w:tcW w:w="0" w:type="auto"/>
            <w:noWrap/>
            <w:vAlign w:val="bottom"/>
            <w:hideMark/>
          </w:tcPr>
          <w:p w14:paraId="21EE275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0,0308*</w:t>
            </w:r>
          </w:p>
        </w:tc>
        <w:tc>
          <w:tcPr>
            <w:tcW w:w="0" w:type="auto"/>
            <w:noWrap/>
            <w:vAlign w:val="bottom"/>
            <w:hideMark/>
          </w:tcPr>
          <w:p w14:paraId="4868CCC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0,0341*</w:t>
            </w:r>
          </w:p>
        </w:tc>
        <w:tc>
          <w:tcPr>
            <w:tcW w:w="0" w:type="auto"/>
            <w:noWrap/>
            <w:vAlign w:val="bottom"/>
            <w:hideMark/>
          </w:tcPr>
          <w:p w14:paraId="7784349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0,0396*</w:t>
            </w:r>
          </w:p>
        </w:tc>
        <w:tc>
          <w:tcPr>
            <w:tcW w:w="0" w:type="auto"/>
            <w:noWrap/>
            <w:vAlign w:val="bottom"/>
            <w:hideMark/>
          </w:tcPr>
          <w:p w14:paraId="25E2B0A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0,0384*</w:t>
            </w:r>
          </w:p>
        </w:tc>
      </w:tr>
      <w:tr w:rsidR="00C967F6" w14:paraId="675F00C7" w14:textId="77777777" w:rsidTr="00C967F6">
        <w:trPr>
          <w:trHeight w:val="300"/>
          <w:jc w:val="center"/>
        </w:trPr>
        <w:tc>
          <w:tcPr>
            <w:tcW w:w="0" w:type="auto"/>
            <w:noWrap/>
            <w:vAlign w:val="bottom"/>
            <w:hideMark/>
          </w:tcPr>
          <w:p w14:paraId="1633B4E4"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Idade^2</w:t>
            </w:r>
          </w:p>
        </w:tc>
        <w:tc>
          <w:tcPr>
            <w:tcW w:w="0" w:type="auto"/>
            <w:noWrap/>
            <w:vAlign w:val="bottom"/>
            <w:hideMark/>
          </w:tcPr>
          <w:p w14:paraId="58AF4CC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-0,0005*</w:t>
            </w:r>
          </w:p>
        </w:tc>
        <w:tc>
          <w:tcPr>
            <w:tcW w:w="0" w:type="auto"/>
            <w:noWrap/>
            <w:vAlign w:val="bottom"/>
            <w:hideMark/>
          </w:tcPr>
          <w:p w14:paraId="5821E9E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0" w:type="auto"/>
            <w:noWrap/>
            <w:vAlign w:val="bottom"/>
            <w:hideMark/>
          </w:tcPr>
          <w:p w14:paraId="28171AD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-0,0003*</w:t>
            </w:r>
          </w:p>
        </w:tc>
        <w:tc>
          <w:tcPr>
            <w:tcW w:w="0" w:type="auto"/>
            <w:noWrap/>
            <w:vAlign w:val="bottom"/>
            <w:hideMark/>
          </w:tcPr>
          <w:p w14:paraId="196C538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-0,0003*</w:t>
            </w:r>
          </w:p>
        </w:tc>
        <w:tc>
          <w:tcPr>
            <w:tcW w:w="0" w:type="auto"/>
            <w:noWrap/>
            <w:vAlign w:val="bottom"/>
            <w:hideMark/>
          </w:tcPr>
          <w:p w14:paraId="6BCC9A0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0" w:type="auto"/>
            <w:noWrap/>
            <w:vAlign w:val="bottom"/>
            <w:hideMark/>
          </w:tcPr>
          <w:p w14:paraId="233E361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0" w:type="auto"/>
            <w:noWrap/>
            <w:vAlign w:val="bottom"/>
            <w:hideMark/>
          </w:tcPr>
          <w:p w14:paraId="24AEF7A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r>
      <w:tr w:rsidR="00C967F6" w14:paraId="6E3C2881" w14:textId="77777777" w:rsidTr="00C967F6">
        <w:trPr>
          <w:trHeight w:val="300"/>
          <w:jc w:val="center"/>
        </w:trPr>
        <w:tc>
          <w:tcPr>
            <w:tcW w:w="0" w:type="auto"/>
            <w:noWrap/>
            <w:vAlign w:val="bottom"/>
            <w:hideMark/>
          </w:tcPr>
          <w:p w14:paraId="42ADC6F5"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Feminino</w:t>
            </w:r>
          </w:p>
        </w:tc>
        <w:tc>
          <w:tcPr>
            <w:tcW w:w="0" w:type="auto"/>
            <w:noWrap/>
            <w:vAlign w:val="bottom"/>
            <w:hideMark/>
          </w:tcPr>
          <w:p w14:paraId="1FB677B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-0,2738*</w:t>
            </w:r>
          </w:p>
        </w:tc>
        <w:tc>
          <w:tcPr>
            <w:tcW w:w="0" w:type="auto"/>
            <w:noWrap/>
            <w:vAlign w:val="bottom"/>
            <w:hideMark/>
          </w:tcPr>
          <w:p w14:paraId="361BE26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-0,2370*</w:t>
            </w:r>
          </w:p>
        </w:tc>
        <w:tc>
          <w:tcPr>
            <w:tcW w:w="0" w:type="auto"/>
            <w:noWrap/>
            <w:vAlign w:val="bottom"/>
            <w:hideMark/>
          </w:tcPr>
          <w:p w14:paraId="66CA50D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-0,2167*</w:t>
            </w:r>
          </w:p>
        </w:tc>
        <w:tc>
          <w:tcPr>
            <w:tcW w:w="0" w:type="auto"/>
            <w:noWrap/>
            <w:vAlign w:val="bottom"/>
            <w:hideMark/>
          </w:tcPr>
          <w:p w14:paraId="7A8CB28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-0,2024*</w:t>
            </w:r>
          </w:p>
        </w:tc>
        <w:tc>
          <w:tcPr>
            <w:tcW w:w="0" w:type="auto"/>
            <w:noWrap/>
            <w:vAlign w:val="bottom"/>
            <w:hideMark/>
          </w:tcPr>
          <w:p w14:paraId="02AAD8F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-0,2002*</w:t>
            </w:r>
          </w:p>
        </w:tc>
        <w:tc>
          <w:tcPr>
            <w:tcW w:w="0" w:type="auto"/>
            <w:noWrap/>
            <w:vAlign w:val="bottom"/>
            <w:hideMark/>
          </w:tcPr>
          <w:p w14:paraId="6F532ED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-0,2052*</w:t>
            </w:r>
          </w:p>
        </w:tc>
        <w:tc>
          <w:tcPr>
            <w:tcW w:w="0" w:type="auto"/>
            <w:noWrap/>
            <w:vAlign w:val="bottom"/>
            <w:hideMark/>
          </w:tcPr>
          <w:p w14:paraId="65399CA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-0,1915*</w:t>
            </w:r>
          </w:p>
        </w:tc>
      </w:tr>
      <w:tr w:rsidR="00C967F6" w14:paraId="49907FD9" w14:textId="77777777" w:rsidTr="00C967F6">
        <w:trPr>
          <w:trHeight w:val="300"/>
          <w:jc w:val="center"/>
        </w:trPr>
        <w:tc>
          <w:tcPr>
            <w:tcW w:w="0" w:type="auto"/>
            <w:noWrap/>
            <w:vAlign w:val="bottom"/>
            <w:hideMark/>
          </w:tcPr>
          <w:p w14:paraId="14EADBA5"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Branco</w:t>
            </w:r>
          </w:p>
        </w:tc>
        <w:tc>
          <w:tcPr>
            <w:tcW w:w="0" w:type="auto"/>
            <w:noWrap/>
            <w:vAlign w:val="bottom"/>
            <w:hideMark/>
          </w:tcPr>
          <w:p w14:paraId="10F9094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0" w:type="auto"/>
            <w:noWrap/>
            <w:vAlign w:val="bottom"/>
            <w:hideMark/>
          </w:tcPr>
          <w:p w14:paraId="3CE6D04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0" w:type="auto"/>
            <w:noWrap/>
            <w:vAlign w:val="bottom"/>
            <w:hideMark/>
          </w:tcPr>
          <w:p w14:paraId="7DD1E11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0,0492*</w:t>
            </w:r>
          </w:p>
        </w:tc>
        <w:tc>
          <w:tcPr>
            <w:tcW w:w="0" w:type="auto"/>
            <w:noWrap/>
            <w:vAlign w:val="bottom"/>
            <w:hideMark/>
          </w:tcPr>
          <w:p w14:paraId="77B4A49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0,0243*</w:t>
            </w:r>
          </w:p>
        </w:tc>
        <w:tc>
          <w:tcPr>
            <w:tcW w:w="0" w:type="auto"/>
            <w:noWrap/>
            <w:vAlign w:val="bottom"/>
            <w:hideMark/>
          </w:tcPr>
          <w:p w14:paraId="681A228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0,0272*</w:t>
            </w:r>
          </w:p>
        </w:tc>
        <w:tc>
          <w:tcPr>
            <w:tcW w:w="0" w:type="auto"/>
            <w:noWrap/>
            <w:vAlign w:val="bottom"/>
            <w:hideMark/>
          </w:tcPr>
          <w:p w14:paraId="4DAB2C0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0,0277*</w:t>
            </w:r>
          </w:p>
        </w:tc>
        <w:tc>
          <w:tcPr>
            <w:tcW w:w="0" w:type="auto"/>
            <w:noWrap/>
            <w:vAlign w:val="bottom"/>
            <w:hideMark/>
          </w:tcPr>
          <w:p w14:paraId="3AC5992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0,0226*</w:t>
            </w:r>
          </w:p>
        </w:tc>
      </w:tr>
      <w:tr w:rsidR="00C967F6" w14:paraId="67B8560F" w14:textId="77777777" w:rsidTr="00C967F6">
        <w:trPr>
          <w:trHeight w:val="300"/>
          <w:jc w:val="center"/>
        </w:trPr>
        <w:tc>
          <w:tcPr>
            <w:tcW w:w="0" w:type="auto"/>
            <w:gridSpan w:val="8"/>
            <w:noWrap/>
            <w:vAlign w:val="bottom"/>
            <w:hideMark/>
          </w:tcPr>
          <w:p w14:paraId="47858125"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Mesorregião</w:t>
            </w:r>
          </w:p>
        </w:tc>
      </w:tr>
      <w:tr w:rsidR="00C967F6" w14:paraId="52CCEFBF" w14:textId="77777777" w:rsidTr="00C967F6">
        <w:trPr>
          <w:trHeight w:val="300"/>
          <w:jc w:val="center"/>
        </w:trPr>
        <w:tc>
          <w:tcPr>
            <w:tcW w:w="0" w:type="auto"/>
            <w:noWrap/>
            <w:vAlign w:val="bottom"/>
            <w:hideMark/>
          </w:tcPr>
          <w:p w14:paraId="25CA73B0"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Nordeste</w:t>
            </w:r>
          </w:p>
        </w:tc>
        <w:tc>
          <w:tcPr>
            <w:tcW w:w="0" w:type="auto"/>
            <w:noWrap/>
            <w:vAlign w:val="bottom"/>
            <w:hideMark/>
          </w:tcPr>
          <w:p w14:paraId="62C4F28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0,2666*</w:t>
            </w:r>
          </w:p>
        </w:tc>
        <w:tc>
          <w:tcPr>
            <w:tcW w:w="0" w:type="auto"/>
            <w:noWrap/>
            <w:vAlign w:val="bottom"/>
            <w:hideMark/>
          </w:tcPr>
          <w:p w14:paraId="38997C8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0,1654*</w:t>
            </w:r>
          </w:p>
        </w:tc>
        <w:tc>
          <w:tcPr>
            <w:tcW w:w="0" w:type="auto"/>
            <w:noWrap/>
            <w:vAlign w:val="bottom"/>
            <w:hideMark/>
          </w:tcPr>
          <w:p w14:paraId="734B7CE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0,1590*</w:t>
            </w:r>
          </w:p>
        </w:tc>
        <w:tc>
          <w:tcPr>
            <w:tcW w:w="0" w:type="auto"/>
            <w:noWrap/>
            <w:vAlign w:val="bottom"/>
            <w:hideMark/>
          </w:tcPr>
          <w:p w14:paraId="320330F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0,1443*</w:t>
            </w:r>
          </w:p>
        </w:tc>
        <w:tc>
          <w:tcPr>
            <w:tcW w:w="0" w:type="auto"/>
            <w:noWrap/>
            <w:vAlign w:val="bottom"/>
            <w:hideMark/>
          </w:tcPr>
          <w:p w14:paraId="3F7A2A3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0,1384*</w:t>
            </w:r>
          </w:p>
        </w:tc>
        <w:tc>
          <w:tcPr>
            <w:tcW w:w="0" w:type="auto"/>
            <w:noWrap/>
            <w:vAlign w:val="bottom"/>
            <w:hideMark/>
          </w:tcPr>
          <w:p w14:paraId="4CB1E8C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0,1197*</w:t>
            </w:r>
          </w:p>
        </w:tc>
        <w:tc>
          <w:tcPr>
            <w:tcW w:w="0" w:type="auto"/>
            <w:noWrap/>
            <w:vAlign w:val="bottom"/>
            <w:hideMark/>
          </w:tcPr>
          <w:p w14:paraId="603B021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0,0947*</w:t>
            </w:r>
          </w:p>
        </w:tc>
      </w:tr>
      <w:tr w:rsidR="00C967F6" w14:paraId="6649B0F1" w14:textId="77777777" w:rsidTr="00C967F6">
        <w:trPr>
          <w:trHeight w:val="300"/>
          <w:jc w:val="center"/>
        </w:trPr>
        <w:tc>
          <w:tcPr>
            <w:tcW w:w="0" w:type="auto"/>
            <w:noWrap/>
            <w:vAlign w:val="bottom"/>
            <w:hideMark/>
          </w:tcPr>
          <w:p w14:paraId="1B164ABB"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Centro Ocidental-RG</w:t>
            </w:r>
          </w:p>
        </w:tc>
        <w:tc>
          <w:tcPr>
            <w:tcW w:w="0" w:type="auto"/>
            <w:noWrap/>
            <w:vAlign w:val="bottom"/>
            <w:hideMark/>
          </w:tcPr>
          <w:p w14:paraId="413DA15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-0,0162*</w:t>
            </w:r>
          </w:p>
        </w:tc>
        <w:tc>
          <w:tcPr>
            <w:tcW w:w="0" w:type="auto"/>
            <w:noWrap/>
            <w:vAlign w:val="bottom"/>
            <w:hideMark/>
          </w:tcPr>
          <w:p w14:paraId="7462F29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-0,0490*</w:t>
            </w:r>
          </w:p>
        </w:tc>
        <w:tc>
          <w:tcPr>
            <w:tcW w:w="0" w:type="auto"/>
            <w:noWrap/>
            <w:vAlign w:val="bottom"/>
            <w:hideMark/>
          </w:tcPr>
          <w:p w14:paraId="1301C4A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-0,0410*</w:t>
            </w:r>
          </w:p>
        </w:tc>
        <w:tc>
          <w:tcPr>
            <w:tcW w:w="0" w:type="auto"/>
            <w:noWrap/>
            <w:vAlign w:val="bottom"/>
            <w:hideMark/>
          </w:tcPr>
          <w:p w14:paraId="45E30CA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-0,0477*</w:t>
            </w:r>
          </w:p>
        </w:tc>
        <w:tc>
          <w:tcPr>
            <w:tcW w:w="0" w:type="auto"/>
            <w:noWrap/>
            <w:vAlign w:val="bottom"/>
            <w:hideMark/>
          </w:tcPr>
          <w:p w14:paraId="3269E49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-0,0484*</w:t>
            </w:r>
          </w:p>
        </w:tc>
        <w:tc>
          <w:tcPr>
            <w:tcW w:w="0" w:type="auto"/>
            <w:noWrap/>
            <w:vAlign w:val="bottom"/>
            <w:hideMark/>
          </w:tcPr>
          <w:p w14:paraId="237296D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-0,0458*</w:t>
            </w:r>
          </w:p>
        </w:tc>
        <w:tc>
          <w:tcPr>
            <w:tcW w:w="0" w:type="auto"/>
            <w:noWrap/>
            <w:vAlign w:val="bottom"/>
            <w:hideMark/>
          </w:tcPr>
          <w:p w14:paraId="7E10D1B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-0,0333*</w:t>
            </w:r>
          </w:p>
        </w:tc>
      </w:tr>
      <w:tr w:rsidR="00C967F6" w14:paraId="01432E4D" w14:textId="77777777" w:rsidTr="00C967F6">
        <w:trPr>
          <w:trHeight w:val="300"/>
          <w:jc w:val="center"/>
        </w:trPr>
        <w:tc>
          <w:tcPr>
            <w:tcW w:w="0" w:type="auto"/>
            <w:noWrap/>
            <w:vAlign w:val="bottom"/>
            <w:hideMark/>
          </w:tcPr>
          <w:p w14:paraId="34160390"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Centro Oriental-RG</w:t>
            </w:r>
          </w:p>
        </w:tc>
        <w:tc>
          <w:tcPr>
            <w:tcW w:w="0" w:type="auto"/>
            <w:noWrap/>
            <w:vAlign w:val="bottom"/>
            <w:hideMark/>
          </w:tcPr>
          <w:p w14:paraId="4B93886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0,1030*</w:t>
            </w:r>
          </w:p>
        </w:tc>
        <w:tc>
          <w:tcPr>
            <w:tcW w:w="0" w:type="auto"/>
            <w:noWrap/>
            <w:vAlign w:val="bottom"/>
            <w:hideMark/>
          </w:tcPr>
          <w:p w14:paraId="75E3954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0,0510*</w:t>
            </w:r>
          </w:p>
        </w:tc>
        <w:tc>
          <w:tcPr>
            <w:tcW w:w="0" w:type="auto"/>
            <w:noWrap/>
            <w:vAlign w:val="bottom"/>
            <w:hideMark/>
          </w:tcPr>
          <w:p w14:paraId="36E2ACC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0,0469*</w:t>
            </w:r>
          </w:p>
        </w:tc>
        <w:tc>
          <w:tcPr>
            <w:tcW w:w="0" w:type="auto"/>
            <w:noWrap/>
            <w:vAlign w:val="bottom"/>
            <w:hideMark/>
          </w:tcPr>
          <w:p w14:paraId="310BC61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0,0265*</w:t>
            </w:r>
          </w:p>
        </w:tc>
        <w:tc>
          <w:tcPr>
            <w:tcW w:w="0" w:type="auto"/>
            <w:noWrap/>
            <w:vAlign w:val="bottom"/>
            <w:hideMark/>
          </w:tcPr>
          <w:p w14:paraId="2BBAE16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0,0150*</w:t>
            </w:r>
          </w:p>
        </w:tc>
        <w:tc>
          <w:tcPr>
            <w:tcW w:w="0" w:type="auto"/>
            <w:noWrap/>
            <w:vAlign w:val="bottom"/>
            <w:hideMark/>
          </w:tcPr>
          <w:p w14:paraId="3B661B1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0,0186*</w:t>
            </w:r>
          </w:p>
        </w:tc>
        <w:tc>
          <w:tcPr>
            <w:tcW w:w="0" w:type="auto"/>
            <w:noWrap/>
            <w:vAlign w:val="bottom"/>
            <w:hideMark/>
          </w:tcPr>
          <w:p w14:paraId="5729FFB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0,0164*</w:t>
            </w:r>
          </w:p>
        </w:tc>
      </w:tr>
      <w:tr w:rsidR="00C967F6" w14:paraId="36F0A841" w14:textId="77777777" w:rsidTr="00C967F6">
        <w:trPr>
          <w:trHeight w:val="300"/>
          <w:jc w:val="center"/>
        </w:trPr>
        <w:tc>
          <w:tcPr>
            <w:tcW w:w="0" w:type="auto"/>
            <w:noWrap/>
            <w:vAlign w:val="bottom"/>
            <w:hideMark/>
          </w:tcPr>
          <w:p w14:paraId="09540343"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Metropolitana de PA</w:t>
            </w:r>
          </w:p>
        </w:tc>
        <w:tc>
          <w:tcPr>
            <w:tcW w:w="0" w:type="auto"/>
            <w:noWrap/>
            <w:vAlign w:val="bottom"/>
            <w:hideMark/>
          </w:tcPr>
          <w:p w14:paraId="770DD92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0,2637*</w:t>
            </w:r>
          </w:p>
        </w:tc>
        <w:tc>
          <w:tcPr>
            <w:tcW w:w="0" w:type="auto"/>
            <w:noWrap/>
            <w:vAlign w:val="bottom"/>
            <w:hideMark/>
          </w:tcPr>
          <w:p w14:paraId="6950EB9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0,1613*</w:t>
            </w:r>
          </w:p>
        </w:tc>
        <w:tc>
          <w:tcPr>
            <w:tcW w:w="0" w:type="auto"/>
            <w:noWrap/>
            <w:vAlign w:val="bottom"/>
            <w:hideMark/>
          </w:tcPr>
          <w:p w14:paraId="606B2BD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0,1221*</w:t>
            </w:r>
          </w:p>
        </w:tc>
        <w:tc>
          <w:tcPr>
            <w:tcW w:w="0" w:type="auto"/>
            <w:noWrap/>
            <w:vAlign w:val="bottom"/>
            <w:hideMark/>
          </w:tcPr>
          <w:p w14:paraId="0A7CC59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0,0846*</w:t>
            </w:r>
          </w:p>
        </w:tc>
        <w:tc>
          <w:tcPr>
            <w:tcW w:w="0" w:type="auto"/>
            <w:noWrap/>
            <w:vAlign w:val="bottom"/>
            <w:hideMark/>
          </w:tcPr>
          <w:p w14:paraId="6FB53BC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0,0703*</w:t>
            </w:r>
          </w:p>
        </w:tc>
        <w:tc>
          <w:tcPr>
            <w:tcW w:w="0" w:type="auto"/>
            <w:noWrap/>
            <w:vAlign w:val="bottom"/>
            <w:hideMark/>
          </w:tcPr>
          <w:p w14:paraId="16C3EA5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0,0635*</w:t>
            </w:r>
          </w:p>
        </w:tc>
        <w:tc>
          <w:tcPr>
            <w:tcW w:w="0" w:type="auto"/>
            <w:noWrap/>
            <w:vAlign w:val="bottom"/>
            <w:hideMark/>
          </w:tcPr>
          <w:p w14:paraId="7500B36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0,0565*</w:t>
            </w:r>
          </w:p>
        </w:tc>
      </w:tr>
      <w:tr w:rsidR="00C967F6" w14:paraId="62F3076F" w14:textId="77777777" w:rsidTr="00C967F6">
        <w:trPr>
          <w:trHeight w:val="300"/>
          <w:jc w:val="center"/>
        </w:trPr>
        <w:tc>
          <w:tcPr>
            <w:tcW w:w="0" w:type="auto"/>
            <w:noWrap/>
            <w:vAlign w:val="bottom"/>
            <w:hideMark/>
          </w:tcPr>
          <w:p w14:paraId="49739410"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Sudoeste-RG</w:t>
            </w:r>
          </w:p>
        </w:tc>
        <w:tc>
          <w:tcPr>
            <w:tcW w:w="0" w:type="auto"/>
            <w:noWrap/>
            <w:vAlign w:val="bottom"/>
            <w:hideMark/>
          </w:tcPr>
          <w:p w14:paraId="72040A7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-0,0204*</w:t>
            </w:r>
          </w:p>
        </w:tc>
        <w:tc>
          <w:tcPr>
            <w:tcW w:w="0" w:type="auto"/>
            <w:noWrap/>
            <w:vAlign w:val="bottom"/>
            <w:hideMark/>
          </w:tcPr>
          <w:p w14:paraId="2012839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-0,0890*</w:t>
            </w:r>
          </w:p>
        </w:tc>
        <w:tc>
          <w:tcPr>
            <w:tcW w:w="0" w:type="auto"/>
            <w:noWrap/>
            <w:vAlign w:val="bottom"/>
            <w:hideMark/>
          </w:tcPr>
          <w:p w14:paraId="014E5A2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-0,0648*</w:t>
            </w:r>
          </w:p>
        </w:tc>
        <w:tc>
          <w:tcPr>
            <w:tcW w:w="0" w:type="auto"/>
            <w:noWrap/>
            <w:vAlign w:val="bottom"/>
            <w:hideMark/>
          </w:tcPr>
          <w:p w14:paraId="35E4282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-0,0700*</w:t>
            </w:r>
          </w:p>
        </w:tc>
        <w:tc>
          <w:tcPr>
            <w:tcW w:w="0" w:type="auto"/>
            <w:noWrap/>
            <w:vAlign w:val="bottom"/>
            <w:hideMark/>
          </w:tcPr>
          <w:p w14:paraId="0CE6738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-0,0680*</w:t>
            </w:r>
          </w:p>
        </w:tc>
        <w:tc>
          <w:tcPr>
            <w:tcW w:w="0" w:type="auto"/>
            <w:noWrap/>
            <w:vAlign w:val="bottom"/>
            <w:hideMark/>
          </w:tcPr>
          <w:p w14:paraId="7FEA1EC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-0,0590*</w:t>
            </w:r>
          </w:p>
        </w:tc>
        <w:tc>
          <w:tcPr>
            <w:tcW w:w="0" w:type="auto"/>
            <w:noWrap/>
            <w:vAlign w:val="bottom"/>
            <w:hideMark/>
          </w:tcPr>
          <w:p w14:paraId="53AB053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-0,0358*</w:t>
            </w:r>
          </w:p>
        </w:tc>
      </w:tr>
      <w:tr w:rsidR="00C967F6" w14:paraId="499D8712" w14:textId="77777777" w:rsidTr="00C967F6">
        <w:trPr>
          <w:trHeight w:val="300"/>
          <w:jc w:val="center"/>
        </w:trPr>
        <w:tc>
          <w:tcPr>
            <w:tcW w:w="0" w:type="auto"/>
            <w:noWrap/>
            <w:vAlign w:val="bottom"/>
            <w:hideMark/>
          </w:tcPr>
          <w:p w14:paraId="207116FA"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Sudeste-RG</w:t>
            </w:r>
          </w:p>
        </w:tc>
        <w:tc>
          <w:tcPr>
            <w:tcW w:w="0" w:type="auto"/>
            <w:noWrap/>
            <w:vAlign w:val="bottom"/>
            <w:hideMark/>
          </w:tcPr>
          <w:p w14:paraId="2D8B2CA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0,0148*</w:t>
            </w:r>
          </w:p>
        </w:tc>
        <w:tc>
          <w:tcPr>
            <w:tcW w:w="0" w:type="auto"/>
            <w:noWrap/>
            <w:vAlign w:val="bottom"/>
            <w:hideMark/>
          </w:tcPr>
          <w:p w14:paraId="4F3C75C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-0,0310*</w:t>
            </w:r>
          </w:p>
        </w:tc>
        <w:tc>
          <w:tcPr>
            <w:tcW w:w="0" w:type="auto"/>
            <w:noWrap/>
            <w:vAlign w:val="bottom"/>
            <w:hideMark/>
          </w:tcPr>
          <w:p w14:paraId="5D7F4A3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-0,0133*</w:t>
            </w:r>
          </w:p>
        </w:tc>
        <w:tc>
          <w:tcPr>
            <w:tcW w:w="0" w:type="auto"/>
            <w:noWrap/>
            <w:vAlign w:val="bottom"/>
            <w:hideMark/>
          </w:tcPr>
          <w:p w14:paraId="774E90D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-0,0239*</w:t>
            </w:r>
          </w:p>
        </w:tc>
        <w:tc>
          <w:tcPr>
            <w:tcW w:w="0" w:type="auto"/>
            <w:noWrap/>
            <w:vAlign w:val="bottom"/>
            <w:hideMark/>
          </w:tcPr>
          <w:p w14:paraId="1C17942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-0,0146*</w:t>
            </w:r>
          </w:p>
        </w:tc>
        <w:tc>
          <w:tcPr>
            <w:tcW w:w="0" w:type="auto"/>
            <w:noWrap/>
            <w:vAlign w:val="bottom"/>
            <w:hideMark/>
          </w:tcPr>
          <w:p w14:paraId="4F9B3C0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0,0038*</w:t>
            </w:r>
          </w:p>
        </w:tc>
        <w:tc>
          <w:tcPr>
            <w:tcW w:w="0" w:type="auto"/>
            <w:noWrap/>
            <w:vAlign w:val="bottom"/>
            <w:hideMark/>
          </w:tcPr>
          <w:p w14:paraId="115A208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0,0082*</w:t>
            </w:r>
          </w:p>
        </w:tc>
      </w:tr>
      <w:tr w:rsidR="00C967F6" w14:paraId="11AF4CBB" w14:textId="77777777" w:rsidTr="00C967F6">
        <w:trPr>
          <w:trHeight w:val="300"/>
          <w:jc w:val="center"/>
        </w:trPr>
        <w:tc>
          <w:tcPr>
            <w:tcW w:w="0" w:type="auto"/>
            <w:gridSpan w:val="8"/>
            <w:noWrap/>
            <w:vAlign w:val="bottom"/>
            <w:hideMark/>
          </w:tcPr>
          <w:p w14:paraId="3B539CB3"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Ensino Formal</w:t>
            </w:r>
          </w:p>
        </w:tc>
      </w:tr>
      <w:tr w:rsidR="00C967F6" w14:paraId="10B98DF4" w14:textId="77777777" w:rsidTr="00C967F6">
        <w:trPr>
          <w:trHeight w:val="300"/>
          <w:jc w:val="center"/>
        </w:trPr>
        <w:tc>
          <w:tcPr>
            <w:tcW w:w="0" w:type="auto"/>
            <w:noWrap/>
            <w:vAlign w:val="bottom"/>
            <w:hideMark/>
          </w:tcPr>
          <w:p w14:paraId="0D1F6346"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Fundamental I</w:t>
            </w:r>
          </w:p>
        </w:tc>
        <w:tc>
          <w:tcPr>
            <w:tcW w:w="0" w:type="auto"/>
            <w:noWrap/>
            <w:vAlign w:val="bottom"/>
            <w:hideMark/>
          </w:tcPr>
          <w:p w14:paraId="083036E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0,0282*</w:t>
            </w:r>
          </w:p>
        </w:tc>
        <w:tc>
          <w:tcPr>
            <w:tcW w:w="0" w:type="auto"/>
            <w:noWrap/>
            <w:vAlign w:val="bottom"/>
            <w:hideMark/>
          </w:tcPr>
          <w:p w14:paraId="3CB6A71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0,1064*</w:t>
            </w:r>
          </w:p>
        </w:tc>
        <w:tc>
          <w:tcPr>
            <w:tcW w:w="0" w:type="auto"/>
            <w:noWrap/>
            <w:vAlign w:val="bottom"/>
            <w:hideMark/>
          </w:tcPr>
          <w:p w14:paraId="4634E42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0,0748*</w:t>
            </w:r>
          </w:p>
        </w:tc>
        <w:tc>
          <w:tcPr>
            <w:tcW w:w="0" w:type="auto"/>
            <w:noWrap/>
            <w:vAlign w:val="bottom"/>
            <w:hideMark/>
          </w:tcPr>
          <w:p w14:paraId="7621EBA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0,0845*</w:t>
            </w:r>
          </w:p>
        </w:tc>
        <w:tc>
          <w:tcPr>
            <w:tcW w:w="0" w:type="auto"/>
            <w:noWrap/>
            <w:vAlign w:val="bottom"/>
            <w:hideMark/>
          </w:tcPr>
          <w:p w14:paraId="0E5B7CE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0,0844*</w:t>
            </w:r>
          </w:p>
        </w:tc>
        <w:tc>
          <w:tcPr>
            <w:tcW w:w="0" w:type="auto"/>
            <w:noWrap/>
            <w:vAlign w:val="bottom"/>
            <w:hideMark/>
          </w:tcPr>
          <w:p w14:paraId="66D38C2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0,0574*</w:t>
            </w:r>
          </w:p>
        </w:tc>
        <w:tc>
          <w:tcPr>
            <w:tcW w:w="0" w:type="auto"/>
            <w:noWrap/>
            <w:vAlign w:val="bottom"/>
            <w:hideMark/>
          </w:tcPr>
          <w:p w14:paraId="5CB46CA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0,0393*</w:t>
            </w:r>
          </w:p>
        </w:tc>
      </w:tr>
      <w:tr w:rsidR="00C967F6" w14:paraId="606BB7EC" w14:textId="77777777" w:rsidTr="00C967F6">
        <w:trPr>
          <w:trHeight w:val="300"/>
          <w:jc w:val="center"/>
        </w:trPr>
        <w:tc>
          <w:tcPr>
            <w:tcW w:w="0" w:type="auto"/>
            <w:noWrap/>
            <w:vAlign w:val="bottom"/>
            <w:hideMark/>
          </w:tcPr>
          <w:p w14:paraId="3987751A"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Fundamental II</w:t>
            </w:r>
          </w:p>
        </w:tc>
        <w:tc>
          <w:tcPr>
            <w:tcW w:w="0" w:type="auto"/>
            <w:noWrap/>
            <w:vAlign w:val="bottom"/>
            <w:hideMark/>
          </w:tcPr>
          <w:p w14:paraId="1CA4276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0,1245*</w:t>
            </w:r>
          </w:p>
        </w:tc>
        <w:tc>
          <w:tcPr>
            <w:tcW w:w="0" w:type="auto"/>
            <w:noWrap/>
            <w:vAlign w:val="bottom"/>
            <w:hideMark/>
          </w:tcPr>
          <w:p w14:paraId="6088AD2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0,1723*</w:t>
            </w:r>
          </w:p>
        </w:tc>
        <w:tc>
          <w:tcPr>
            <w:tcW w:w="0" w:type="auto"/>
            <w:noWrap/>
            <w:vAlign w:val="bottom"/>
            <w:hideMark/>
          </w:tcPr>
          <w:p w14:paraId="7666977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0,1321*</w:t>
            </w:r>
          </w:p>
        </w:tc>
        <w:tc>
          <w:tcPr>
            <w:tcW w:w="0" w:type="auto"/>
            <w:noWrap/>
            <w:vAlign w:val="bottom"/>
            <w:hideMark/>
          </w:tcPr>
          <w:p w14:paraId="58CE81B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0,1332*</w:t>
            </w:r>
          </w:p>
        </w:tc>
        <w:tc>
          <w:tcPr>
            <w:tcW w:w="0" w:type="auto"/>
            <w:noWrap/>
            <w:vAlign w:val="bottom"/>
            <w:hideMark/>
          </w:tcPr>
          <w:p w14:paraId="0552DAC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0,1191*</w:t>
            </w:r>
          </w:p>
        </w:tc>
        <w:tc>
          <w:tcPr>
            <w:tcW w:w="0" w:type="auto"/>
            <w:noWrap/>
            <w:vAlign w:val="bottom"/>
            <w:hideMark/>
          </w:tcPr>
          <w:p w14:paraId="56A04FA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0,0888*</w:t>
            </w:r>
          </w:p>
        </w:tc>
        <w:tc>
          <w:tcPr>
            <w:tcW w:w="0" w:type="auto"/>
            <w:noWrap/>
            <w:vAlign w:val="bottom"/>
            <w:hideMark/>
          </w:tcPr>
          <w:p w14:paraId="5F1C6C1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0,0624*</w:t>
            </w:r>
          </w:p>
        </w:tc>
      </w:tr>
      <w:tr w:rsidR="00C967F6" w14:paraId="770F4FEC" w14:textId="77777777" w:rsidTr="00C967F6">
        <w:trPr>
          <w:trHeight w:val="300"/>
          <w:jc w:val="center"/>
        </w:trPr>
        <w:tc>
          <w:tcPr>
            <w:tcW w:w="0" w:type="auto"/>
            <w:noWrap/>
            <w:vAlign w:val="bottom"/>
            <w:hideMark/>
          </w:tcPr>
          <w:p w14:paraId="1F7BC575"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Médio Incompleto</w:t>
            </w:r>
          </w:p>
        </w:tc>
        <w:tc>
          <w:tcPr>
            <w:tcW w:w="0" w:type="auto"/>
            <w:noWrap/>
            <w:vAlign w:val="bottom"/>
            <w:hideMark/>
          </w:tcPr>
          <w:p w14:paraId="6A52E27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0,2035*</w:t>
            </w:r>
          </w:p>
        </w:tc>
        <w:tc>
          <w:tcPr>
            <w:tcW w:w="0" w:type="auto"/>
            <w:noWrap/>
            <w:vAlign w:val="bottom"/>
            <w:hideMark/>
          </w:tcPr>
          <w:p w14:paraId="08C785B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0,2197*</w:t>
            </w:r>
          </w:p>
        </w:tc>
        <w:tc>
          <w:tcPr>
            <w:tcW w:w="0" w:type="auto"/>
            <w:noWrap/>
            <w:vAlign w:val="bottom"/>
            <w:hideMark/>
          </w:tcPr>
          <w:p w14:paraId="6962839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0,1551*</w:t>
            </w:r>
          </w:p>
        </w:tc>
        <w:tc>
          <w:tcPr>
            <w:tcW w:w="0" w:type="auto"/>
            <w:noWrap/>
            <w:vAlign w:val="bottom"/>
            <w:hideMark/>
          </w:tcPr>
          <w:p w14:paraId="035E3EB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0,1401*</w:t>
            </w:r>
          </w:p>
        </w:tc>
        <w:tc>
          <w:tcPr>
            <w:tcW w:w="0" w:type="auto"/>
            <w:noWrap/>
            <w:vAlign w:val="bottom"/>
            <w:hideMark/>
          </w:tcPr>
          <w:p w14:paraId="5198178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0,1082*</w:t>
            </w:r>
          </w:p>
        </w:tc>
        <w:tc>
          <w:tcPr>
            <w:tcW w:w="0" w:type="auto"/>
            <w:noWrap/>
            <w:vAlign w:val="bottom"/>
            <w:hideMark/>
          </w:tcPr>
          <w:p w14:paraId="52CB0F8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0,0627*</w:t>
            </w:r>
          </w:p>
        </w:tc>
        <w:tc>
          <w:tcPr>
            <w:tcW w:w="0" w:type="auto"/>
            <w:noWrap/>
            <w:vAlign w:val="bottom"/>
            <w:hideMark/>
          </w:tcPr>
          <w:p w14:paraId="531F691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0,0326*</w:t>
            </w:r>
          </w:p>
        </w:tc>
      </w:tr>
      <w:tr w:rsidR="00C967F6" w14:paraId="456D00DB" w14:textId="77777777" w:rsidTr="00C967F6">
        <w:trPr>
          <w:trHeight w:val="300"/>
          <w:jc w:val="center"/>
        </w:trPr>
        <w:tc>
          <w:tcPr>
            <w:tcW w:w="0" w:type="auto"/>
            <w:noWrap/>
            <w:vAlign w:val="bottom"/>
            <w:hideMark/>
          </w:tcPr>
          <w:p w14:paraId="217A1642"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Médio Completo</w:t>
            </w:r>
          </w:p>
        </w:tc>
        <w:tc>
          <w:tcPr>
            <w:tcW w:w="0" w:type="auto"/>
            <w:noWrap/>
            <w:vAlign w:val="bottom"/>
            <w:hideMark/>
          </w:tcPr>
          <w:p w14:paraId="63B4AFD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0,3635*</w:t>
            </w:r>
          </w:p>
        </w:tc>
        <w:tc>
          <w:tcPr>
            <w:tcW w:w="0" w:type="auto"/>
            <w:noWrap/>
            <w:vAlign w:val="bottom"/>
            <w:hideMark/>
          </w:tcPr>
          <w:p w14:paraId="25CA274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0,3554*</w:t>
            </w:r>
          </w:p>
        </w:tc>
        <w:tc>
          <w:tcPr>
            <w:tcW w:w="0" w:type="auto"/>
            <w:noWrap/>
            <w:vAlign w:val="bottom"/>
            <w:hideMark/>
          </w:tcPr>
          <w:p w14:paraId="5752227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0,2773*</w:t>
            </w:r>
          </w:p>
        </w:tc>
        <w:tc>
          <w:tcPr>
            <w:tcW w:w="0" w:type="auto"/>
            <w:noWrap/>
            <w:vAlign w:val="bottom"/>
            <w:hideMark/>
          </w:tcPr>
          <w:p w14:paraId="05010E3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0,2485*</w:t>
            </w:r>
          </w:p>
        </w:tc>
        <w:tc>
          <w:tcPr>
            <w:tcW w:w="0" w:type="auto"/>
            <w:noWrap/>
            <w:vAlign w:val="bottom"/>
            <w:hideMark/>
          </w:tcPr>
          <w:p w14:paraId="148C204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0,2203*</w:t>
            </w:r>
          </w:p>
        </w:tc>
        <w:tc>
          <w:tcPr>
            <w:tcW w:w="0" w:type="auto"/>
            <w:noWrap/>
            <w:vAlign w:val="bottom"/>
            <w:hideMark/>
          </w:tcPr>
          <w:p w14:paraId="5EBF807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0,1907*</w:t>
            </w:r>
          </w:p>
        </w:tc>
        <w:tc>
          <w:tcPr>
            <w:tcW w:w="0" w:type="auto"/>
            <w:noWrap/>
            <w:vAlign w:val="bottom"/>
            <w:hideMark/>
          </w:tcPr>
          <w:p w14:paraId="73B016F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0,1530*</w:t>
            </w:r>
          </w:p>
        </w:tc>
      </w:tr>
      <w:tr w:rsidR="00C967F6" w14:paraId="6150F784" w14:textId="77777777" w:rsidTr="00C967F6">
        <w:trPr>
          <w:trHeight w:val="300"/>
          <w:jc w:val="center"/>
        </w:trPr>
        <w:tc>
          <w:tcPr>
            <w:tcW w:w="0" w:type="auto"/>
            <w:noWrap/>
            <w:vAlign w:val="bottom"/>
            <w:hideMark/>
          </w:tcPr>
          <w:p w14:paraId="01C69B38"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Superior Incompleto</w:t>
            </w:r>
          </w:p>
        </w:tc>
        <w:tc>
          <w:tcPr>
            <w:tcW w:w="0" w:type="auto"/>
            <w:noWrap/>
            <w:vAlign w:val="bottom"/>
            <w:hideMark/>
          </w:tcPr>
          <w:p w14:paraId="3B3D55A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0,5867*</w:t>
            </w:r>
          </w:p>
        </w:tc>
        <w:tc>
          <w:tcPr>
            <w:tcW w:w="0" w:type="auto"/>
            <w:noWrap/>
            <w:vAlign w:val="bottom"/>
            <w:hideMark/>
          </w:tcPr>
          <w:p w14:paraId="3B0C159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0,5322*</w:t>
            </w:r>
          </w:p>
        </w:tc>
        <w:tc>
          <w:tcPr>
            <w:tcW w:w="0" w:type="auto"/>
            <w:noWrap/>
            <w:vAlign w:val="bottom"/>
            <w:hideMark/>
          </w:tcPr>
          <w:p w14:paraId="59A4AFC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0,4620*</w:t>
            </w:r>
          </w:p>
        </w:tc>
        <w:tc>
          <w:tcPr>
            <w:tcW w:w="0" w:type="auto"/>
            <w:noWrap/>
            <w:vAlign w:val="bottom"/>
            <w:hideMark/>
          </w:tcPr>
          <w:p w14:paraId="1DF9079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0,4255*</w:t>
            </w:r>
          </w:p>
        </w:tc>
        <w:tc>
          <w:tcPr>
            <w:tcW w:w="0" w:type="auto"/>
            <w:noWrap/>
            <w:vAlign w:val="bottom"/>
            <w:hideMark/>
          </w:tcPr>
          <w:p w14:paraId="75A4131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0,3908*</w:t>
            </w:r>
          </w:p>
        </w:tc>
        <w:tc>
          <w:tcPr>
            <w:tcW w:w="0" w:type="auto"/>
            <w:noWrap/>
            <w:vAlign w:val="bottom"/>
            <w:hideMark/>
          </w:tcPr>
          <w:p w14:paraId="327CB21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0,3373*</w:t>
            </w:r>
          </w:p>
        </w:tc>
        <w:tc>
          <w:tcPr>
            <w:tcW w:w="0" w:type="auto"/>
            <w:noWrap/>
            <w:vAlign w:val="bottom"/>
            <w:hideMark/>
          </w:tcPr>
          <w:p w14:paraId="74C915A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0,2664*</w:t>
            </w:r>
          </w:p>
        </w:tc>
      </w:tr>
      <w:tr w:rsidR="00C967F6" w14:paraId="67930DD4" w14:textId="77777777" w:rsidTr="00C967F6">
        <w:trPr>
          <w:trHeight w:val="300"/>
          <w:jc w:val="center"/>
        </w:trPr>
        <w:tc>
          <w:tcPr>
            <w:tcW w:w="0" w:type="auto"/>
            <w:noWrap/>
            <w:vAlign w:val="bottom"/>
            <w:hideMark/>
          </w:tcPr>
          <w:p w14:paraId="7A347E5B"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Superior Completo</w:t>
            </w:r>
          </w:p>
        </w:tc>
        <w:tc>
          <w:tcPr>
            <w:tcW w:w="0" w:type="auto"/>
            <w:noWrap/>
            <w:vAlign w:val="bottom"/>
            <w:hideMark/>
          </w:tcPr>
          <w:p w14:paraId="4AE06F7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0,7701*</w:t>
            </w:r>
          </w:p>
        </w:tc>
        <w:tc>
          <w:tcPr>
            <w:tcW w:w="0" w:type="auto"/>
            <w:noWrap/>
            <w:vAlign w:val="bottom"/>
            <w:hideMark/>
          </w:tcPr>
          <w:p w14:paraId="1F21966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0,8352*</w:t>
            </w:r>
          </w:p>
        </w:tc>
        <w:tc>
          <w:tcPr>
            <w:tcW w:w="0" w:type="auto"/>
            <w:noWrap/>
            <w:vAlign w:val="bottom"/>
            <w:hideMark/>
          </w:tcPr>
          <w:p w14:paraId="6694BE2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0,6703*</w:t>
            </w:r>
          </w:p>
        </w:tc>
        <w:tc>
          <w:tcPr>
            <w:tcW w:w="0" w:type="auto"/>
            <w:noWrap/>
            <w:vAlign w:val="bottom"/>
            <w:hideMark/>
          </w:tcPr>
          <w:p w14:paraId="734F768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0,6267*</w:t>
            </w:r>
          </w:p>
        </w:tc>
        <w:tc>
          <w:tcPr>
            <w:tcW w:w="0" w:type="auto"/>
            <w:noWrap/>
            <w:vAlign w:val="bottom"/>
            <w:hideMark/>
          </w:tcPr>
          <w:p w14:paraId="4A82A76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0,6086*</w:t>
            </w:r>
          </w:p>
        </w:tc>
        <w:tc>
          <w:tcPr>
            <w:tcW w:w="0" w:type="auto"/>
            <w:noWrap/>
            <w:vAlign w:val="bottom"/>
            <w:hideMark/>
          </w:tcPr>
          <w:p w14:paraId="115DFC0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0,5844*</w:t>
            </w:r>
          </w:p>
        </w:tc>
        <w:tc>
          <w:tcPr>
            <w:tcW w:w="0" w:type="auto"/>
            <w:noWrap/>
            <w:vAlign w:val="bottom"/>
            <w:hideMark/>
          </w:tcPr>
          <w:p w14:paraId="5D99926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0,5066*</w:t>
            </w:r>
          </w:p>
        </w:tc>
      </w:tr>
      <w:tr w:rsidR="00C967F6" w14:paraId="27D9DB0C" w14:textId="77777777" w:rsidTr="00C967F6">
        <w:trPr>
          <w:trHeight w:val="300"/>
          <w:jc w:val="center"/>
        </w:trPr>
        <w:tc>
          <w:tcPr>
            <w:tcW w:w="0" w:type="auto"/>
            <w:noWrap/>
            <w:vAlign w:val="bottom"/>
            <w:hideMark/>
          </w:tcPr>
          <w:p w14:paraId="0F865AA1"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Pós-Graduação</w:t>
            </w:r>
          </w:p>
        </w:tc>
        <w:tc>
          <w:tcPr>
            <w:tcW w:w="0" w:type="auto"/>
            <w:noWrap/>
            <w:vAlign w:val="bottom"/>
            <w:hideMark/>
          </w:tcPr>
          <w:p w14:paraId="304F997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0" w:type="auto"/>
            <w:noWrap/>
            <w:vAlign w:val="bottom"/>
            <w:hideMark/>
          </w:tcPr>
          <w:p w14:paraId="78BE84C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0" w:type="auto"/>
            <w:noWrap/>
            <w:vAlign w:val="bottom"/>
            <w:hideMark/>
          </w:tcPr>
          <w:p w14:paraId="3FF8A26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1,1429*</w:t>
            </w:r>
          </w:p>
        </w:tc>
        <w:tc>
          <w:tcPr>
            <w:tcW w:w="0" w:type="auto"/>
            <w:noWrap/>
            <w:vAlign w:val="bottom"/>
            <w:hideMark/>
          </w:tcPr>
          <w:p w14:paraId="407A463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1,1083*</w:t>
            </w:r>
          </w:p>
        </w:tc>
        <w:tc>
          <w:tcPr>
            <w:tcW w:w="0" w:type="auto"/>
            <w:noWrap/>
            <w:vAlign w:val="bottom"/>
            <w:hideMark/>
          </w:tcPr>
          <w:p w14:paraId="2DE4AA2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1,0241*</w:t>
            </w:r>
          </w:p>
        </w:tc>
        <w:tc>
          <w:tcPr>
            <w:tcW w:w="0" w:type="auto"/>
            <w:noWrap/>
            <w:vAlign w:val="bottom"/>
            <w:hideMark/>
          </w:tcPr>
          <w:p w14:paraId="3860BC3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1,0441*</w:t>
            </w:r>
          </w:p>
        </w:tc>
        <w:tc>
          <w:tcPr>
            <w:tcW w:w="0" w:type="auto"/>
            <w:noWrap/>
            <w:vAlign w:val="bottom"/>
            <w:hideMark/>
          </w:tcPr>
          <w:p w14:paraId="722245B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0,9561*</w:t>
            </w:r>
          </w:p>
        </w:tc>
      </w:tr>
      <w:tr w:rsidR="00C967F6" w14:paraId="1CADB1EA" w14:textId="77777777" w:rsidTr="00C967F6">
        <w:trPr>
          <w:trHeight w:val="300"/>
          <w:jc w:val="center"/>
        </w:trPr>
        <w:tc>
          <w:tcPr>
            <w:tcW w:w="0" w:type="auto"/>
            <w:gridSpan w:val="8"/>
            <w:noWrap/>
            <w:vAlign w:val="bottom"/>
            <w:hideMark/>
          </w:tcPr>
          <w:p w14:paraId="6BB5132E"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Tempo no emprego</w:t>
            </w:r>
          </w:p>
        </w:tc>
      </w:tr>
      <w:tr w:rsidR="00C967F6" w14:paraId="6E3A80BF" w14:textId="77777777" w:rsidTr="00C967F6">
        <w:trPr>
          <w:trHeight w:val="300"/>
          <w:jc w:val="center"/>
        </w:trPr>
        <w:tc>
          <w:tcPr>
            <w:tcW w:w="0" w:type="auto"/>
            <w:noWrap/>
            <w:vAlign w:val="bottom"/>
            <w:hideMark/>
          </w:tcPr>
          <w:p w14:paraId="4E8F2E8E"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 a 3 anos</w:t>
            </w:r>
          </w:p>
        </w:tc>
        <w:tc>
          <w:tcPr>
            <w:tcW w:w="0" w:type="auto"/>
            <w:noWrap/>
            <w:vAlign w:val="bottom"/>
            <w:hideMark/>
          </w:tcPr>
          <w:p w14:paraId="65F9E18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0,1197*</w:t>
            </w:r>
          </w:p>
        </w:tc>
        <w:tc>
          <w:tcPr>
            <w:tcW w:w="0" w:type="auto"/>
            <w:noWrap/>
            <w:vAlign w:val="bottom"/>
            <w:hideMark/>
          </w:tcPr>
          <w:p w14:paraId="3E4E50D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0,0963*</w:t>
            </w:r>
          </w:p>
        </w:tc>
        <w:tc>
          <w:tcPr>
            <w:tcW w:w="0" w:type="auto"/>
            <w:noWrap/>
            <w:vAlign w:val="bottom"/>
            <w:hideMark/>
          </w:tcPr>
          <w:p w14:paraId="5D7F01B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0,0912*</w:t>
            </w:r>
          </w:p>
        </w:tc>
        <w:tc>
          <w:tcPr>
            <w:tcW w:w="0" w:type="auto"/>
            <w:noWrap/>
            <w:vAlign w:val="bottom"/>
            <w:hideMark/>
          </w:tcPr>
          <w:p w14:paraId="6C70E41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0,0914*</w:t>
            </w:r>
          </w:p>
        </w:tc>
        <w:tc>
          <w:tcPr>
            <w:tcW w:w="0" w:type="auto"/>
            <w:noWrap/>
            <w:vAlign w:val="bottom"/>
            <w:hideMark/>
          </w:tcPr>
          <w:p w14:paraId="41EB9C8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0,0961*</w:t>
            </w:r>
          </w:p>
        </w:tc>
        <w:tc>
          <w:tcPr>
            <w:tcW w:w="0" w:type="auto"/>
            <w:noWrap/>
            <w:vAlign w:val="bottom"/>
            <w:hideMark/>
          </w:tcPr>
          <w:p w14:paraId="06DFB97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0,0936*</w:t>
            </w:r>
          </w:p>
        </w:tc>
        <w:tc>
          <w:tcPr>
            <w:tcW w:w="0" w:type="auto"/>
            <w:noWrap/>
            <w:vAlign w:val="bottom"/>
            <w:hideMark/>
          </w:tcPr>
          <w:p w14:paraId="4FD9B67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0,0622*</w:t>
            </w:r>
          </w:p>
        </w:tc>
      </w:tr>
      <w:tr w:rsidR="00C967F6" w14:paraId="448BEC64" w14:textId="77777777" w:rsidTr="00C967F6">
        <w:trPr>
          <w:trHeight w:val="300"/>
          <w:jc w:val="center"/>
        </w:trPr>
        <w:tc>
          <w:tcPr>
            <w:tcW w:w="0" w:type="auto"/>
            <w:noWrap/>
            <w:vAlign w:val="bottom"/>
            <w:hideMark/>
          </w:tcPr>
          <w:p w14:paraId="556A0716"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 a 5 anos</w:t>
            </w:r>
          </w:p>
        </w:tc>
        <w:tc>
          <w:tcPr>
            <w:tcW w:w="0" w:type="auto"/>
            <w:noWrap/>
            <w:vAlign w:val="bottom"/>
            <w:hideMark/>
          </w:tcPr>
          <w:p w14:paraId="5F9EBFD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0,2312*</w:t>
            </w:r>
          </w:p>
        </w:tc>
        <w:tc>
          <w:tcPr>
            <w:tcW w:w="0" w:type="auto"/>
            <w:noWrap/>
            <w:vAlign w:val="bottom"/>
            <w:hideMark/>
          </w:tcPr>
          <w:p w14:paraId="6831932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0,1883*</w:t>
            </w:r>
          </w:p>
        </w:tc>
        <w:tc>
          <w:tcPr>
            <w:tcW w:w="0" w:type="auto"/>
            <w:noWrap/>
            <w:vAlign w:val="bottom"/>
            <w:hideMark/>
          </w:tcPr>
          <w:p w14:paraId="50E85F3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0,1606*</w:t>
            </w:r>
          </w:p>
        </w:tc>
        <w:tc>
          <w:tcPr>
            <w:tcW w:w="0" w:type="auto"/>
            <w:noWrap/>
            <w:vAlign w:val="bottom"/>
            <w:hideMark/>
          </w:tcPr>
          <w:p w14:paraId="7D9AC04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0,1773*</w:t>
            </w:r>
          </w:p>
        </w:tc>
        <w:tc>
          <w:tcPr>
            <w:tcW w:w="0" w:type="auto"/>
            <w:noWrap/>
            <w:vAlign w:val="bottom"/>
            <w:hideMark/>
          </w:tcPr>
          <w:p w14:paraId="34D0A16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0,1794*</w:t>
            </w:r>
          </w:p>
        </w:tc>
        <w:tc>
          <w:tcPr>
            <w:tcW w:w="0" w:type="auto"/>
            <w:noWrap/>
            <w:vAlign w:val="bottom"/>
            <w:hideMark/>
          </w:tcPr>
          <w:p w14:paraId="42CC5B8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0,1794*</w:t>
            </w:r>
          </w:p>
        </w:tc>
        <w:tc>
          <w:tcPr>
            <w:tcW w:w="0" w:type="auto"/>
            <w:noWrap/>
            <w:vAlign w:val="bottom"/>
            <w:hideMark/>
          </w:tcPr>
          <w:p w14:paraId="34E15BC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0,1559*</w:t>
            </w:r>
          </w:p>
        </w:tc>
      </w:tr>
      <w:tr w:rsidR="00C967F6" w14:paraId="22D1ED1A" w14:textId="77777777" w:rsidTr="00C967F6">
        <w:trPr>
          <w:trHeight w:val="300"/>
          <w:jc w:val="center"/>
        </w:trPr>
        <w:tc>
          <w:tcPr>
            <w:tcW w:w="0" w:type="auto"/>
            <w:noWrap/>
            <w:vAlign w:val="bottom"/>
            <w:hideMark/>
          </w:tcPr>
          <w:p w14:paraId="46F88A26"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 a 10 ano</w:t>
            </w:r>
          </w:p>
        </w:tc>
        <w:tc>
          <w:tcPr>
            <w:tcW w:w="0" w:type="auto"/>
            <w:noWrap/>
            <w:vAlign w:val="bottom"/>
            <w:hideMark/>
          </w:tcPr>
          <w:p w14:paraId="47D8BB2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0,3459*</w:t>
            </w:r>
          </w:p>
        </w:tc>
        <w:tc>
          <w:tcPr>
            <w:tcW w:w="0" w:type="auto"/>
            <w:noWrap/>
            <w:vAlign w:val="bottom"/>
            <w:hideMark/>
          </w:tcPr>
          <w:p w14:paraId="608FCD5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0,3146*</w:t>
            </w:r>
          </w:p>
        </w:tc>
        <w:tc>
          <w:tcPr>
            <w:tcW w:w="0" w:type="auto"/>
            <w:noWrap/>
            <w:vAlign w:val="bottom"/>
            <w:hideMark/>
          </w:tcPr>
          <w:p w14:paraId="07C528B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0,2788*</w:t>
            </w:r>
          </w:p>
        </w:tc>
        <w:tc>
          <w:tcPr>
            <w:tcW w:w="0" w:type="auto"/>
            <w:noWrap/>
            <w:vAlign w:val="bottom"/>
            <w:hideMark/>
          </w:tcPr>
          <w:p w14:paraId="31B8EC5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0,2556*</w:t>
            </w:r>
          </w:p>
        </w:tc>
        <w:tc>
          <w:tcPr>
            <w:tcW w:w="0" w:type="auto"/>
            <w:noWrap/>
            <w:vAlign w:val="bottom"/>
            <w:hideMark/>
          </w:tcPr>
          <w:p w14:paraId="1E4EE3D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0,2770*</w:t>
            </w:r>
          </w:p>
        </w:tc>
        <w:tc>
          <w:tcPr>
            <w:tcW w:w="0" w:type="auto"/>
            <w:noWrap/>
            <w:vAlign w:val="bottom"/>
            <w:hideMark/>
          </w:tcPr>
          <w:p w14:paraId="5386EDE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0,2726*</w:t>
            </w:r>
          </w:p>
        </w:tc>
        <w:tc>
          <w:tcPr>
            <w:tcW w:w="0" w:type="auto"/>
            <w:noWrap/>
            <w:vAlign w:val="bottom"/>
            <w:hideMark/>
          </w:tcPr>
          <w:p w14:paraId="7A62292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0,2415*</w:t>
            </w:r>
          </w:p>
        </w:tc>
      </w:tr>
      <w:tr w:rsidR="00C967F6" w14:paraId="4238FEE6" w14:textId="77777777" w:rsidTr="00C967F6">
        <w:trPr>
          <w:trHeight w:val="300"/>
          <w:jc w:val="center"/>
        </w:trPr>
        <w:tc>
          <w:tcPr>
            <w:tcW w:w="0" w:type="auto"/>
            <w:tcBorders>
              <w:top w:val="nil"/>
              <w:left w:val="nil"/>
              <w:bottom w:val="single" w:sz="4" w:space="0" w:color="auto"/>
              <w:right w:val="nil"/>
            </w:tcBorders>
            <w:noWrap/>
            <w:vAlign w:val="bottom"/>
            <w:hideMark/>
          </w:tcPr>
          <w:p w14:paraId="6A81C4CD"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 ou mais anos</w:t>
            </w:r>
          </w:p>
        </w:tc>
        <w:tc>
          <w:tcPr>
            <w:tcW w:w="0" w:type="auto"/>
            <w:tcBorders>
              <w:top w:val="nil"/>
              <w:left w:val="nil"/>
              <w:bottom w:val="single" w:sz="4" w:space="0" w:color="auto"/>
              <w:right w:val="nil"/>
            </w:tcBorders>
            <w:noWrap/>
            <w:vAlign w:val="bottom"/>
            <w:hideMark/>
          </w:tcPr>
          <w:p w14:paraId="0F67DBD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0,6234*</w:t>
            </w:r>
          </w:p>
        </w:tc>
        <w:tc>
          <w:tcPr>
            <w:tcW w:w="0" w:type="auto"/>
            <w:tcBorders>
              <w:top w:val="nil"/>
              <w:left w:val="nil"/>
              <w:bottom w:val="single" w:sz="4" w:space="0" w:color="auto"/>
              <w:right w:val="nil"/>
            </w:tcBorders>
            <w:noWrap/>
            <w:vAlign w:val="bottom"/>
            <w:hideMark/>
          </w:tcPr>
          <w:p w14:paraId="1E68B79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0,5671*</w:t>
            </w:r>
          </w:p>
        </w:tc>
        <w:tc>
          <w:tcPr>
            <w:tcW w:w="0" w:type="auto"/>
            <w:tcBorders>
              <w:top w:val="nil"/>
              <w:left w:val="nil"/>
              <w:bottom w:val="single" w:sz="4" w:space="0" w:color="auto"/>
              <w:right w:val="nil"/>
            </w:tcBorders>
            <w:noWrap/>
            <w:vAlign w:val="bottom"/>
            <w:hideMark/>
          </w:tcPr>
          <w:p w14:paraId="3259084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0,5313*</w:t>
            </w:r>
          </w:p>
        </w:tc>
        <w:tc>
          <w:tcPr>
            <w:tcW w:w="0" w:type="auto"/>
            <w:tcBorders>
              <w:top w:val="nil"/>
              <w:left w:val="nil"/>
              <w:bottom w:val="single" w:sz="4" w:space="0" w:color="auto"/>
              <w:right w:val="nil"/>
            </w:tcBorders>
            <w:noWrap/>
            <w:vAlign w:val="bottom"/>
            <w:hideMark/>
          </w:tcPr>
          <w:p w14:paraId="1CA0855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0,5434*</w:t>
            </w:r>
          </w:p>
        </w:tc>
        <w:tc>
          <w:tcPr>
            <w:tcW w:w="0" w:type="auto"/>
            <w:tcBorders>
              <w:top w:val="nil"/>
              <w:left w:val="nil"/>
              <w:bottom w:val="single" w:sz="4" w:space="0" w:color="auto"/>
              <w:right w:val="nil"/>
            </w:tcBorders>
            <w:noWrap/>
            <w:vAlign w:val="bottom"/>
            <w:hideMark/>
          </w:tcPr>
          <w:p w14:paraId="5528D8E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0,5256*</w:t>
            </w:r>
          </w:p>
        </w:tc>
        <w:tc>
          <w:tcPr>
            <w:tcW w:w="0" w:type="auto"/>
            <w:tcBorders>
              <w:top w:val="nil"/>
              <w:left w:val="nil"/>
              <w:bottom w:val="single" w:sz="4" w:space="0" w:color="auto"/>
              <w:right w:val="nil"/>
            </w:tcBorders>
            <w:noWrap/>
            <w:vAlign w:val="bottom"/>
            <w:hideMark/>
          </w:tcPr>
          <w:p w14:paraId="1B164F3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0,5221*</w:t>
            </w:r>
          </w:p>
        </w:tc>
        <w:tc>
          <w:tcPr>
            <w:tcW w:w="0" w:type="auto"/>
            <w:tcBorders>
              <w:top w:val="nil"/>
              <w:left w:val="nil"/>
              <w:bottom w:val="single" w:sz="4" w:space="0" w:color="auto"/>
              <w:right w:val="nil"/>
            </w:tcBorders>
            <w:noWrap/>
            <w:vAlign w:val="bottom"/>
            <w:hideMark/>
          </w:tcPr>
          <w:p w14:paraId="41E9D26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0,4730*</w:t>
            </w:r>
          </w:p>
        </w:tc>
      </w:tr>
    </w:tbl>
    <w:p w14:paraId="1F979CB7" w14:textId="3D4DA1FA" w:rsidR="00C967F6" w:rsidRDefault="00C967F6" w:rsidP="00C967F6">
      <w:pPr>
        <w:spacing w:after="0"/>
        <w:rPr>
          <w:rFonts w:ascii="Times New Roman" w:hAnsi="Times New Roman" w:cs="Times New Roman"/>
        </w:rPr>
      </w:pPr>
      <w:r>
        <w:rPr>
          <w:rFonts w:ascii="Times New Roman" w:hAnsi="Times New Roman" w:cs="Times New Roman"/>
          <w:b/>
        </w:rPr>
        <w:lastRenderedPageBreak/>
        <w:t>Fonte</w:t>
      </w:r>
      <w:r>
        <w:rPr>
          <w:rFonts w:ascii="Times New Roman" w:hAnsi="Times New Roman" w:cs="Times New Roman"/>
        </w:rPr>
        <w:t>: Elaborado pelos autore</w:t>
      </w:r>
      <w:r w:rsidR="00066687">
        <w:rPr>
          <w:rFonts w:ascii="Times New Roman" w:hAnsi="Times New Roman" w:cs="Times New Roman"/>
        </w:rPr>
        <w:t>s com base nos dados da RAIS-MTE</w:t>
      </w:r>
    </w:p>
    <w:p w14:paraId="1663E62F" w14:textId="77777777" w:rsidR="00C967F6" w:rsidRDefault="00C967F6" w:rsidP="00C967F6">
      <w:pPr>
        <w:spacing w:after="0"/>
        <w:rPr>
          <w:rFonts w:ascii="Times New Roman" w:hAnsi="Times New Roman" w:cs="Times New Roman"/>
        </w:rPr>
      </w:pPr>
      <w:r>
        <w:rPr>
          <w:rFonts w:ascii="Times New Roman" w:hAnsi="Times New Roman" w:cs="Times New Roman"/>
        </w:rPr>
        <w:t>(*) significante a 0,01%</w:t>
      </w:r>
    </w:p>
    <w:p w14:paraId="11825A6A" w14:textId="7012AD1F" w:rsidR="00C967F6" w:rsidRDefault="00506FCA" w:rsidP="00C967F6">
      <w:pPr>
        <w:rPr>
          <w:rFonts w:ascii="Times New Roman" w:hAnsi="Times New Roman" w:cs="Times New Roman"/>
        </w:rPr>
      </w:pPr>
      <w:r>
        <w:rPr>
          <w:rFonts w:ascii="Times New Roman" w:hAnsi="Times New Roman" w:cs="Times New Roman"/>
        </w:rPr>
        <w:tab/>
      </w:r>
    </w:p>
    <w:p w14:paraId="1788722E" w14:textId="23684ECE" w:rsidR="00506FCA" w:rsidRDefault="00506FCA" w:rsidP="00503FE5">
      <w:pPr>
        <w:spacing w:after="0"/>
        <w:ind w:firstLine="708"/>
        <w:jc w:val="both"/>
        <w:rPr>
          <w:rFonts w:ascii="Times New Roman" w:hAnsi="Times New Roman" w:cs="Times New Roman"/>
          <w:sz w:val="24"/>
          <w:szCs w:val="24"/>
        </w:rPr>
      </w:pPr>
      <w:r w:rsidRPr="00506FCA">
        <w:rPr>
          <w:rFonts w:ascii="Times New Roman" w:hAnsi="Times New Roman" w:cs="Times New Roman"/>
          <w:sz w:val="24"/>
          <w:szCs w:val="24"/>
        </w:rPr>
        <w:t>A redução da desigualdade salarial em função da cor</w:t>
      </w:r>
      <w:r>
        <w:rPr>
          <w:rFonts w:ascii="Times New Roman" w:hAnsi="Times New Roman" w:cs="Times New Roman"/>
          <w:sz w:val="24"/>
          <w:szCs w:val="24"/>
        </w:rPr>
        <w:t xml:space="preserve"> do indivíduo</w:t>
      </w:r>
      <w:r w:rsidRPr="00506FCA">
        <w:rPr>
          <w:rFonts w:ascii="Times New Roman" w:hAnsi="Times New Roman" w:cs="Times New Roman"/>
          <w:sz w:val="24"/>
          <w:szCs w:val="24"/>
        </w:rPr>
        <w:t xml:space="preserve"> foi maior no nível intermediário da distribuição (Q50), seguido dos níveis inferior (Q25) e elevado (Q75).</w:t>
      </w:r>
      <w:r w:rsidR="00C821DE">
        <w:rPr>
          <w:rFonts w:ascii="Times New Roman" w:hAnsi="Times New Roman" w:cs="Times New Roman"/>
          <w:sz w:val="24"/>
          <w:szCs w:val="24"/>
        </w:rPr>
        <w:t xml:space="preserve"> Em 2006</w:t>
      </w:r>
      <w:r w:rsidR="00F67A58">
        <w:rPr>
          <w:rFonts w:ascii="Times New Roman" w:hAnsi="Times New Roman" w:cs="Times New Roman"/>
          <w:sz w:val="24"/>
          <w:szCs w:val="24"/>
        </w:rPr>
        <w:t>, indivíduos brancos com rendimentos compatíveis a mediana (Q50) recebiam 5,9% a mais do que não brancos, sendo que em 2017 esse valor caiu para 2,32%</w:t>
      </w:r>
      <w:r w:rsidR="00C821DE">
        <w:rPr>
          <w:rFonts w:ascii="Times New Roman" w:hAnsi="Times New Roman" w:cs="Times New Roman"/>
          <w:sz w:val="24"/>
          <w:szCs w:val="24"/>
        </w:rPr>
        <w:t xml:space="preserve"> </w:t>
      </w:r>
      <w:r w:rsidR="00F81966">
        <w:rPr>
          <w:rFonts w:ascii="Times New Roman" w:hAnsi="Times New Roman" w:cs="Times New Roman"/>
          <w:sz w:val="24"/>
          <w:szCs w:val="24"/>
        </w:rPr>
        <w:t>(Tabela 2)</w:t>
      </w:r>
      <w:r w:rsidR="00F67A58">
        <w:rPr>
          <w:rFonts w:ascii="Times New Roman" w:hAnsi="Times New Roman" w:cs="Times New Roman"/>
          <w:sz w:val="24"/>
          <w:szCs w:val="24"/>
        </w:rPr>
        <w:t>.</w:t>
      </w:r>
      <w:r w:rsidR="00F81966">
        <w:rPr>
          <w:rFonts w:ascii="Times New Roman" w:hAnsi="Times New Roman" w:cs="Times New Roman"/>
          <w:sz w:val="24"/>
          <w:szCs w:val="24"/>
        </w:rPr>
        <w:t xml:space="preserve"> No primeiro quartil da distribuição (Q25), indivíduos brancos</w:t>
      </w:r>
      <w:r w:rsidR="00C821DE">
        <w:rPr>
          <w:rFonts w:ascii="Times New Roman" w:hAnsi="Times New Roman" w:cs="Times New Roman"/>
          <w:sz w:val="24"/>
          <w:szCs w:val="24"/>
        </w:rPr>
        <w:t xml:space="preserve"> recebiam 4,9% a mais do que não brancos em 2006</w:t>
      </w:r>
      <w:r w:rsidR="004C657D">
        <w:rPr>
          <w:rFonts w:ascii="Times New Roman" w:hAnsi="Times New Roman" w:cs="Times New Roman"/>
          <w:sz w:val="24"/>
          <w:szCs w:val="24"/>
        </w:rPr>
        <w:t>. Em 2017 essa diferença caiu para 2</w:t>
      </w:r>
      <w:r w:rsidR="00142165">
        <w:rPr>
          <w:rFonts w:ascii="Times New Roman" w:hAnsi="Times New Roman" w:cs="Times New Roman"/>
          <w:sz w:val="24"/>
          <w:szCs w:val="24"/>
        </w:rPr>
        <w:t>,2%</w:t>
      </w:r>
      <w:r w:rsidR="00F81966">
        <w:rPr>
          <w:rFonts w:ascii="Times New Roman" w:hAnsi="Times New Roman" w:cs="Times New Roman"/>
          <w:sz w:val="24"/>
          <w:szCs w:val="24"/>
        </w:rPr>
        <w:t xml:space="preserve"> (</w:t>
      </w:r>
      <w:r w:rsidR="00142165">
        <w:rPr>
          <w:rFonts w:ascii="Times New Roman" w:hAnsi="Times New Roman" w:cs="Times New Roman"/>
          <w:sz w:val="24"/>
          <w:szCs w:val="24"/>
        </w:rPr>
        <w:t>Tabela 1).</w:t>
      </w:r>
    </w:p>
    <w:p w14:paraId="22C42A2C" w14:textId="77777777" w:rsidR="000A26CC" w:rsidRPr="00506FCA" w:rsidRDefault="000A26CC" w:rsidP="00503FE5">
      <w:pPr>
        <w:spacing w:after="0"/>
        <w:ind w:firstLine="708"/>
        <w:rPr>
          <w:rFonts w:ascii="Times New Roman" w:hAnsi="Times New Roman" w:cs="Times New Roman"/>
          <w:sz w:val="24"/>
          <w:szCs w:val="24"/>
        </w:rPr>
      </w:pPr>
    </w:p>
    <w:p w14:paraId="50D356F8" w14:textId="2435B9E4" w:rsidR="00C967F6" w:rsidRDefault="00AD790E" w:rsidP="00503FE5">
      <w:pPr>
        <w:spacing w:after="0"/>
        <w:rPr>
          <w:rFonts w:ascii="Times New Roman" w:hAnsi="Times New Roman" w:cs="Times New Roman"/>
        </w:rPr>
      </w:pPr>
      <w:r>
        <w:rPr>
          <w:rFonts w:ascii="Times New Roman" w:hAnsi="Times New Roman" w:cs="Times New Roman"/>
          <w:b/>
        </w:rPr>
        <w:t>Tabela 2</w:t>
      </w:r>
      <w:r w:rsidR="00C967F6">
        <w:rPr>
          <w:rFonts w:ascii="Times New Roman" w:hAnsi="Times New Roman" w:cs="Times New Roman"/>
          <w:b/>
        </w:rPr>
        <w:t>.</w:t>
      </w:r>
      <w:r w:rsidR="00C967F6">
        <w:rPr>
          <w:rFonts w:ascii="Times New Roman" w:hAnsi="Times New Roman" w:cs="Times New Roman"/>
        </w:rPr>
        <w:t xml:space="preserve">  Determinantes socioeconômicos dos diferenciais de rendimento no mercado de trabalho formal do Rio Grande do Sul – Regressão Quantílicas (Q50)</w:t>
      </w:r>
    </w:p>
    <w:tbl>
      <w:tblPr>
        <w:tblW w:w="8613" w:type="dxa"/>
        <w:tblCellMar>
          <w:left w:w="70" w:type="dxa"/>
          <w:right w:w="70" w:type="dxa"/>
        </w:tblCellMar>
        <w:tblLook w:val="04A0" w:firstRow="1" w:lastRow="0" w:firstColumn="1" w:lastColumn="0" w:noHBand="0" w:noVBand="1"/>
      </w:tblPr>
      <w:tblGrid>
        <w:gridCol w:w="1893"/>
        <w:gridCol w:w="960"/>
        <w:gridCol w:w="960"/>
        <w:gridCol w:w="960"/>
        <w:gridCol w:w="960"/>
        <w:gridCol w:w="960"/>
        <w:gridCol w:w="960"/>
        <w:gridCol w:w="960"/>
      </w:tblGrid>
      <w:tr w:rsidR="00C967F6" w14:paraId="4C91D9CE" w14:textId="77777777" w:rsidTr="00C967F6">
        <w:trPr>
          <w:trHeight w:val="300"/>
        </w:trPr>
        <w:tc>
          <w:tcPr>
            <w:tcW w:w="1893" w:type="dxa"/>
            <w:tcBorders>
              <w:top w:val="single" w:sz="4" w:space="0" w:color="auto"/>
              <w:left w:val="nil"/>
              <w:bottom w:val="single" w:sz="4" w:space="0" w:color="auto"/>
              <w:right w:val="nil"/>
            </w:tcBorders>
            <w:noWrap/>
            <w:vAlign w:val="bottom"/>
            <w:hideMark/>
          </w:tcPr>
          <w:p w14:paraId="56BC465A" w14:textId="77777777" w:rsidR="00C967F6" w:rsidRDefault="00C967F6">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Variáveis</w:t>
            </w:r>
          </w:p>
        </w:tc>
        <w:tc>
          <w:tcPr>
            <w:tcW w:w="960" w:type="dxa"/>
            <w:tcBorders>
              <w:top w:val="single" w:sz="4" w:space="0" w:color="auto"/>
              <w:left w:val="nil"/>
              <w:bottom w:val="single" w:sz="4" w:space="0" w:color="auto"/>
              <w:right w:val="nil"/>
            </w:tcBorders>
            <w:noWrap/>
            <w:vAlign w:val="bottom"/>
            <w:hideMark/>
          </w:tcPr>
          <w:p w14:paraId="0FE3D7DE"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2000</w:t>
            </w:r>
          </w:p>
        </w:tc>
        <w:tc>
          <w:tcPr>
            <w:tcW w:w="960" w:type="dxa"/>
            <w:tcBorders>
              <w:top w:val="single" w:sz="4" w:space="0" w:color="auto"/>
              <w:left w:val="nil"/>
              <w:bottom w:val="single" w:sz="4" w:space="0" w:color="auto"/>
              <w:right w:val="nil"/>
            </w:tcBorders>
            <w:noWrap/>
            <w:vAlign w:val="bottom"/>
            <w:hideMark/>
          </w:tcPr>
          <w:p w14:paraId="32DD2C14"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2003</w:t>
            </w:r>
          </w:p>
        </w:tc>
        <w:tc>
          <w:tcPr>
            <w:tcW w:w="960" w:type="dxa"/>
            <w:tcBorders>
              <w:top w:val="single" w:sz="4" w:space="0" w:color="auto"/>
              <w:left w:val="nil"/>
              <w:bottom w:val="single" w:sz="4" w:space="0" w:color="auto"/>
              <w:right w:val="nil"/>
            </w:tcBorders>
            <w:noWrap/>
            <w:vAlign w:val="bottom"/>
            <w:hideMark/>
          </w:tcPr>
          <w:p w14:paraId="69F0B93B"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2006</w:t>
            </w:r>
          </w:p>
        </w:tc>
        <w:tc>
          <w:tcPr>
            <w:tcW w:w="960" w:type="dxa"/>
            <w:tcBorders>
              <w:top w:val="single" w:sz="4" w:space="0" w:color="auto"/>
              <w:left w:val="nil"/>
              <w:bottom w:val="single" w:sz="4" w:space="0" w:color="auto"/>
              <w:right w:val="nil"/>
            </w:tcBorders>
            <w:noWrap/>
            <w:vAlign w:val="bottom"/>
            <w:hideMark/>
          </w:tcPr>
          <w:p w14:paraId="52FEEE97"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2009</w:t>
            </w:r>
          </w:p>
        </w:tc>
        <w:tc>
          <w:tcPr>
            <w:tcW w:w="960" w:type="dxa"/>
            <w:tcBorders>
              <w:top w:val="single" w:sz="4" w:space="0" w:color="auto"/>
              <w:left w:val="nil"/>
              <w:bottom w:val="single" w:sz="4" w:space="0" w:color="auto"/>
              <w:right w:val="nil"/>
            </w:tcBorders>
            <w:noWrap/>
            <w:vAlign w:val="bottom"/>
            <w:hideMark/>
          </w:tcPr>
          <w:p w14:paraId="1913EEC0"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2012</w:t>
            </w:r>
          </w:p>
        </w:tc>
        <w:tc>
          <w:tcPr>
            <w:tcW w:w="960" w:type="dxa"/>
            <w:tcBorders>
              <w:top w:val="single" w:sz="4" w:space="0" w:color="auto"/>
              <w:left w:val="nil"/>
              <w:bottom w:val="single" w:sz="4" w:space="0" w:color="auto"/>
              <w:right w:val="nil"/>
            </w:tcBorders>
            <w:noWrap/>
            <w:vAlign w:val="bottom"/>
            <w:hideMark/>
          </w:tcPr>
          <w:p w14:paraId="2CBAF1B3"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2015</w:t>
            </w:r>
          </w:p>
        </w:tc>
        <w:tc>
          <w:tcPr>
            <w:tcW w:w="960" w:type="dxa"/>
            <w:tcBorders>
              <w:top w:val="single" w:sz="4" w:space="0" w:color="auto"/>
              <w:left w:val="nil"/>
              <w:bottom w:val="single" w:sz="4" w:space="0" w:color="auto"/>
              <w:right w:val="nil"/>
            </w:tcBorders>
            <w:noWrap/>
            <w:vAlign w:val="bottom"/>
            <w:hideMark/>
          </w:tcPr>
          <w:p w14:paraId="1AD7317A"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2017</w:t>
            </w:r>
          </w:p>
        </w:tc>
      </w:tr>
      <w:tr w:rsidR="00C967F6" w14:paraId="1230D035" w14:textId="77777777" w:rsidTr="00C967F6">
        <w:trPr>
          <w:trHeight w:val="300"/>
        </w:trPr>
        <w:tc>
          <w:tcPr>
            <w:tcW w:w="1893" w:type="dxa"/>
            <w:tcBorders>
              <w:top w:val="single" w:sz="4" w:space="0" w:color="auto"/>
              <w:left w:val="nil"/>
              <w:bottom w:val="nil"/>
              <w:right w:val="nil"/>
            </w:tcBorders>
            <w:noWrap/>
            <w:vAlign w:val="bottom"/>
            <w:hideMark/>
          </w:tcPr>
          <w:p w14:paraId="125D8E6D"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Intercepto</w:t>
            </w:r>
          </w:p>
        </w:tc>
        <w:tc>
          <w:tcPr>
            <w:tcW w:w="960" w:type="dxa"/>
            <w:tcBorders>
              <w:top w:val="single" w:sz="4" w:space="0" w:color="auto"/>
              <w:left w:val="nil"/>
              <w:bottom w:val="nil"/>
              <w:right w:val="nil"/>
            </w:tcBorders>
            <w:noWrap/>
            <w:vAlign w:val="bottom"/>
            <w:hideMark/>
          </w:tcPr>
          <w:p w14:paraId="2A2DB63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5,7163*</w:t>
            </w:r>
          </w:p>
        </w:tc>
        <w:tc>
          <w:tcPr>
            <w:tcW w:w="960" w:type="dxa"/>
            <w:tcBorders>
              <w:top w:val="single" w:sz="4" w:space="0" w:color="auto"/>
              <w:left w:val="nil"/>
              <w:bottom w:val="nil"/>
              <w:right w:val="nil"/>
            </w:tcBorders>
            <w:noWrap/>
            <w:vAlign w:val="bottom"/>
            <w:hideMark/>
          </w:tcPr>
          <w:p w14:paraId="36B4A59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5,8340*</w:t>
            </w:r>
          </w:p>
        </w:tc>
        <w:tc>
          <w:tcPr>
            <w:tcW w:w="960" w:type="dxa"/>
            <w:tcBorders>
              <w:top w:val="single" w:sz="4" w:space="0" w:color="auto"/>
              <w:left w:val="nil"/>
              <w:bottom w:val="nil"/>
              <w:right w:val="nil"/>
            </w:tcBorders>
            <w:noWrap/>
            <w:vAlign w:val="bottom"/>
            <w:hideMark/>
          </w:tcPr>
          <w:p w14:paraId="4B424A0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5,9204*</w:t>
            </w:r>
          </w:p>
        </w:tc>
        <w:tc>
          <w:tcPr>
            <w:tcW w:w="960" w:type="dxa"/>
            <w:tcBorders>
              <w:top w:val="single" w:sz="4" w:space="0" w:color="auto"/>
              <w:left w:val="nil"/>
              <w:bottom w:val="nil"/>
              <w:right w:val="nil"/>
            </w:tcBorders>
            <w:noWrap/>
            <w:vAlign w:val="bottom"/>
            <w:hideMark/>
          </w:tcPr>
          <w:p w14:paraId="491DFDA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6,1623*</w:t>
            </w:r>
          </w:p>
        </w:tc>
        <w:tc>
          <w:tcPr>
            <w:tcW w:w="960" w:type="dxa"/>
            <w:tcBorders>
              <w:top w:val="single" w:sz="4" w:space="0" w:color="auto"/>
              <w:left w:val="nil"/>
              <w:bottom w:val="nil"/>
              <w:right w:val="nil"/>
            </w:tcBorders>
            <w:noWrap/>
            <w:vAlign w:val="bottom"/>
            <w:hideMark/>
          </w:tcPr>
          <w:p w14:paraId="1E97C73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6,3159*</w:t>
            </w:r>
          </w:p>
        </w:tc>
        <w:tc>
          <w:tcPr>
            <w:tcW w:w="960" w:type="dxa"/>
            <w:tcBorders>
              <w:top w:val="single" w:sz="4" w:space="0" w:color="auto"/>
              <w:left w:val="nil"/>
              <w:bottom w:val="nil"/>
              <w:right w:val="nil"/>
            </w:tcBorders>
            <w:noWrap/>
            <w:vAlign w:val="bottom"/>
            <w:hideMark/>
          </w:tcPr>
          <w:p w14:paraId="3FC2EFA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6,4428*</w:t>
            </w:r>
          </w:p>
        </w:tc>
        <w:tc>
          <w:tcPr>
            <w:tcW w:w="960" w:type="dxa"/>
            <w:tcBorders>
              <w:top w:val="single" w:sz="4" w:space="0" w:color="auto"/>
              <w:left w:val="nil"/>
              <w:bottom w:val="nil"/>
              <w:right w:val="nil"/>
            </w:tcBorders>
            <w:noWrap/>
            <w:vAlign w:val="bottom"/>
            <w:hideMark/>
          </w:tcPr>
          <w:p w14:paraId="3471F0D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6,4921*</w:t>
            </w:r>
          </w:p>
        </w:tc>
      </w:tr>
      <w:tr w:rsidR="00C967F6" w14:paraId="55F77E52" w14:textId="77777777" w:rsidTr="00C967F6">
        <w:trPr>
          <w:trHeight w:val="300"/>
        </w:trPr>
        <w:tc>
          <w:tcPr>
            <w:tcW w:w="1893" w:type="dxa"/>
            <w:noWrap/>
            <w:vAlign w:val="bottom"/>
            <w:hideMark/>
          </w:tcPr>
          <w:p w14:paraId="75B036E6"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Idade</w:t>
            </w:r>
          </w:p>
        </w:tc>
        <w:tc>
          <w:tcPr>
            <w:tcW w:w="960" w:type="dxa"/>
            <w:noWrap/>
            <w:vAlign w:val="bottom"/>
            <w:hideMark/>
          </w:tcPr>
          <w:p w14:paraId="043717D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0,0490*</w:t>
            </w:r>
          </w:p>
        </w:tc>
        <w:tc>
          <w:tcPr>
            <w:tcW w:w="960" w:type="dxa"/>
            <w:noWrap/>
            <w:vAlign w:val="bottom"/>
            <w:hideMark/>
          </w:tcPr>
          <w:p w14:paraId="509B019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0,0413*</w:t>
            </w:r>
          </w:p>
        </w:tc>
        <w:tc>
          <w:tcPr>
            <w:tcW w:w="960" w:type="dxa"/>
            <w:noWrap/>
            <w:vAlign w:val="bottom"/>
            <w:hideMark/>
          </w:tcPr>
          <w:p w14:paraId="6599510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0,0379*</w:t>
            </w:r>
          </w:p>
        </w:tc>
        <w:tc>
          <w:tcPr>
            <w:tcW w:w="960" w:type="dxa"/>
            <w:noWrap/>
            <w:vAlign w:val="bottom"/>
            <w:hideMark/>
          </w:tcPr>
          <w:p w14:paraId="45C567F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0,0339*</w:t>
            </w:r>
          </w:p>
        </w:tc>
        <w:tc>
          <w:tcPr>
            <w:tcW w:w="960" w:type="dxa"/>
            <w:noWrap/>
            <w:vAlign w:val="bottom"/>
            <w:hideMark/>
          </w:tcPr>
          <w:p w14:paraId="4131FE9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0,0346*</w:t>
            </w:r>
          </w:p>
        </w:tc>
        <w:tc>
          <w:tcPr>
            <w:tcW w:w="960" w:type="dxa"/>
            <w:noWrap/>
            <w:vAlign w:val="bottom"/>
            <w:hideMark/>
          </w:tcPr>
          <w:p w14:paraId="3601BA5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0,0357*</w:t>
            </w:r>
          </w:p>
        </w:tc>
        <w:tc>
          <w:tcPr>
            <w:tcW w:w="960" w:type="dxa"/>
            <w:noWrap/>
            <w:vAlign w:val="bottom"/>
            <w:hideMark/>
          </w:tcPr>
          <w:p w14:paraId="7B570F6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0,0346*</w:t>
            </w:r>
          </w:p>
        </w:tc>
      </w:tr>
      <w:tr w:rsidR="00C967F6" w14:paraId="38A358E4" w14:textId="77777777" w:rsidTr="00C967F6">
        <w:trPr>
          <w:trHeight w:val="300"/>
        </w:trPr>
        <w:tc>
          <w:tcPr>
            <w:tcW w:w="1893" w:type="dxa"/>
            <w:noWrap/>
            <w:vAlign w:val="bottom"/>
            <w:hideMark/>
          </w:tcPr>
          <w:p w14:paraId="12B5F2C6"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Idade^2</w:t>
            </w:r>
          </w:p>
        </w:tc>
        <w:tc>
          <w:tcPr>
            <w:tcW w:w="960" w:type="dxa"/>
            <w:noWrap/>
            <w:vAlign w:val="bottom"/>
            <w:hideMark/>
          </w:tcPr>
          <w:p w14:paraId="692F476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-0,0005*</w:t>
            </w:r>
          </w:p>
        </w:tc>
        <w:tc>
          <w:tcPr>
            <w:tcW w:w="960" w:type="dxa"/>
            <w:noWrap/>
            <w:vAlign w:val="bottom"/>
            <w:hideMark/>
          </w:tcPr>
          <w:p w14:paraId="55D24FF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960" w:type="dxa"/>
            <w:noWrap/>
            <w:vAlign w:val="bottom"/>
            <w:hideMark/>
          </w:tcPr>
          <w:p w14:paraId="0051CC7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960" w:type="dxa"/>
            <w:noWrap/>
            <w:vAlign w:val="bottom"/>
            <w:hideMark/>
          </w:tcPr>
          <w:p w14:paraId="5D1E752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-0,0003*</w:t>
            </w:r>
          </w:p>
        </w:tc>
        <w:tc>
          <w:tcPr>
            <w:tcW w:w="960" w:type="dxa"/>
            <w:noWrap/>
            <w:vAlign w:val="bottom"/>
            <w:hideMark/>
          </w:tcPr>
          <w:p w14:paraId="74815DA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960" w:type="dxa"/>
            <w:noWrap/>
            <w:vAlign w:val="bottom"/>
            <w:hideMark/>
          </w:tcPr>
          <w:p w14:paraId="21F24A3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960" w:type="dxa"/>
            <w:noWrap/>
            <w:vAlign w:val="bottom"/>
            <w:hideMark/>
          </w:tcPr>
          <w:p w14:paraId="6715567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-0,0003*</w:t>
            </w:r>
          </w:p>
        </w:tc>
      </w:tr>
      <w:tr w:rsidR="00C967F6" w14:paraId="541EE7D9" w14:textId="77777777" w:rsidTr="00C967F6">
        <w:trPr>
          <w:trHeight w:val="300"/>
        </w:trPr>
        <w:tc>
          <w:tcPr>
            <w:tcW w:w="1893" w:type="dxa"/>
            <w:noWrap/>
            <w:vAlign w:val="bottom"/>
            <w:hideMark/>
          </w:tcPr>
          <w:p w14:paraId="6D96031C"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Feminino</w:t>
            </w:r>
          </w:p>
        </w:tc>
        <w:tc>
          <w:tcPr>
            <w:tcW w:w="960" w:type="dxa"/>
            <w:noWrap/>
            <w:vAlign w:val="bottom"/>
            <w:hideMark/>
          </w:tcPr>
          <w:p w14:paraId="2F0232A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-0,3360*</w:t>
            </w:r>
          </w:p>
        </w:tc>
        <w:tc>
          <w:tcPr>
            <w:tcW w:w="960" w:type="dxa"/>
            <w:noWrap/>
            <w:vAlign w:val="bottom"/>
            <w:hideMark/>
          </w:tcPr>
          <w:p w14:paraId="025EC0B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-0,3090*</w:t>
            </w:r>
          </w:p>
        </w:tc>
        <w:tc>
          <w:tcPr>
            <w:tcW w:w="960" w:type="dxa"/>
            <w:noWrap/>
            <w:vAlign w:val="bottom"/>
            <w:hideMark/>
          </w:tcPr>
          <w:p w14:paraId="0814B46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-0,2952*</w:t>
            </w:r>
          </w:p>
        </w:tc>
        <w:tc>
          <w:tcPr>
            <w:tcW w:w="960" w:type="dxa"/>
            <w:noWrap/>
            <w:vAlign w:val="bottom"/>
            <w:hideMark/>
          </w:tcPr>
          <w:p w14:paraId="1D58BD0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-0,2799*</w:t>
            </w:r>
          </w:p>
        </w:tc>
        <w:tc>
          <w:tcPr>
            <w:tcW w:w="960" w:type="dxa"/>
            <w:noWrap/>
            <w:vAlign w:val="bottom"/>
            <w:hideMark/>
          </w:tcPr>
          <w:p w14:paraId="7059044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-0,2692*</w:t>
            </w:r>
          </w:p>
        </w:tc>
        <w:tc>
          <w:tcPr>
            <w:tcW w:w="960" w:type="dxa"/>
            <w:noWrap/>
            <w:vAlign w:val="bottom"/>
            <w:hideMark/>
          </w:tcPr>
          <w:p w14:paraId="22054E8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-0,2458*</w:t>
            </w:r>
          </w:p>
        </w:tc>
        <w:tc>
          <w:tcPr>
            <w:tcW w:w="960" w:type="dxa"/>
            <w:noWrap/>
            <w:vAlign w:val="bottom"/>
            <w:hideMark/>
          </w:tcPr>
          <w:p w14:paraId="40A34F1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-0,2310*</w:t>
            </w:r>
          </w:p>
        </w:tc>
      </w:tr>
      <w:tr w:rsidR="00C967F6" w14:paraId="4446B2E3" w14:textId="77777777" w:rsidTr="00C967F6">
        <w:trPr>
          <w:trHeight w:val="300"/>
        </w:trPr>
        <w:tc>
          <w:tcPr>
            <w:tcW w:w="1893" w:type="dxa"/>
            <w:noWrap/>
            <w:vAlign w:val="bottom"/>
            <w:hideMark/>
          </w:tcPr>
          <w:p w14:paraId="40B14148"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Branco</w:t>
            </w:r>
          </w:p>
        </w:tc>
        <w:tc>
          <w:tcPr>
            <w:tcW w:w="960" w:type="dxa"/>
            <w:noWrap/>
            <w:vAlign w:val="bottom"/>
            <w:hideMark/>
          </w:tcPr>
          <w:p w14:paraId="6B222BA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960" w:type="dxa"/>
            <w:noWrap/>
            <w:vAlign w:val="bottom"/>
            <w:hideMark/>
          </w:tcPr>
          <w:p w14:paraId="18F10D2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960" w:type="dxa"/>
            <w:noWrap/>
            <w:vAlign w:val="bottom"/>
            <w:hideMark/>
          </w:tcPr>
          <w:p w14:paraId="7292F55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0,0591*</w:t>
            </w:r>
          </w:p>
        </w:tc>
        <w:tc>
          <w:tcPr>
            <w:tcW w:w="960" w:type="dxa"/>
            <w:noWrap/>
            <w:vAlign w:val="bottom"/>
            <w:hideMark/>
          </w:tcPr>
          <w:p w14:paraId="0ADA4EA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0,0258*</w:t>
            </w:r>
          </w:p>
        </w:tc>
        <w:tc>
          <w:tcPr>
            <w:tcW w:w="960" w:type="dxa"/>
            <w:noWrap/>
            <w:vAlign w:val="bottom"/>
            <w:hideMark/>
          </w:tcPr>
          <w:p w14:paraId="74089D9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0,0282*</w:t>
            </w:r>
          </w:p>
        </w:tc>
        <w:tc>
          <w:tcPr>
            <w:tcW w:w="960" w:type="dxa"/>
            <w:noWrap/>
            <w:vAlign w:val="bottom"/>
            <w:hideMark/>
          </w:tcPr>
          <w:p w14:paraId="099338F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0,0306*</w:t>
            </w:r>
          </w:p>
        </w:tc>
        <w:tc>
          <w:tcPr>
            <w:tcW w:w="960" w:type="dxa"/>
            <w:noWrap/>
            <w:vAlign w:val="bottom"/>
            <w:hideMark/>
          </w:tcPr>
          <w:p w14:paraId="6FFC7CA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0,0232*</w:t>
            </w:r>
          </w:p>
        </w:tc>
      </w:tr>
      <w:tr w:rsidR="00C967F6" w14:paraId="0B9FE2C5" w14:textId="77777777" w:rsidTr="00C967F6">
        <w:trPr>
          <w:trHeight w:val="300"/>
        </w:trPr>
        <w:tc>
          <w:tcPr>
            <w:tcW w:w="8613" w:type="dxa"/>
            <w:gridSpan w:val="8"/>
            <w:noWrap/>
            <w:vAlign w:val="bottom"/>
            <w:hideMark/>
          </w:tcPr>
          <w:p w14:paraId="67498C7F"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Mesorregião</w:t>
            </w:r>
          </w:p>
        </w:tc>
      </w:tr>
      <w:tr w:rsidR="00C967F6" w14:paraId="56FB63E9" w14:textId="77777777" w:rsidTr="00C967F6">
        <w:trPr>
          <w:trHeight w:val="300"/>
        </w:trPr>
        <w:tc>
          <w:tcPr>
            <w:tcW w:w="1893" w:type="dxa"/>
            <w:noWrap/>
            <w:vAlign w:val="bottom"/>
            <w:hideMark/>
          </w:tcPr>
          <w:p w14:paraId="0FCB51FF"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Nordeste</w:t>
            </w:r>
          </w:p>
        </w:tc>
        <w:tc>
          <w:tcPr>
            <w:tcW w:w="960" w:type="dxa"/>
            <w:noWrap/>
            <w:vAlign w:val="bottom"/>
            <w:hideMark/>
          </w:tcPr>
          <w:p w14:paraId="0615607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0,2804*</w:t>
            </w:r>
          </w:p>
        </w:tc>
        <w:tc>
          <w:tcPr>
            <w:tcW w:w="960" w:type="dxa"/>
            <w:noWrap/>
            <w:vAlign w:val="bottom"/>
            <w:hideMark/>
          </w:tcPr>
          <w:p w14:paraId="7D23150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0,1906*</w:t>
            </w:r>
          </w:p>
        </w:tc>
        <w:tc>
          <w:tcPr>
            <w:tcW w:w="960" w:type="dxa"/>
            <w:noWrap/>
            <w:vAlign w:val="bottom"/>
            <w:hideMark/>
          </w:tcPr>
          <w:p w14:paraId="45EB0FF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0,2010*</w:t>
            </w:r>
          </w:p>
        </w:tc>
        <w:tc>
          <w:tcPr>
            <w:tcW w:w="960" w:type="dxa"/>
            <w:noWrap/>
            <w:vAlign w:val="bottom"/>
            <w:hideMark/>
          </w:tcPr>
          <w:p w14:paraId="65D0C0A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0,1815*</w:t>
            </w:r>
          </w:p>
        </w:tc>
        <w:tc>
          <w:tcPr>
            <w:tcW w:w="960" w:type="dxa"/>
            <w:noWrap/>
            <w:vAlign w:val="bottom"/>
            <w:hideMark/>
          </w:tcPr>
          <w:p w14:paraId="147C013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0,1742*</w:t>
            </w:r>
          </w:p>
        </w:tc>
        <w:tc>
          <w:tcPr>
            <w:tcW w:w="960" w:type="dxa"/>
            <w:noWrap/>
            <w:vAlign w:val="bottom"/>
            <w:hideMark/>
          </w:tcPr>
          <w:p w14:paraId="744865F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0,1292*</w:t>
            </w:r>
          </w:p>
        </w:tc>
        <w:tc>
          <w:tcPr>
            <w:tcW w:w="960" w:type="dxa"/>
            <w:noWrap/>
            <w:vAlign w:val="bottom"/>
            <w:hideMark/>
          </w:tcPr>
          <w:p w14:paraId="187B8DC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0,1045*</w:t>
            </w:r>
          </w:p>
        </w:tc>
      </w:tr>
      <w:tr w:rsidR="00C967F6" w14:paraId="635DDAAC" w14:textId="77777777" w:rsidTr="00C967F6">
        <w:trPr>
          <w:trHeight w:val="300"/>
        </w:trPr>
        <w:tc>
          <w:tcPr>
            <w:tcW w:w="1893" w:type="dxa"/>
            <w:noWrap/>
            <w:vAlign w:val="bottom"/>
            <w:hideMark/>
          </w:tcPr>
          <w:p w14:paraId="0534C035"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Centro Ocidental-RG</w:t>
            </w:r>
          </w:p>
        </w:tc>
        <w:tc>
          <w:tcPr>
            <w:tcW w:w="960" w:type="dxa"/>
            <w:noWrap/>
            <w:vAlign w:val="bottom"/>
            <w:hideMark/>
          </w:tcPr>
          <w:p w14:paraId="53BE6D9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-0,0182*</w:t>
            </w:r>
          </w:p>
        </w:tc>
        <w:tc>
          <w:tcPr>
            <w:tcW w:w="960" w:type="dxa"/>
            <w:noWrap/>
            <w:vAlign w:val="bottom"/>
            <w:hideMark/>
          </w:tcPr>
          <w:p w14:paraId="4B7E5C5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-0,0551*</w:t>
            </w:r>
          </w:p>
        </w:tc>
        <w:tc>
          <w:tcPr>
            <w:tcW w:w="960" w:type="dxa"/>
            <w:noWrap/>
            <w:vAlign w:val="bottom"/>
            <w:hideMark/>
          </w:tcPr>
          <w:p w14:paraId="49A981C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-0,0445*</w:t>
            </w:r>
          </w:p>
        </w:tc>
        <w:tc>
          <w:tcPr>
            <w:tcW w:w="960" w:type="dxa"/>
            <w:noWrap/>
            <w:vAlign w:val="bottom"/>
            <w:hideMark/>
          </w:tcPr>
          <w:p w14:paraId="06E5432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-0,0541*</w:t>
            </w:r>
          </w:p>
        </w:tc>
        <w:tc>
          <w:tcPr>
            <w:tcW w:w="960" w:type="dxa"/>
            <w:noWrap/>
            <w:vAlign w:val="bottom"/>
            <w:hideMark/>
          </w:tcPr>
          <w:p w14:paraId="244F0DE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-0,0566*</w:t>
            </w:r>
          </w:p>
        </w:tc>
        <w:tc>
          <w:tcPr>
            <w:tcW w:w="960" w:type="dxa"/>
            <w:noWrap/>
            <w:vAlign w:val="bottom"/>
            <w:hideMark/>
          </w:tcPr>
          <w:p w14:paraId="07D5611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-0,0461*</w:t>
            </w:r>
          </w:p>
        </w:tc>
        <w:tc>
          <w:tcPr>
            <w:tcW w:w="960" w:type="dxa"/>
            <w:noWrap/>
            <w:vAlign w:val="bottom"/>
            <w:hideMark/>
          </w:tcPr>
          <w:p w14:paraId="1FFA60B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-0,0319*</w:t>
            </w:r>
          </w:p>
        </w:tc>
      </w:tr>
      <w:tr w:rsidR="00C967F6" w14:paraId="5B41F5C4" w14:textId="77777777" w:rsidTr="00C967F6">
        <w:trPr>
          <w:trHeight w:val="300"/>
        </w:trPr>
        <w:tc>
          <w:tcPr>
            <w:tcW w:w="1893" w:type="dxa"/>
            <w:noWrap/>
            <w:vAlign w:val="bottom"/>
            <w:hideMark/>
          </w:tcPr>
          <w:p w14:paraId="229AD22D"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Centro Oriental-RG</w:t>
            </w:r>
          </w:p>
        </w:tc>
        <w:tc>
          <w:tcPr>
            <w:tcW w:w="960" w:type="dxa"/>
            <w:noWrap/>
            <w:vAlign w:val="bottom"/>
            <w:hideMark/>
          </w:tcPr>
          <w:p w14:paraId="287DCC1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0,0660*</w:t>
            </w:r>
          </w:p>
        </w:tc>
        <w:tc>
          <w:tcPr>
            <w:tcW w:w="960" w:type="dxa"/>
            <w:noWrap/>
            <w:vAlign w:val="bottom"/>
            <w:hideMark/>
          </w:tcPr>
          <w:p w14:paraId="7D0B234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0,0336*</w:t>
            </w:r>
          </w:p>
        </w:tc>
        <w:tc>
          <w:tcPr>
            <w:tcW w:w="960" w:type="dxa"/>
            <w:noWrap/>
            <w:vAlign w:val="bottom"/>
            <w:hideMark/>
          </w:tcPr>
          <w:p w14:paraId="2F548ED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0,0348*</w:t>
            </w:r>
          </w:p>
        </w:tc>
        <w:tc>
          <w:tcPr>
            <w:tcW w:w="960" w:type="dxa"/>
            <w:noWrap/>
            <w:vAlign w:val="bottom"/>
            <w:hideMark/>
          </w:tcPr>
          <w:p w14:paraId="59F7BAD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0,0121*</w:t>
            </w:r>
          </w:p>
        </w:tc>
        <w:tc>
          <w:tcPr>
            <w:tcW w:w="960" w:type="dxa"/>
            <w:noWrap/>
            <w:vAlign w:val="bottom"/>
            <w:hideMark/>
          </w:tcPr>
          <w:p w14:paraId="0FC8D9C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0,0012</w:t>
            </w:r>
          </w:p>
        </w:tc>
        <w:tc>
          <w:tcPr>
            <w:tcW w:w="960" w:type="dxa"/>
            <w:noWrap/>
            <w:vAlign w:val="bottom"/>
            <w:hideMark/>
          </w:tcPr>
          <w:p w14:paraId="275755D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-0,0028*</w:t>
            </w:r>
          </w:p>
        </w:tc>
        <w:tc>
          <w:tcPr>
            <w:tcW w:w="960" w:type="dxa"/>
            <w:noWrap/>
            <w:vAlign w:val="bottom"/>
            <w:hideMark/>
          </w:tcPr>
          <w:p w14:paraId="5C8451C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-0,0018**</w:t>
            </w:r>
          </w:p>
        </w:tc>
      </w:tr>
      <w:tr w:rsidR="00C967F6" w14:paraId="65A6B841" w14:textId="77777777" w:rsidTr="00C967F6">
        <w:trPr>
          <w:trHeight w:val="300"/>
        </w:trPr>
        <w:tc>
          <w:tcPr>
            <w:tcW w:w="1893" w:type="dxa"/>
            <w:noWrap/>
            <w:vAlign w:val="bottom"/>
            <w:hideMark/>
          </w:tcPr>
          <w:p w14:paraId="0C7E3C12"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Metropolitana de PA</w:t>
            </w:r>
          </w:p>
        </w:tc>
        <w:tc>
          <w:tcPr>
            <w:tcW w:w="960" w:type="dxa"/>
            <w:noWrap/>
            <w:vAlign w:val="bottom"/>
            <w:hideMark/>
          </w:tcPr>
          <w:p w14:paraId="61D3262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0,2597*</w:t>
            </w:r>
          </w:p>
        </w:tc>
        <w:tc>
          <w:tcPr>
            <w:tcW w:w="960" w:type="dxa"/>
            <w:noWrap/>
            <w:vAlign w:val="bottom"/>
            <w:hideMark/>
          </w:tcPr>
          <w:p w14:paraId="7C6C698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0,1792*</w:t>
            </w:r>
          </w:p>
        </w:tc>
        <w:tc>
          <w:tcPr>
            <w:tcW w:w="960" w:type="dxa"/>
            <w:noWrap/>
            <w:vAlign w:val="bottom"/>
            <w:hideMark/>
          </w:tcPr>
          <w:p w14:paraId="661A6B4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0,1547*</w:t>
            </w:r>
          </w:p>
        </w:tc>
        <w:tc>
          <w:tcPr>
            <w:tcW w:w="960" w:type="dxa"/>
            <w:noWrap/>
            <w:vAlign w:val="bottom"/>
            <w:hideMark/>
          </w:tcPr>
          <w:p w14:paraId="1E92D5B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0,1076*</w:t>
            </w:r>
          </w:p>
        </w:tc>
        <w:tc>
          <w:tcPr>
            <w:tcW w:w="960" w:type="dxa"/>
            <w:noWrap/>
            <w:vAlign w:val="bottom"/>
            <w:hideMark/>
          </w:tcPr>
          <w:p w14:paraId="021DB38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0,0929*</w:t>
            </w:r>
          </w:p>
        </w:tc>
        <w:tc>
          <w:tcPr>
            <w:tcW w:w="960" w:type="dxa"/>
            <w:noWrap/>
            <w:vAlign w:val="bottom"/>
            <w:hideMark/>
          </w:tcPr>
          <w:p w14:paraId="487D516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0,0711*</w:t>
            </w:r>
          </w:p>
        </w:tc>
        <w:tc>
          <w:tcPr>
            <w:tcW w:w="960" w:type="dxa"/>
            <w:noWrap/>
            <w:vAlign w:val="bottom"/>
            <w:hideMark/>
          </w:tcPr>
          <w:p w14:paraId="0AA7E27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0,0682*</w:t>
            </w:r>
          </w:p>
        </w:tc>
      </w:tr>
      <w:tr w:rsidR="00C967F6" w14:paraId="2AFB4667" w14:textId="77777777" w:rsidTr="00C967F6">
        <w:trPr>
          <w:trHeight w:val="300"/>
        </w:trPr>
        <w:tc>
          <w:tcPr>
            <w:tcW w:w="1893" w:type="dxa"/>
            <w:noWrap/>
            <w:vAlign w:val="bottom"/>
            <w:hideMark/>
          </w:tcPr>
          <w:p w14:paraId="47F78016"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Sudoeste-RG</w:t>
            </w:r>
          </w:p>
        </w:tc>
        <w:tc>
          <w:tcPr>
            <w:tcW w:w="960" w:type="dxa"/>
            <w:noWrap/>
            <w:vAlign w:val="bottom"/>
            <w:hideMark/>
          </w:tcPr>
          <w:p w14:paraId="7CF9AA1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-0,0562*</w:t>
            </w:r>
          </w:p>
        </w:tc>
        <w:tc>
          <w:tcPr>
            <w:tcW w:w="960" w:type="dxa"/>
            <w:noWrap/>
            <w:vAlign w:val="bottom"/>
            <w:hideMark/>
          </w:tcPr>
          <w:p w14:paraId="10FF86A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-0,1027*</w:t>
            </w:r>
          </w:p>
        </w:tc>
        <w:tc>
          <w:tcPr>
            <w:tcW w:w="960" w:type="dxa"/>
            <w:noWrap/>
            <w:vAlign w:val="bottom"/>
            <w:hideMark/>
          </w:tcPr>
          <w:p w14:paraId="35DE95F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-0,0796*</w:t>
            </w:r>
          </w:p>
        </w:tc>
        <w:tc>
          <w:tcPr>
            <w:tcW w:w="960" w:type="dxa"/>
            <w:noWrap/>
            <w:vAlign w:val="bottom"/>
            <w:hideMark/>
          </w:tcPr>
          <w:p w14:paraId="372B9C3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-0,0893*</w:t>
            </w:r>
          </w:p>
        </w:tc>
        <w:tc>
          <w:tcPr>
            <w:tcW w:w="960" w:type="dxa"/>
            <w:noWrap/>
            <w:vAlign w:val="bottom"/>
            <w:hideMark/>
          </w:tcPr>
          <w:p w14:paraId="1F13C28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-0,0836*</w:t>
            </w:r>
          </w:p>
        </w:tc>
        <w:tc>
          <w:tcPr>
            <w:tcW w:w="960" w:type="dxa"/>
            <w:noWrap/>
            <w:vAlign w:val="bottom"/>
            <w:hideMark/>
          </w:tcPr>
          <w:p w14:paraId="541A1D1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-0,0652*</w:t>
            </w:r>
          </w:p>
        </w:tc>
        <w:tc>
          <w:tcPr>
            <w:tcW w:w="960" w:type="dxa"/>
            <w:noWrap/>
            <w:vAlign w:val="bottom"/>
            <w:hideMark/>
          </w:tcPr>
          <w:p w14:paraId="08D9EA3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-0,0409*</w:t>
            </w:r>
          </w:p>
        </w:tc>
      </w:tr>
      <w:tr w:rsidR="00C967F6" w14:paraId="58BD2F49" w14:textId="77777777" w:rsidTr="00C967F6">
        <w:trPr>
          <w:trHeight w:val="300"/>
        </w:trPr>
        <w:tc>
          <w:tcPr>
            <w:tcW w:w="1893" w:type="dxa"/>
            <w:noWrap/>
            <w:vAlign w:val="bottom"/>
            <w:hideMark/>
          </w:tcPr>
          <w:p w14:paraId="04C8B204"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Sudeste-RG</w:t>
            </w:r>
          </w:p>
        </w:tc>
        <w:tc>
          <w:tcPr>
            <w:tcW w:w="960" w:type="dxa"/>
            <w:noWrap/>
            <w:vAlign w:val="bottom"/>
            <w:hideMark/>
          </w:tcPr>
          <w:p w14:paraId="2261F9B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0,0219*</w:t>
            </w:r>
          </w:p>
        </w:tc>
        <w:tc>
          <w:tcPr>
            <w:tcW w:w="960" w:type="dxa"/>
            <w:noWrap/>
            <w:vAlign w:val="bottom"/>
            <w:hideMark/>
          </w:tcPr>
          <w:p w14:paraId="23B5355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-0,0178*</w:t>
            </w:r>
          </w:p>
        </w:tc>
        <w:tc>
          <w:tcPr>
            <w:tcW w:w="960" w:type="dxa"/>
            <w:noWrap/>
            <w:vAlign w:val="bottom"/>
            <w:hideMark/>
          </w:tcPr>
          <w:p w14:paraId="79CC71B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0,0032**</w:t>
            </w:r>
          </w:p>
        </w:tc>
        <w:tc>
          <w:tcPr>
            <w:tcW w:w="960" w:type="dxa"/>
            <w:noWrap/>
            <w:vAlign w:val="bottom"/>
            <w:hideMark/>
          </w:tcPr>
          <w:p w14:paraId="333295C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-0,0182*</w:t>
            </w:r>
          </w:p>
        </w:tc>
        <w:tc>
          <w:tcPr>
            <w:tcW w:w="960" w:type="dxa"/>
            <w:noWrap/>
            <w:vAlign w:val="bottom"/>
            <w:hideMark/>
          </w:tcPr>
          <w:p w14:paraId="36A7C9B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0,0022**</w:t>
            </w:r>
          </w:p>
        </w:tc>
        <w:tc>
          <w:tcPr>
            <w:tcW w:w="960" w:type="dxa"/>
            <w:noWrap/>
            <w:vAlign w:val="bottom"/>
            <w:hideMark/>
          </w:tcPr>
          <w:p w14:paraId="5DF2E2C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0,0223*</w:t>
            </w:r>
          </w:p>
        </w:tc>
        <w:tc>
          <w:tcPr>
            <w:tcW w:w="960" w:type="dxa"/>
            <w:noWrap/>
            <w:vAlign w:val="bottom"/>
            <w:hideMark/>
          </w:tcPr>
          <w:p w14:paraId="49F1B51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0,0246*</w:t>
            </w:r>
          </w:p>
        </w:tc>
      </w:tr>
      <w:tr w:rsidR="00C967F6" w14:paraId="66760762" w14:textId="77777777" w:rsidTr="00C967F6">
        <w:trPr>
          <w:trHeight w:val="300"/>
        </w:trPr>
        <w:tc>
          <w:tcPr>
            <w:tcW w:w="8613" w:type="dxa"/>
            <w:gridSpan w:val="8"/>
            <w:noWrap/>
            <w:vAlign w:val="bottom"/>
            <w:hideMark/>
          </w:tcPr>
          <w:p w14:paraId="6CCBEDFD"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Ensino Formal</w:t>
            </w:r>
          </w:p>
        </w:tc>
      </w:tr>
      <w:tr w:rsidR="00C967F6" w14:paraId="0D136CB8" w14:textId="77777777" w:rsidTr="00C967F6">
        <w:trPr>
          <w:trHeight w:val="300"/>
        </w:trPr>
        <w:tc>
          <w:tcPr>
            <w:tcW w:w="1893" w:type="dxa"/>
            <w:noWrap/>
            <w:vAlign w:val="bottom"/>
            <w:hideMark/>
          </w:tcPr>
          <w:p w14:paraId="590619D6"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Fundamental I</w:t>
            </w:r>
          </w:p>
        </w:tc>
        <w:tc>
          <w:tcPr>
            <w:tcW w:w="960" w:type="dxa"/>
            <w:noWrap/>
            <w:vAlign w:val="bottom"/>
            <w:hideMark/>
          </w:tcPr>
          <w:p w14:paraId="5A19FB6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-0,0047</w:t>
            </w:r>
          </w:p>
        </w:tc>
        <w:tc>
          <w:tcPr>
            <w:tcW w:w="960" w:type="dxa"/>
            <w:noWrap/>
            <w:vAlign w:val="bottom"/>
            <w:hideMark/>
          </w:tcPr>
          <w:p w14:paraId="31CECEB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0,1322*</w:t>
            </w:r>
          </w:p>
        </w:tc>
        <w:tc>
          <w:tcPr>
            <w:tcW w:w="960" w:type="dxa"/>
            <w:noWrap/>
            <w:vAlign w:val="bottom"/>
            <w:hideMark/>
          </w:tcPr>
          <w:p w14:paraId="65DD786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0,1044*</w:t>
            </w:r>
          </w:p>
        </w:tc>
        <w:tc>
          <w:tcPr>
            <w:tcW w:w="960" w:type="dxa"/>
            <w:noWrap/>
            <w:vAlign w:val="bottom"/>
            <w:hideMark/>
          </w:tcPr>
          <w:p w14:paraId="7C61088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0,1044*</w:t>
            </w:r>
          </w:p>
        </w:tc>
        <w:tc>
          <w:tcPr>
            <w:tcW w:w="960" w:type="dxa"/>
            <w:noWrap/>
            <w:vAlign w:val="bottom"/>
            <w:hideMark/>
          </w:tcPr>
          <w:p w14:paraId="3190AEE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0,1035*</w:t>
            </w:r>
          </w:p>
        </w:tc>
        <w:tc>
          <w:tcPr>
            <w:tcW w:w="960" w:type="dxa"/>
            <w:noWrap/>
            <w:vAlign w:val="bottom"/>
            <w:hideMark/>
          </w:tcPr>
          <w:p w14:paraId="1691E28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0,0608*</w:t>
            </w:r>
          </w:p>
        </w:tc>
        <w:tc>
          <w:tcPr>
            <w:tcW w:w="960" w:type="dxa"/>
            <w:noWrap/>
            <w:vAlign w:val="bottom"/>
            <w:hideMark/>
          </w:tcPr>
          <w:p w14:paraId="75AD1BE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0,0456*</w:t>
            </w:r>
          </w:p>
        </w:tc>
      </w:tr>
      <w:tr w:rsidR="00C967F6" w14:paraId="64BF87A0" w14:textId="77777777" w:rsidTr="00C967F6">
        <w:trPr>
          <w:trHeight w:val="300"/>
        </w:trPr>
        <w:tc>
          <w:tcPr>
            <w:tcW w:w="1893" w:type="dxa"/>
            <w:noWrap/>
            <w:vAlign w:val="bottom"/>
            <w:hideMark/>
          </w:tcPr>
          <w:p w14:paraId="3D3E8A90"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Fundamental II</w:t>
            </w:r>
          </w:p>
        </w:tc>
        <w:tc>
          <w:tcPr>
            <w:tcW w:w="960" w:type="dxa"/>
            <w:noWrap/>
            <w:vAlign w:val="bottom"/>
            <w:hideMark/>
          </w:tcPr>
          <w:p w14:paraId="2356873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0,1037*</w:t>
            </w:r>
          </w:p>
        </w:tc>
        <w:tc>
          <w:tcPr>
            <w:tcW w:w="960" w:type="dxa"/>
            <w:noWrap/>
            <w:vAlign w:val="bottom"/>
            <w:hideMark/>
          </w:tcPr>
          <w:p w14:paraId="498EE93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0,2134*</w:t>
            </w:r>
          </w:p>
        </w:tc>
        <w:tc>
          <w:tcPr>
            <w:tcW w:w="960" w:type="dxa"/>
            <w:noWrap/>
            <w:vAlign w:val="bottom"/>
            <w:hideMark/>
          </w:tcPr>
          <w:p w14:paraId="0A964D8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0,1845*</w:t>
            </w:r>
          </w:p>
        </w:tc>
        <w:tc>
          <w:tcPr>
            <w:tcW w:w="960" w:type="dxa"/>
            <w:noWrap/>
            <w:vAlign w:val="bottom"/>
            <w:hideMark/>
          </w:tcPr>
          <w:p w14:paraId="43283C3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0,1722*</w:t>
            </w:r>
          </w:p>
        </w:tc>
        <w:tc>
          <w:tcPr>
            <w:tcW w:w="960" w:type="dxa"/>
            <w:noWrap/>
            <w:vAlign w:val="bottom"/>
            <w:hideMark/>
          </w:tcPr>
          <w:p w14:paraId="799B92A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0,1540*</w:t>
            </w:r>
          </w:p>
        </w:tc>
        <w:tc>
          <w:tcPr>
            <w:tcW w:w="960" w:type="dxa"/>
            <w:noWrap/>
            <w:vAlign w:val="bottom"/>
            <w:hideMark/>
          </w:tcPr>
          <w:p w14:paraId="6054F33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0,1037*</w:t>
            </w:r>
          </w:p>
        </w:tc>
        <w:tc>
          <w:tcPr>
            <w:tcW w:w="960" w:type="dxa"/>
            <w:noWrap/>
            <w:vAlign w:val="bottom"/>
            <w:hideMark/>
          </w:tcPr>
          <w:p w14:paraId="360479C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0,0830*</w:t>
            </w:r>
          </w:p>
        </w:tc>
      </w:tr>
      <w:tr w:rsidR="00C967F6" w14:paraId="3F2CA582" w14:textId="77777777" w:rsidTr="00C967F6">
        <w:trPr>
          <w:trHeight w:val="300"/>
        </w:trPr>
        <w:tc>
          <w:tcPr>
            <w:tcW w:w="1893" w:type="dxa"/>
            <w:noWrap/>
            <w:vAlign w:val="bottom"/>
            <w:hideMark/>
          </w:tcPr>
          <w:p w14:paraId="22C2ECE7"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Médio Incompleto</w:t>
            </w:r>
          </w:p>
        </w:tc>
        <w:tc>
          <w:tcPr>
            <w:tcW w:w="960" w:type="dxa"/>
            <w:noWrap/>
            <w:vAlign w:val="bottom"/>
            <w:hideMark/>
          </w:tcPr>
          <w:p w14:paraId="2B07235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0,2139*</w:t>
            </w:r>
          </w:p>
        </w:tc>
        <w:tc>
          <w:tcPr>
            <w:tcW w:w="960" w:type="dxa"/>
            <w:noWrap/>
            <w:vAlign w:val="bottom"/>
            <w:hideMark/>
          </w:tcPr>
          <w:p w14:paraId="4BE3E77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0,2876*</w:t>
            </w:r>
          </w:p>
        </w:tc>
        <w:tc>
          <w:tcPr>
            <w:tcW w:w="960" w:type="dxa"/>
            <w:noWrap/>
            <w:vAlign w:val="bottom"/>
            <w:hideMark/>
          </w:tcPr>
          <w:p w14:paraId="0133D42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0,2347*</w:t>
            </w:r>
          </w:p>
        </w:tc>
        <w:tc>
          <w:tcPr>
            <w:tcW w:w="960" w:type="dxa"/>
            <w:noWrap/>
            <w:vAlign w:val="bottom"/>
            <w:hideMark/>
          </w:tcPr>
          <w:p w14:paraId="3C5E31F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0,2076*</w:t>
            </w:r>
          </w:p>
        </w:tc>
        <w:tc>
          <w:tcPr>
            <w:tcW w:w="960" w:type="dxa"/>
            <w:noWrap/>
            <w:vAlign w:val="bottom"/>
            <w:hideMark/>
          </w:tcPr>
          <w:p w14:paraId="04B0604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0,1760*</w:t>
            </w:r>
          </w:p>
        </w:tc>
        <w:tc>
          <w:tcPr>
            <w:tcW w:w="960" w:type="dxa"/>
            <w:noWrap/>
            <w:vAlign w:val="bottom"/>
            <w:hideMark/>
          </w:tcPr>
          <w:p w14:paraId="7D6A268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0,1201*</w:t>
            </w:r>
          </w:p>
        </w:tc>
        <w:tc>
          <w:tcPr>
            <w:tcW w:w="960" w:type="dxa"/>
            <w:noWrap/>
            <w:vAlign w:val="bottom"/>
            <w:hideMark/>
          </w:tcPr>
          <w:p w14:paraId="6C56209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0,0923*</w:t>
            </w:r>
          </w:p>
        </w:tc>
      </w:tr>
      <w:tr w:rsidR="00C967F6" w14:paraId="70B5B5FD" w14:textId="77777777" w:rsidTr="00C967F6">
        <w:trPr>
          <w:trHeight w:val="300"/>
        </w:trPr>
        <w:tc>
          <w:tcPr>
            <w:tcW w:w="1893" w:type="dxa"/>
            <w:noWrap/>
            <w:vAlign w:val="bottom"/>
            <w:hideMark/>
          </w:tcPr>
          <w:p w14:paraId="2ED63AAE"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Médio Completo</w:t>
            </w:r>
          </w:p>
        </w:tc>
        <w:tc>
          <w:tcPr>
            <w:tcW w:w="960" w:type="dxa"/>
            <w:noWrap/>
            <w:vAlign w:val="bottom"/>
            <w:hideMark/>
          </w:tcPr>
          <w:p w14:paraId="6B95DF8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0,4238*</w:t>
            </w:r>
          </w:p>
        </w:tc>
        <w:tc>
          <w:tcPr>
            <w:tcW w:w="960" w:type="dxa"/>
            <w:noWrap/>
            <w:vAlign w:val="bottom"/>
            <w:hideMark/>
          </w:tcPr>
          <w:p w14:paraId="6FAC3DD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0,4641*</w:t>
            </w:r>
          </w:p>
        </w:tc>
        <w:tc>
          <w:tcPr>
            <w:tcW w:w="960" w:type="dxa"/>
            <w:noWrap/>
            <w:vAlign w:val="bottom"/>
            <w:hideMark/>
          </w:tcPr>
          <w:p w14:paraId="3DCD433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0,3892*</w:t>
            </w:r>
          </w:p>
        </w:tc>
        <w:tc>
          <w:tcPr>
            <w:tcW w:w="960" w:type="dxa"/>
            <w:noWrap/>
            <w:vAlign w:val="bottom"/>
            <w:hideMark/>
          </w:tcPr>
          <w:p w14:paraId="0697597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0,3341*</w:t>
            </w:r>
          </w:p>
        </w:tc>
        <w:tc>
          <w:tcPr>
            <w:tcW w:w="960" w:type="dxa"/>
            <w:noWrap/>
            <w:vAlign w:val="bottom"/>
            <w:hideMark/>
          </w:tcPr>
          <w:p w14:paraId="774EDEB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0,2902*</w:t>
            </w:r>
          </w:p>
        </w:tc>
        <w:tc>
          <w:tcPr>
            <w:tcW w:w="960" w:type="dxa"/>
            <w:noWrap/>
            <w:vAlign w:val="bottom"/>
            <w:hideMark/>
          </w:tcPr>
          <w:p w14:paraId="27C3528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0,2285*</w:t>
            </w:r>
          </w:p>
        </w:tc>
        <w:tc>
          <w:tcPr>
            <w:tcW w:w="960" w:type="dxa"/>
            <w:noWrap/>
            <w:vAlign w:val="bottom"/>
            <w:hideMark/>
          </w:tcPr>
          <w:p w14:paraId="0B41A72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0,1933*</w:t>
            </w:r>
          </w:p>
        </w:tc>
      </w:tr>
      <w:tr w:rsidR="00C967F6" w14:paraId="3183A5C7" w14:textId="77777777" w:rsidTr="00C967F6">
        <w:trPr>
          <w:trHeight w:val="300"/>
        </w:trPr>
        <w:tc>
          <w:tcPr>
            <w:tcW w:w="1893" w:type="dxa"/>
            <w:noWrap/>
            <w:vAlign w:val="bottom"/>
            <w:hideMark/>
          </w:tcPr>
          <w:p w14:paraId="0613A7AB"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Superior Incompleto</w:t>
            </w:r>
          </w:p>
        </w:tc>
        <w:tc>
          <w:tcPr>
            <w:tcW w:w="960" w:type="dxa"/>
            <w:noWrap/>
            <w:vAlign w:val="bottom"/>
            <w:hideMark/>
          </w:tcPr>
          <w:p w14:paraId="3B140F3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0,7569*</w:t>
            </w:r>
          </w:p>
        </w:tc>
        <w:tc>
          <w:tcPr>
            <w:tcW w:w="960" w:type="dxa"/>
            <w:noWrap/>
            <w:vAlign w:val="bottom"/>
            <w:hideMark/>
          </w:tcPr>
          <w:p w14:paraId="0B99288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0,7549*</w:t>
            </w:r>
          </w:p>
        </w:tc>
        <w:tc>
          <w:tcPr>
            <w:tcW w:w="960" w:type="dxa"/>
            <w:noWrap/>
            <w:vAlign w:val="bottom"/>
            <w:hideMark/>
          </w:tcPr>
          <w:p w14:paraId="0DB53BB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0,7005*</w:t>
            </w:r>
          </w:p>
        </w:tc>
        <w:tc>
          <w:tcPr>
            <w:tcW w:w="960" w:type="dxa"/>
            <w:noWrap/>
            <w:vAlign w:val="bottom"/>
            <w:hideMark/>
          </w:tcPr>
          <w:p w14:paraId="7CC1499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0,6120*</w:t>
            </w:r>
          </w:p>
        </w:tc>
        <w:tc>
          <w:tcPr>
            <w:tcW w:w="960" w:type="dxa"/>
            <w:noWrap/>
            <w:vAlign w:val="bottom"/>
            <w:hideMark/>
          </w:tcPr>
          <w:p w14:paraId="1E317C8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0,5533*</w:t>
            </w:r>
          </w:p>
        </w:tc>
        <w:tc>
          <w:tcPr>
            <w:tcW w:w="960" w:type="dxa"/>
            <w:noWrap/>
            <w:vAlign w:val="bottom"/>
            <w:hideMark/>
          </w:tcPr>
          <w:p w14:paraId="6B8309F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0,4295*</w:t>
            </w:r>
          </w:p>
        </w:tc>
        <w:tc>
          <w:tcPr>
            <w:tcW w:w="960" w:type="dxa"/>
            <w:noWrap/>
            <w:vAlign w:val="bottom"/>
            <w:hideMark/>
          </w:tcPr>
          <w:p w14:paraId="1D21B75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0,3600*</w:t>
            </w:r>
          </w:p>
        </w:tc>
      </w:tr>
      <w:tr w:rsidR="00C967F6" w14:paraId="7B1D86ED" w14:textId="77777777" w:rsidTr="00C967F6">
        <w:trPr>
          <w:trHeight w:val="300"/>
        </w:trPr>
        <w:tc>
          <w:tcPr>
            <w:tcW w:w="1893" w:type="dxa"/>
            <w:noWrap/>
            <w:vAlign w:val="bottom"/>
            <w:hideMark/>
          </w:tcPr>
          <w:p w14:paraId="227B91F8"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Superior Completo</w:t>
            </w:r>
          </w:p>
        </w:tc>
        <w:tc>
          <w:tcPr>
            <w:tcW w:w="960" w:type="dxa"/>
            <w:noWrap/>
            <w:vAlign w:val="bottom"/>
            <w:hideMark/>
          </w:tcPr>
          <w:p w14:paraId="799BA64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1,0143*</w:t>
            </w:r>
          </w:p>
        </w:tc>
        <w:tc>
          <w:tcPr>
            <w:tcW w:w="960" w:type="dxa"/>
            <w:noWrap/>
            <w:vAlign w:val="bottom"/>
            <w:hideMark/>
          </w:tcPr>
          <w:p w14:paraId="634764D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1,1608*</w:t>
            </w:r>
          </w:p>
        </w:tc>
        <w:tc>
          <w:tcPr>
            <w:tcW w:w="960" w:type="dxa"/>
            <w:noWrap/>
            <w:vAlign w:val="bottom"/>
            <w:hideMark/>
          </w:tcPr>
          <w:p w14:paraId="44F52F0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1,0880*</w:t>
            </w:r>
          </w:p>
        </w:tc>
        <w:tc>
          <w:tcPr>
            <w:tcW w:w="960" w:type="dxa"/>
            <w:noWrap/>
            <w:vAlign w:val="bottom"/>
            <w:hideMark/>
          </w:tcPr>
          <w:p w14:paraId="0D1AEB7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1,0050*</w:t>
            </w:r>
          </w:p>
        </w:tc>
        <w:tc>
          <w:tcPr>
            <w:tcW w:w="960" w:type="dxa"/>
            <w:noWrap/>
            <w:vAlign w:val="bottom"/>
            <w:hideMark/>
          </w:tcPr>
          <w:p w14:paraId="5CC8746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0,9497*</w:t>
            </w:r>
          </w:p>
        </w:tc>
        <w:tc>
          <w:tcPr>
            <w:tcW w:w="960" w:type="dxa"/>
            <w:noWrap/>
            <w:vAlign w:val="bottom"/>
            <w:hideMark/>
          </w:tcPr>
          <w:p w14:paraId="1127298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0,8449*</w:t>
            </w:r>
          </w:p>
        </w:tc>
        <w:tc>
          <w:tcPr>
            <w:tcW w:w="960" w:type="dxa"/>
            <w:noWrap/>
            <w:vAlign w:val="bottom"/>
            <w:hideMark/>
          </w:tcPr>
          <w:p w14:paraId="2671E9A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0,7830*</w:t>
            </w:r>
          </w:p>
        </w:tc>
      </w:tr>
      <w:tr w:rsidR="00C967F6" w14:paraId="17438F30" w14:textId="77777777" w:rsidTr="00C967F6">
        <w:trPr>
          <w:trHeight w:val="300"/>
        </w:trPr>
        <w:tc>
          <w:tcPr>
            <w:tcW w:w="1893" w:type="dxa"/>
            <w:noWrap/>
            <w:vAlign w:val="bottom"/>
            <w:hideMark/>
          </w:tcPr>
          <w:p w14:paraId="36CE3B71"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Pós-Graduação</w:t>
            </w:r>
          </w:p>
        </w:tc>
        <w:tc>
          <w:tcPr>
            <w:tcW w:w="960" w:type="dxa"/>
            <w:noWrap/>
            <w:vAlign w:val="bottom"/>
            <w:hideMark/>
          </w:tcPr>
          <w:p w14:paraId="20CB35F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960" w:type="dxa"/>
            <w:noWrap/>
            <w:vAlign w:val="bottom"/>
            <w:hideMark/>
          </w:tcPr>
          <w:p w14:paraId="2EE13AD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960" w:type="dxa"/>
            <w:noWrap/>
            <w:vAlign w:val="bottom"/>
            <w:hideMark/>
          </w:tcPr>
          <w:p w14:paraId="119C01B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1,8007*</w:t>
            </w:r>
          </w:p>
        </w:tc>
        <w:tc>
          <w:tcPr>
            <w:tcW w:w="960" w:type="dxa"/>
            <w:noWrap/>
            <w:vAlign w:val="bottom"/>
            <w:hideMark/>
          </w:tcPr>
          <w:p w14:paraId="28FB4DC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1,6112*</w:t>
            </w:r>
          </w:p>
        </w:tc>
        <w:tc>
          <w:tcPr>
            <w:tcW w:w="960" w:type="dxa"/>
            <w:noWrap/>
            <w:vAlign w:val="bottom"/>
            <w:hideMark/>
          </w:tcPr>
          <w:p w14:paraId="4BE3CC3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1,5164*</w:t>
            </w:r>
          </w:p>
        </w:tc>
        <w:tc>
          <w:tcPr>
            <w:tcW w:w="960" w:type="dxa"/>
            <w:noWrap/>
            <w:vAlign w:val="bottom"/>
            <w:hideMark/>
          </w:tcPr>
          <w:p w14:paraId="7D1F578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1,5057*</w:t>
            </w:r>
          </w:p>
        </w:tc>
        <w:tc>
          <w:tcPr>
            <w:tcW w:w="960" w:type="dxa"/>
            <w:noWrap/>
            <w:vAlign w:val="bottom"/>
            <w:hideMark/>
          </w:tcPr>
          <w:p w14:paraId="366D397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1,4512*</w:t>
            </w:r>
          </w:p>
        </w:tc>
      </w:tr>
      <w:tr w:rsidR="00C967F6" w14:paraId="3A47A489" w14:textId="77777777" w:rsidTr="00C967F6">
        <w:trPr>
          <w:trHeight w:val="300"/>
        </w:trPr>
        <w:tc>
          <w:tcPr>
            <w:tcW w:w="8613" w:type="dxa"/>
            <w:gridSpan w:val="8"/>
            <w:noWrap/>
            <w:vAlign w:val="bottom"/>
            <w:hideMark/>
          </w:tcPr>
          <w:p w14:paraId="15D8D3F2"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Tempo no emprego</w:t>
            </w:r>
          </w:p>
        </w:tc>
      </w:tr>
      <w:tr w:rsidR="00C967F6" w14:paraId="13A2104E" w14:textId="77777777" w:rsidTr="00C967F6">
        <w:trPr>
          <w:trHeight w:val="300"/>
        </w:trPr>
        <w:tc>
          <w:tcPr>
            <w:tcW w:w="1893" w:type="dxa"/>
            <w:noWrap/>
            <w:vAlign w:val="bottom"/>
            <w:hideMark/>
          </w:tcPr>
          <w:p w14:paraId="697FE965"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 a 3 anos</w:t>
            </w:r>
          </w:p>
        </w:tc>
        <w:tc>
          <w:tcPr>
            <w:tcW w:w="960" w:type="dxa"/>
            <w:noWrap/>
            <w:vAlign w:val="bottom"/>
            <w:hideMark/>
          </w:tcPr>
          <w:p w14:paraId="6B29A86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0,1335*</w:t>
            </w:r>
          </w:p>
        </w:tc>
        <w:tc>
          <w:tcPr>
            <w:tcW w:w="960" w:type="dxa"/>
            <w:noWrap/>
            <w:vAlign w:val="bottom"/>
            <w:hideMark/>
          </w:tcPr>
          <w:p w14:paraId="382F242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0,1068*</w:t>
            </w:r>
          </w:p>
        </w:tc>
        <w:tc>
          <w:tcPr>
            <w:tcW w:w="960" w:type="dxa"/>
            <w:noWrap/>
            <w:vAlign w:val="bottom"/>
            <w:hideMark/>
          </w:tcPr>
          <w:p w14:paraId="038BD6C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0,1003*</w:t>
            </w:r>
          </w:p>
        </w:tc>
        <w:tc>
          <w:tcPr>
            <w:tcW w:w="960" w:type="dxa"/>
            <w:noWrap/>
            <w:vAlign w:val="bottom"/>
            <w:hideMark/>
          </w:tcPr>
          <w:p w14:paraId="26BA35A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0,1025*</w:t>
            </w:r>
          </w:p>
        </w:tc>
        <w:tc>
          <w:tcPr>
            <w:tcW w:w="960" w:type="dxa"/>
            <w:noWrap/>
            <w:vAlign w:val="bottom"/>
            <w:hideMark/>
          </w:tcPr>
          <w:p w14:paraId="50A9207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0,1053*</w:t>
            </w:r>
          </w:p>
        </w:tc>
        <w:tc>
          <w:tcPr>
            <w:tcW w:w="960" w:type="dxa"/>
            <w:noWrap/>
            <w:vAlign w:val="bottom"/>
            <w:hideMark/>
          </w:tcPr>
          <w:p w14:paraId="034F0BB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0,1003*</w:t>
            </w:r>
          </w:p>
        </w:tc>
        <w:tc>
          <w:tcPr>
            <w:tcW w:w="960" w:type="dxa"/>
            <w:noWrap/>
            <w:vAlign w:val="bottom"/>
            <w:hideMark/>
          </w:tcPr>
          <w:p w14:paraId="0A810B7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0,0654*</w:t>
            </w:r>
          </w:p>
        </w:tc>
      </w:tr>
      <w:tr w:rsidR="00C967F6" w14:paraId="47218AD8" w14:textId="77777777" w:rsidTr="00C967F6">
        <w:trPr>
          <w:trHeight w:val="300"/>
        </w:trPr>
        <w:tc>
          <w:tcPr>
            <w:tcW w:w="1893" w:type="dxa"/>
            <w:noWrap/>
            <w:vAlign w:val="bottom"/>
            <w:hideMark/>
          </w:tcPr>
          <w:p w14:paraId="4B5847A8"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 a 5 anos</w:t>
            </w:r>
          </w:p>
        </w:tc>
        <w:tc>
          <w:tcPr>
            <w:tcW w:w="960" w:type="dxa"/>
            <w:noWrap/>
            <w:vAlign w:val="bottom"/>
            <w:hideMark/>
          </w:tcPr>
          <w:p w14:paraId="14C1E5F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0,2659*</w:t>
            </w:r>
          </w:p>
        </w:tc>
        <w:tc>
          <w:tcPr>
            <w:tcW w:w="960" w:type="dxa"/>
            <w:noWrap/>
            <w:vAlign w:val="bottom"/>
            <w:hideMark/>
          </w:tcPr>
          <w:p w14:paraId="6DA0F6E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0,2198*</w:t>
            </w:r>
          </w:p>
        </w:tc>
        <w:tc>
          <w:tcPr>
            <w:tcW w:w="960" w:type="dxa"/>
            <w:noWrap/>
            <w:vAlign w:val="bottom"/>
            <w:hideMark/>
          </w:tcPr>
          <w:p w14:paraId="532D97A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0,1937*</w:t>
            </w:r>
          </w:p>
        </w:tc>
        <w:tc>
          <w:tcPr>
            <w:tcW w:w="960" w:type="dxa"/>
            <w:noWrap/>
            <w:vAlign w:val="bottom"/>
            <w:hideMark/>
          </w:tcPr>
          <w:p w14:paraId="1720768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0,2204*</w:t>
            </w:r>
          </w:p>
        </w:tc>
        <w:tc>
          <w:tcPr>
            <w:tcW w:w="960" w:type="dxa"/>
            <w:noWrap/>
            <w:vAlign w:val="bottom"/>
            <w:hideMark/>
          </w:tcPr>
          <w:p w14:paraId="536FF91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0,2212*</w:t>
            </w:r>
          </w:p>
        </w:tc>
        <w:tc>
          <w:tcPr>
            <w:tcW w:w="960" w:type="dxa"/>
            <w:noWrap/>
            <w:vAlign w:val="bottom"/>
            <w:hideMark/>
          </w:tcPr>
          <w:p w14:paraId="09B42F0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0,2030*</w:t>
            </w:r>
          </w:p>
        </w:tc>
        <w:tc>
          <w:tcPr>
            <w:tcW w:w="960" w:type="dxa"/>
            <w:noWrap/>
            <w:vAlign w:val="bottom"/>
            <w:hideMark/>
          </w:tcPr>
          <w:p w14:paraId="607D6F3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0,1716*</w:t>
            </w:r>
          </w:p>
        </w:tc>
      </w:tr>
      <w:tr w:rsidR="00C967F6" w14:paraId="66F3F47F" w14:textId="77777777" w:rsidTr="00C967F6">
        <w:trPr>
          <w:trHeight w:val="300"/>
        </w:trPr>
        <w:tc>
          <w:tcPr>
            <w:tcW w:w="1893" w:type="dxa"/>
            <w:noWrap/>
            <w:vAlign w:val="bottom"/>
            <w:hideMark/>
          </w:tcPr>
          <w:p w14:paraId="6CD85AD4"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 a 10 ano</w:t>
            </w:r>
          </w:p>
        </w:tc>
        <w:tc>
          <w:tcPr>
            <w:tcW w:w="960" w:type="dxa"/>
            <w:noWrap/>
            <w:vAlign w:val="bottom"/>
            <w:hideMark/>
          </w:tcPr>
          <w:p w14:paraId="4321797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0,3939*</w:t>
            </w:r>
          </w:p>
        </w:tc>
        <w:tc>
          <w:tcPr>
            <w:tcW w:w="960" w:type="dxa"/>
            <w:noWrap/>
            <w:vAlign w:val="bottom"/>
            <w:hideMark/>
          </w:tcPr>
          <w:p w14:paraId="763DAD3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0,3755*</w:t>
            </w:r>
          </w:p>
        </w:tc>
        <w:tc>
          <w:tcPr>
            <w:tcW w:w="960" w:type="dxa"/>
            <w:noWrap/>
            <w:vAlign w:val="bottom"/>
            <w:hideMark/>
          </w:tcPr>
          <w:p w14:paraId="372AC86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0,3428*</w:t>
            </w:r>
          </w:p>
        </w:tc>
        <w:tc>
          <w:tcPr>
            <w:tcW w:w="960" w:type="dxa"/>
            <w:noWrap/>
            <w:vAlign w:val="bottom"/>
            <w:hideMark/>
          </w:tcPr>
          <w:p w14:paraId="7F581FA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0,3230*</w:t>
            </w:r>
          </w:p>
        </w:tc>
        <w:tc>
          <w:tcPr>
            <w:tcW w:w="960" w:type="dxa"/>
            <w:noWrap/>
            <w:vAlign w:val="bottom"/>
            <w:hideMark/>
          </w:tcPr>
          <w:p w14:paraId="72C3B8B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0,3521*</w:t>
            </w:r>
          </w:p>
        </w:tc>
        <w:tc>
          <w:tcPr>
            <w:tcW w:w="960" w:type="dxa"/>
            <w:noWrap/>
            <w:vAlign w:val="bottom"/>
            <w:hideMark/>
          </w:tcPr>
          <w:p w14:paraId="5991228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0,3300*</w:t>
            </w:r>
          </w:p>
        </w:tc>
        <w:tc>
          <w:tcPr>
            <w:tcW w:w="960" w:type="dxa"/>
            <w:noWrap/>
            <w:vAlign w:val="bottom"/>
            <w:hideMark/>
          </w:tcPr>
          <w:p w14:paraId="2FE7B41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0,2985*</w:t>
            </w:r>
          </w:p>
        </w:tc>
      </w:tr>
      <w:tr w:rsidR="00C967F6" w14:paraId="34183A56" w14:textId="77777777" w:rsidTr="00C967F6">
        <w:trPr>
          <w:trHeight w:val="300"/>
        </w:trPr>
        <w:tc>
          <w:tcPr>
            <w:tcW w:w="1893" w:type="dxa"/>
            <w:tcBorders>
              <w:top w:val="nil"/>
              <w:left w:val="nil"/>
              <w:bottom w:val="single" w:sz="4" w:space="0" w:color="auto"/>
              <w:right w:val="nil"/>
            </w:tcBorders>
            <w:noWrap/>
            <w:vAlign w:val="bottom"/>
            <w:hideMark/>
          </w:tcPr>
          <w:p w14:paraId="37F7A3CC"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 ou mais anos</w:t>
            </w:r>
          </w:p>
        </w:tc>
        <w:tc>
          <w:tcPr>
            <w:tcW w:w="960" w:type="dxa"/>
            <w:tcBorders>
              <w:top w:val="nil"/>
              <w:left w:val="nil"/>
              <w:bottom w:val="single" w:sz="4" w:space="0" w:color="auto"/>
              <w:right w:val="nil"/>
            </w:tcBorders>
            <w:noWrap/>
            <w:vAlign w:val="bottom"/>
            <w:hideMark/>
          </w:tcPr>
          <w:p w14:paraId="3253A60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0,6885*</w:t>
            </w:r>
          </w:p>
        </w:tc>
        <w:tc>
          <w:tcPr>
            <w:tcW w:w="960" w:type="dxa"/>
            <w:tcBorders>
              <w:top w:val="nil"/>
              <w:left w:val="nil"/>
              <w:bottom w:val="single" w:sz="4" w:space="0" w:color="auto"/>
              <w:right w:val="nil"/>
            </w:tcBorders>
            <w:noWrap/>
            <w:vAlign w:val="bottom"/>
            <w:hideMark/>
          </w:tcPr>
          <w:p w14:paraId="4E14F0A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0,6535*</w:t>
            </w:r>
          </w:p>
        </w:tc>
        <w:tc>
          <w:tcPr>
            <w:tcW w:w="960" w:type="dxa"/>
            <w:tcBorders>
              <w:top w:val="nil"/>
              <w:left w:val="nil"/>
              <w:bottom w:val="single" w:sz="4" w:space="0" w:color="auto"/>
              <w:right w:val="nil"/>
            </w:tcBorders>
            <w:noWrap/>
            <w:vAlign w:val="bottom"/>
            <w:hideMark/>
          </w:tcPr>
          <w:p w14:paraId="1460DA3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0,6448*</w:t>
            </w:r>
          </w:p>
        </w:tc>
        <w:tc>
          <w:tcPr>
            <w:tcW w:w="960" w:type="dxa"/>
            <w:tcBorders>
              <w:top w:val="nil"/>
              <w:left w:val="nil"/>
              <w:bottom w:val="single" w:sz="4" w:space="0" w:color="auto"/>
              <w:right w:val="nil"/>
            </w:tcBorders>
            <w:noWrap/>
            <w:vAlign w:val="bottom"/>
            <w:hideMark/>
          </w:tcPr>
          <w:p w14:paraId="629F1AA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0,6640*</w:t>
            </w:r>
          </w:p>
        </w:tc>
        <w:tc>
          <w:tcPr>
            <w:tcW w:w="960" w:type="dxa"/>
            <w:tcBorders>
              <w:top w:val="nil"/>
              <w:left w:val="nil"/>
              <w:bottom w:val="single" w:sz="4" w:space="0" w:color="auto"/>
              <w:right w:val="nil"/>
            </w:tcBorders>
            <w:noWrap/>
            <w:vAlign w:val="bottom"/>
            <w:hideMark/>
          </w:tcPr>
          <w:p w14:paraId="0CCE9A3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0,6547*</w:t>
            </w:r>
          </w:p>
        </w:tc>
        <w:tc>
          <w:tcPr>
            <w:tcW w:w="960" w:type="dxa"/>
            <w:tcBorders>
              <w:top w:val="nil"/>
              <w:left w:val="nil"/>
              <w:bottom w:val="single" w:sz="4" w:space="0" w:color="auto"/>
              <w:right w:val="nil"/>
            </w:tcBorders>
            <w:noWrap/>
            <w:vAlign w:val="bottom"/>
            <w:hideMark/>
          </w:tcPr>
          <w:p w14:paraId="6CFEFB2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0,6313*</w:t>
            </w:r>
          </w:p>
        </w:tc>
        <w:tc>
          <w:tcPr>
            <w:tcW w:w="960" w:type="dxa"/>
            <w:tcBorders>
              <w:top w:val="nil"/>
              <w:left w:val="nil"/>
              <w:bottom w:val="single" w:sz="4" w:space="0" w:color="auto"/>
              <w:right w:val="nil"/>
            </w:tcBorders>
            <w:noWrap/>
            <w:vAlign w:val="bottom"/>
            <w:hideMark/>
          </w:tcPr>
          <w:p w14:paraId="0CF5285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0,5963*</w:t>
            </w:r>
          </w:p>
        </w:tc>
      </w:tr>
    </w:tbl>
    <w:p w14:paraId="2082D4B4" w14:textId="06F508DC" w:rsidR="00C967F6" w:rsidRDefault="00C967F6" w:rsidP="00C967F6">
      <w:pPr>
        <w:spacing w:after="0"/>
        <w:rPr>
          <w:rFonts w:ascii="Times New Roman" w:hAnsi="Times New Roman" w:cs="Times New Roman"/>
        </w:rPr>
      </w:pPr>
      <w:r>
        <w:rPr>
          <w:rFonts w:ascii="Times New Roman" w:hAnsi="Times New Roman" w:cs="Times New Roman"/>
          <w:b/>
        </w:rPr>
        <w:t>Fonte</w:t>
      </w:r>
      <w:r>
        <w:rPr>
          <w:rFonts w:ascii="Times New Roman" w:hAnsi="Times New Roman" w:cs="Times New Roman"/>
        </w:rPr>
        <w:t>: Elaborado pelos autore</w:t>
      </w:r>
      <w:r w:rsidR="00066687">
        <w:rPr>
          <w:rFonts w:ascii="Times New Roman" w:hAnsi="Times New Roman" w:cs="Times New Roman"/>
        </w:rPr>
        <w:t>s com base nos dados da RAIS-MTE</w:t>
      </w:r>
    </w:p>
    <w:p w14:paraId="5626C09A" w14:textId="77777777" w:rsidR="00C967F6" w:rsidRDefault="00C967F6" w:rsidP="00C967F6">
      <w:pPr>
        <w:spacing w:after="0"/>
        <w:rPr>
          <w:rFonts w:ascii="Times New Roman" w:hAnsi="Times New Roman" w:cs="Times New Roman"/>
        </w:rPr>
      </w:pPr>
      <w:r>
        <w:rPr>
          <w:rFonts w:ascii="Times New Roman" w:hAnsi="Times New Roman" w:cs="Times New Roman"/>
        </w:rPr>
        <w:t>(*) significante a 0,01%</w:t>
      </w:r>
    </w:p>
    <w:p w14:paraId="27B7AB2A" w14:textId="77777777" w:rsidR="00C967F6" w:rsidRDefault="00C967F6" w:rsidP="00C967F6">
      <w:pPr>
        <w:rPr>
          <w:rFonts w:ascii="Times New Roman" w:hAnsi="Times New Roman" w:cs="Times New Roman"/>
        </w:rPr>
      </w:pPr>
      <w:r>
        <w:rPr>
          <w:rFonts w:ascii="Times New Roman" w:hAnsi="Times New Roman" w:cs="Times New Roman"/>
        </w:rPr>
        <w:t>(**) significante a 5%</w:t>
      </w:r>
    </w:p>
    <w:p w14:paraId="45716F72" w14:textId="3A4FDDCB" w:rsidR="00AD72BE" w:rsidRDefault="00562AA3" w:rsidP="00F040BB">
      <w:pPr>
        <w:tabs>
          <w:tab w:val="left" w:pos="1950"/>
        </w:tabs>
        <w:spacing w:after="0" w:line="240" w:lineRule="auto"/>
        <w:ind w:firstLine="709"/>
        <w:jc w:val="both"/>
        <w:rPr>
          <w:rFonts w:ascii="Times New Roman" w:hAnsi="Times New Roman" w:cs="Times New Roman"/>
          <w:sz w:val="24"/>
          <w:szCs w:val="24"/>
        </w:rPr>
      </w:pPr>
      <w:r w:rsidRPr="00F040BB">
        <w:rPr>
          <w:rFonts w:ascii="Times New Roman" w:hAnsi="Times New Roman" w:cs="Times New Roman"/>
          <w:sz w:val="24"/>
          <w:szCs w:val="24"/>
        </w:rPr>
        <w:t xml:space="preserve">Indivíduos empregados no mercado trabalho formal da mesorregião Metropolitana de PA em 2000 com remunerações compatíveis aos quartis Q25, Q50 e 75, </w:t>
      </w:r>
      <w:r w:rsidR="0004534E" w:rsidRPr="00F040BB">
        <w:rPr>
          <w:rFonts w:ascii="Times New Roman" w:hAnsi="Times New Roman" w:cs="Times New Roman"/>
          <w:sz w:val="24"/>
          <w:szCs w:val="24"/>
        </w:rPr>
        <w:t>recebiam respectivamente</w:t>
      </w:r>
      <w:r w:rsidR="001C2F87" w:rsidRPr="00F040BB">
        <w:rPr>
          <w:rFonts w:ascii="Times New Roman" w:hAnsi="Times New Roman" w:cs="Times New Roman"/>
          <w:sz w:val="24"/>
          <w:szCs w:val="24"/>
        </w:rPr>
        <w:t xml:space="preserve"> 26,37%, 25,97% e 28,30</w:t>
      </w:r>
      <w:r w:rsidR="0004534E" w:rsidRPr="00F040BB">
        <w:rPr>
          <w:rFonts w:ascii="Times New Roman" w:hAnsi="Times New Roman" w:cs="Times New Roman"/>
          <w:sz w:val="24"/>
          <w:szCs w:val="24"/>
        </w:rPr>
        <w:t>% a</w:t>
      </w:r>
      <w:r w:rsidR="001C2F87" w:rsidRPr="00F040BB">
        <w:rPr>
          <w:rFonts w:ascii="Times New Roman" w:hAnsi="Times New Roman" w:cs="Times New Roman"/>
          <w:sz w:val="24"/>
          <w:szCs w:val="24"/>
        </w:rPr>
        <w:t xml:space="preserve"> mais do que trabalhadores </w:t>
      </w:r>
      <w:r w:rsidR="0004534E" w:rsidRPr="00F040BB">
        <w:rPr>
          <w:rFonts w:ascii="Times New Roman" w:hAnsi="Times New Roman" w:cs="Times New Roman"/>
          <w:sz w:val="24"/>
          <w:szCs w:val="24"/>
        </w:rPr>
        <w:t>da mesorregião de Noroeste-RG</w:t>
      </w:r>
      <w:r w:rsidR="00AD72BE">
        <w:rPr>
          <w:rFonts w:ascii="Times New Roman" w:hAnsi="Times New Roman" w:cs="Times New Roman"/>
          <w:sz w:val="24"/>
          <w:szCs w:val="24"/>
        </w:rPr>
        <w:t xml:space="preserve"> (categoria de referência) em 2000</w:t>
      </w:r>
      <w:r w:rsidR="0004534E" w:rsidRPr="00F040BB">
        <w:rPr>
          <w:rFonts w:ascii="Times New Roman" w:hAnsi="Times New Roman" w:cs="Times New Roman"/>
          <w:sz w:val="24"/>
          <w:szCs w:val="24"/>
        </w:rPr>
        <w:t>. Já em 2017 esses valores caíram respectiv</w:t>
      </w:r>
      <w:r w:rsidR="00F040BB">
        <w:rPr>
          <w:rFonts w:ascii="Times New Roman" w:hAnsi="Times New Roman" w:cs="Times New Roman"/>
          <w:sz w:val="24"/>
          <w:szCs w:val="24"/>
        </w:rPr>
        <w:t>amente para 5,6%, 6,8% e 10,22%.</w:t>
      </w:r>
      <w:r w:rsidR="00AD72BE">
        <w:rPr>
          <w:rFonts w:ascii="Times New Roman" w:hAnsi="Times New Roman" w:cs="Times New Roman"/>
          <w:sz w:val="24"/>
          <w:szCs w:val="24"/>
        </w:rPr>
        <w:t xml:space="preserve"> </w:t>
      </w:r>
      <w:r w:rsidR="00503FE5">
        <w:rPr>
          <w:rFonts w:ascii="Times New Roman" w:hAnsi="Times New Roman" w:cs="Times New Roman"/>
          <w:sz w:val="24"/>
          <w:szCs w:val="24"/>
        </w:rPr>
        <w:t>Quedas</w:t>
      </w:r>
      <w:r w:rsidR="00AD72BE" w:rsidRPr="00F040BB">
        <w:rPr>
          <w:rFonts w:ascii="Times New Roman" w:hAnsi="Times New Roman" w:cs="Times New Roman"/>
          <w:sz w:val="24"/>
          <w:szCs w:val="24"/>
        </w:rPr>
        <w:t xml:space="preserve"> </w:t>
      </w:r>
      <w:r w:rsidR="00503FE5">
        <w:rPr>
          <w:rFonts w:ascii="Times New Roman" w:hAnsi="Times New Roman" w:cs="Times New Roman"/>
          <w:sz w:val="24"/>
          <w:szCs w:val="24"/>
        </w:rPr>
        <w:t xml:space="preserve">de diferencial de rendimentos similares </w:t>
      </w:r>
      <w:r w:rsidR="0095160C">
        <w:rPr>
          <w:rFonts w:ascii="Times New Roman" w:hAnsi="Times New Roman" w:cs="Times New Roman"/>
          <w:sz w:val="24"/>
          <w:szCs w:val="24"/>
        </w:rPr>
        <w:lastRenderedPageBreak/>
        <w:t xml:space="preserve">também </w:t>
      </w:r>
      <w:r w:rsidR="00503FE5">
        <w:rPr>
          <w:rFonts w:ascii="Times New Roman" w:hAnsi="Times New Roman" w:cs="Times New Roman"/>
          <w:sz w:val="24"/>
          <w:szCs w:val="24"/>
        </w:rPr>
        <w:t xml:space="preserve">foram observadas </w:t>
      </w:r>
      <w:r w:rsidR="00AD72BE" w:rsidRPr="00F040BB">
        <w:rPr>
          <w:rFonts w:ascii="Times New Roman" w:hAnsi="Times New Roman" w:cs="Times New Roman"/>
          <w:sz w:val="24"/>
          <w:szCs w:val="24"/>
        </w:rPr>
        <w:t>nos três quartis da distribuição</w:t>
      </w:r>
      <w:r w:rsidR="00503FE5">
        <w:rPr>
          <w:rFonts w:ascii="Times New Roman" w:hAnsi="Times New Roman" w:cs="Times New Roman"/>
          <w:sz w:val="24"/>
          <w:szCs w:val="24"/>
        </w:rPr>
        <w:t xml:space="preserve"> de salários </w:t>
      </w:r>
      <w:r w:rsidR="00AD72BE" w:rsidRPr="00F040BB">
        <w:rPr>
          <w:rFonts w:ascii="Times New Roman" w:hAnsi="Times New Roman" w:cs="Times New Roman"/>
          <w:sz w:val="24"/>
          <w:szCs w:val="24"/>
        </w:rPr>
        <w:t>n</w:t>
      </w:r>
      <w:r w:rsidR="00AD72BE">
        <w:rPr>
          <w:rFonts w:ascii="Times New Roman" w:hAnsi="Times New Roman" w:cs="Times New Roman"/>
          <w:sz w:val="24"/>
          <w:szCs w:val="24"/>
        </w:rPr>
        <w:t>as mesorregiões de Nordeste-RG e</w:t>
      </w:r>
      <w:r w:rsidR="00AD72BE" w:rsidRPr="00F040BB">
        <w:rPr>
          <w:rFonts w:ascii="Times New Roman" w:hAnsi="Times New Roman" w:cs="Times New Roman"/>
          <w:sz w:val="24"/>
          <w:szCs w:val="24"/>
        </w:rPr>
        <w:t xml:space="preserve"> Centro Oriental-RG em comparação a </w:t>
      </w:r>
      <w:r w:rsidR="00503FE5">
        <w:rPr>
          <w:rFonts w:ascii="Times New Roman" w:hAnsi="Times New Roman" w:cs="Times New Roman"/>
          <w:sz w:val="24"/>
          <w:szCs w:val="24"/>
        </w:rPr>
        <w:t>mesorregião de Noroeste-RG</w:t>
      </w:r>
      <w:r w:rsidR="00AD72BE" w:rsidRPr="00F040BB">
        <w:rPr>
          <w:rFonts w:ascii="Times New Roman" w:hAnsi="Times New Roman" w:cs="Times New Roman"/>
          <w:sz w:val="24"/>
          <w:szCs w:val="24"/>
        </w:rPr>
        <w:t xml:space="preserve"> (Tabela 1, Tabela 2 e Tabela 3).</w:t>
      </w:r>
    </w:p>
    <w:p w14:paraId="154C47CD" w14:textId="77777777" w:rsidR="00F43D51" w:rsidRDefault="00F443D2" w:rsidP="0022156F">
      <w:pPr>
        <w:tabs>
          <w:tab w:val="left" w:pos="195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Observa-se uma</w:t>
      </w:r>
      <w:r w:rsidR="00DB54B9">
        <w:rPr>
          <w:rFonts w:ascii="Times New Roman" w:hAnsi="Times New Roman" w:cs="Times New Roman"/>
          <w:sz w:val="24"/>
          <w:szCs w:val="24"/>
        </w:rPr>
        <w:t xml:space="preserve"> </w:t>
      </w:r>
      <w:r>
        <w:rPr>
          <w:rFonts w:ascii="Times New Roman" w:hAnsi="Times New Roman" w:cs="Times New Roman"/>
          <w:sz w:val="24"/>
          <w:szCs w:val="24"/>
        </w:rPr>
        <w:t>queda</w:t>
      </w:r>
      <w:r w:rsidR="00DB54B9">
        <w:rPr>
          <w:rFonts w:ascii="Times New Roman" w:hAnsi="Times New Roman" w:cs="Times New Roman"/>
          <w:sz w:val="24"/>
          <w:szCs w:val="24"/>
        </w:rPr>
        <w:t xml:space="preserve"> de diferencial de rendimentos </w:t>
      </w:r>
      <w:r>
        <w:rPr>
          <w:rFonts w:ascii="Times New Roman" w:hAnsi="Times New Roman" w:cs="Times New Roman"/>
          <w:sz w:val="24"/>
          <w:szCs w:val="24"/>
        </w:rPr>
        <w:t>associad</w:t>
      </w:r>
      <w:r w:rsidR="00F43D51">
        <w:rPr>
          <w:rFonts w:ascii="Times New Roman" w:hAnsi="Times New Roman" w:cs="Times New Roman"/>
          <w:sz w:val="24"/>
          <w:szCs w:val="24"/>
        </w:rPr>
        <w:t>a</w:t>
      </w:r>
      <w:r w:rsidR="00DB54B9">
        <w:rPr>
          <w:rFonts w:ascii="Times New Roman" w:hAnsi="Times New Roman" w:cs="Times New Roman"/>
          <w:sz w:val="24"/>
          <w:szCs w:val="24"/>
        </w:rPr>
        <w:t xml:space="preserve"> ao ensino formal ao se comparar todos os níveis de formação com a categoria de referência (ausência</w:t>
      </w:r>
      <w:r>
        <w:rPr>
          <w:rFonts w:ascii="Times New Roman" w:hAnsi="Times New Roman" w:cs="Times New Roman"/>
          <w:sz w:val="24"/>
          <w:szCs w:val="24"/>
        </w:rPr>
        <w:t xml:space="preserve"> de ensino formal)</w:t>
      </w:r>
      <w:r w:rsidR="006E2C90">
        <w:rPr>
          <w:rFonts w:ascii="Times New Roman" w:hAnsi="Times New Roman" w:cs="Times New Roman"/>
          <w:sz w:val="24"/>
          <w:szCs w:val="24"/>
        </w:rPr>
        <w:t xml:space="preserve"> (Tabela 1, Tabela 2 e Tabela 3)</w:t>
      </w:r>
      <w:r>
        <w:rPr>
          <w:rFonts w:ascii="Times New Roman" w:hAnsi="Times New Roman" w:cs="Times New Roman"/>
          <w:sz w:val="24"/>
          <w:szCs w:val="24"/>
        </w:rPr>
        <w:t xml:space="preserve">. Os quartis Q75 e Q50 se mostraram mais </w:t>
      </w:r>
      <w:proofErr w:type="spellStart"/>
      <w:r>
        <w:rPr>
          <w:rFonts w:ascii="Times New Roman" w:hAnsi="Times New Roman" w:cs="Times New Roman"/>
          <w:sz w:val="24"/>
          <w:szCs w:val="24"/>
        </w:rPr>
        <w:t>resilientes</w:t>
      </w:r>
      <w:proofErr w:type="spellEnd"/>
      <w:r>
        <w:rPr>
          <w:rFonts w:ascii="Times New Roman" w:hAnsi="Times New Roman" w:cs="Times New Roman"/>
          <w:sz w:val="24"/>
          <w:szCs w:val="24"/>
        </w:rPr>
        <w:t xml:space="preserve"> a </w:t>
      </w:r>
      <w:r w:rsidR="00A844D1">
        <w:rPr>
          <w:rFonts w:ascii="Times New Roman" w:hAnsi="Times New Roman" w:cs="Times New Roman"/>
          <w:sz w:val="24"/>
          <w:szCs w:val="24"/>
        </w:rPr>
        <w:t>redução</w:t>
      </w:r>
      <w:r>
        <w:rPr>
          <w:rFonts w:ascii="Times New Roman" w:hAnsi="Times New Roman" w:cs="Times New Roman"/>
          <w:sz w:val="24"/>
          <w:szCs w:val="24"/>
        </w:rPr>
        <w:t xml:space="preserve"> da desigualdade de salários nos níveis mais elevados de formação. </w:t>
      </w:r>
      <w:r w:rsidR="00EA5E71">
        <w:rPr>
          <w:rFonts w:ascii="Times New Roman" w:hAnsi="Times New Roman" w:cs="Times New Roman"/>
          <w:sz w:val="24"/>
          <w:szCs w:val="24"/>
        </w:rPr>
        <w:t>O diferencial de salários entre indivíduos com ensino superior completo em comparação a indivíduos com ensino médio completo manteve-se relativamente estável no quartil intermediário (Q</w:t>
      </w:r>
      <w:r w:rsidR="00F43D51">
        <w:rPr>
          <w:rFonts w:ascii="Times New Roman" w:hAnsi="Times New Roman" w:cs="Times New Roman"/>
          <w:sz w:val="24"/>
          <w:szCs w:val="24"/>
        </w:rPr>
        <w:t>50</w:t>
      </w:r>
      <w:r w:rsidR="00EA5E71">
        <w:rPr>
          <w:rFonts w:ascii="Times New Roman" w:hAnsi="Times New Roman" w:cs="Times New Roman"/>
          <w:sz w:val="24"/>
          <w:szCs w:val="24"/>
        </w:rPr>
        <w:t>) e cresceu no terceiro quartil (Q75)</w:t>
      </w:r>
      <w:r w:rsidR="00C03F52">
        <w:rPr>
          <w:rFonts w:ascii="Times New Roman" w:hAnsi="Times New Roman" w:cs="Times New Roman"/>
          <w:sz w:val="24"/>
          <w:szCs w:val="24"/>
        </w:rPr>
        <w:t xml:space="preserve"> (Tabela 3)</w:t>
      </w:r>
      <w:r w:rsidR="00EA5E71">
        <w:rPr>
          <w:rFonts w:ascii="Times New Roman" w:hAnsi="Times New Roman" w:cs="Times New Roman"/>
          <w:sz w:val="24"/>
          <w:szCs w:val="24"/>
        </w:rPr>
        <w:t>.</w:t>
      </w:r>
    </w:p>
    <w:p w14:paraId="4E609332" w14:textId="12D7A58F" w:rsidR="00DB54B9" w:rsidRDefault="00EA5E71" w:rsidP="00CD3F7A">
      <w:pPr>
        <w:tabs>
          <w:tab w:val="left" w:pos="195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N</w:t>
      </w:r>
      <w:r w:rsidR="00F43D51">
        <w:rPr>
          <w:rFonts w:ascii="Times New Roman" w:hAnsi="Times New Roman" w:cs="Times New Roman"/>
          <w:sz w:val="24"/>
          <w:szCs w:val="24"/>
        </w:rPr>
        <w:t>o</w:t>
      </w:r>
      <w:r>
        <w:rPr>
          <w:rFonts w:ascii="Times New Roman" w:hAnsi="Times New Roman" w:cs="Times New Roman"/>
          <w:sz w:val="24"/>
          <w:szCs w:val="24"/>
        </w:rPr>
        <w:t xml:space="preserve"> último quartil, um trabalhador com ensino superior</w:t>
      </w:r>
      <w:r w:rsidR="00FB3FF7">
        <w:rPr>
          <w:rFonts w:ascii="Times New Roman" w:hAnsi="Times New Roman" w:cs="Times New Roman"/>
          <w:sz w:val="24"/>
          <w:szCs w:val="24"/>
        </w:rPr>
        <w:t xml:space="preserve"> completo</w:t>
      </w:r>
      <w:r>
        <w:rPr>
          <w:rFonts w:ascii="Times New Roman" w:hAnsi="Times New Roman" w:cs="Times New Roman"/>
          <w:sz w:val="24"/>
          <w:szCs w:val="24"/>
        </w:rPr>
        <w:t xml:space="preserve"> recebia </w:t>
      </w:r>
      <w:r w:rsidR="00FB3FF7">
        <w:rPr>
          <w:rFonts w:ascii="Times New Roman" w:hAnsi="Times New Roman" w:cs="Times New Roman"/>
          <w:sz w:val="24"/>
          <w:szCs w:val="24"/>
        </w:rPr>
        <w:t>78,5</w:t>
      </w:r>
      <w:r>
        <w:rPr>
          <w:rFonts w:ascii="Times New Roman" w:hAnsi="Times New Roman" w:cs="Times New Roman"/>
          <w:sz w:val="24"/>
          <w:szCs w:val="24"/>
        </w:rPr>
        <w:t>%</w:t>
      </w:r>
      <w:r w:rsidR="00FB3FF7">
        <w:rPr>
          <w:rFonts w:ascii="Times New Roman" w:hAnsi="Times New Roman" w:cs="Times New Roman"/>
          <w:sz w:val="24"/>
          <w:szCs w:val="24"/>
        </w:rPr>
        <w:t xml:space="preserve"> (1,24 - 0,45) a mais</w:t>
      </w:r>
      <w:r>
        <w:rPr>
          <w:rFonts w:ascii="Times New Roman" w:hAnsi="Times New Roman" w:cs="Times New Roman"/>
          <w:sz w:val="24"/>
          <w:szCs w:val="24"/>
        </w:rPr>
        <w:t xml:space="preserve"> do que um trabalhador </w:t>
      </w:r>
      <w:r w:rsidR="00FB3FF7">
        <w:rPr>
          <w:rFonts w:ascii="Times New Roman" w:hAnsi="Times New Roman" w:cs="Times New Roman"/>
          <w:sz w:val="24"/>
          <w:szCs w:val="24"/>
        </w:rPr>
        <w:t xml:space="preserve">com ensino médio completo no ano 2000. </w:t>
      </w:r>
      <w:r w:rsidR="00C54C40">
        <w:rPr>
          <w:rFonts w:ascii="Times New Roman" w:hAnsi="Times New Roman" w:cs="Times New Roman"/>
          <w:sz w:val="24"/>
          <w:szCs w:val="24"/>
        </w:rPr>
        <w:t>Em 2017, esse diferencial subiu para 83,7% (1,12 - 0,29).</w:t>
      </w:r>
      <w:r w:rsidR="00FE7DEC">
        <w:rPr>
          <w:rFonts w:ascii="Times New Roman" w:hAnsi="Times New Roman" w:cs="Times New Roman"/>
          <w:sz w:val="24"/>
          <w:szCs w:val="24"/>
        </w:rPr>
        <w:t xml:space="preserve"> </w:t>
      </w:r>
      <w:r w:rsidR="009B44E5">
        <w:rPr>
          <w:rFonts w:ascii="Times New Roman" w:hAnsi="Times New Roman" w:cs="Times New Roman"/>
          <w:sz w:val="24"/>
          <w:szCs w:val="24"/>
        </w:rPr>
        <w:t>Padrão similar foi encontrado para pós-graduados em comparação</w:t>
      </w:r>
      <w:r w:rsidR="00F43D51">
        <w:rPr>
          <w:rFonts w:ascii="Times New Roman" w:hAnsi="Times New Roman" w:cs="Times New Roman"/>
          <w:sz w:val="24"/>
          <w:szCs w:val="24"/>
        </w:rPr>
        <w:t xml:space="preserve"> a graduados</w:t>
      </w:r>
      <w:r w:rsidR="009B44E5">
        <w:rPr>
          <w:rFonts w:ascii="Times New Roman" w:hAnsi="Times New Roman" w:cs="Times New Roman"/>
          <w:sz w:val="24"/>
          <w:szCs w:val="24"/>
        </w:rPr>
        <w:t xml:space="preserve">. </w:t>
      </w:r>
      <w:r w:rsidR="002E79CE">
        <w:rPr>
          <w:rFonts w:ascii="Times New Roman" w:hAnsi="Times New Roman" w:cs="Times New Roman"/>
          <w:sz w:val="24"/>
          <w:szCs w:val="24"/>
        </w:rPr>
        <w:t>Em 2006, trabalhadores que possuíam pós-graduação recebiam 55,9%</w:t>
      </w:r>
      <w:r w:rsidR="00981E13">
        <w:rPr>
          <w:rFonts w:ascii="Times New Roman" w:hAnsi="Times New Roman" w:cs="Times New Roman"/>
          <w:sz w:val="24"/>
          <w:szCs w:val="24"/>
        </w:rPr>
        <w:t xml:space="preserve"> (2,04 - 1,48)</w:t>
      </w:r>
      <w:r w:rsidR="002E79CE">
        <w:rPr>
          <w:rFonts w:ascii="Times New Roman" w:hAnsi="Times New Roman" w:cs="Times New Roman"/>
          <w:sz w:val="24"/>
          <w:szCs w:val="24"/>
        </w:rPr>
        <w:t xml:space="preserve"> a mais do que os que possuem ensino superior, sendo que em 2017 esse valor aumentou para 60,3%</w:t>
      </w:r>
      <w:r w:rsidR="00CD41C2">
        <w:rPr>
          <w:rFonts w:ascii="Times New Roman" w:hAnsi="Times New Roman" w:cs="Times New Roman"/>
          <w:sz w:val="24"/>
          <w:szCs w:val="24"/>
        </w:rPr>
        <w:t xml:space="preserve"> (1,73-1,12)</w:t>
      </w:r>
      <w:r w:rsidR="002E79CE">
        <w:rPr>
          <w:rFonts w:ascii="Times New Roman" w:hAnsi="Times New Roman" w:cs="Times New Roman"/>
          <w:sz w:val="24"/>
          <w:szCs w:val="24"/>
        </w:rPr>
        <w:t>.</w:t>
      </w:r>
    </w:p>
    <w:p w14:paraId="7B83FAFB" w14:textId="24FC8DC3" w:rsidR="00F040BB" w:rsidRPr="00F040BB" w:rsidRDefault="0095160C" w:rsidP="0095160C">
      <w:pPr>
        <w:tabs>
          <w:tab w:val="left" w:pos="195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b/>
      </w:r>
    </w:p>
    <w:p w14:paraId="1069B495" w14:textId="10CD7261" w:rsidR="00C967F6" w:rsidRDefault="00AD790E" w:rsidP="00C967F6">
      <w:pPr>
        <w:spacing w:after="0"/>
        <w:rPr>
          <w:rFonts w:ascii="Times New Roman" w:hAnsi="Times New Roman" w:cs="Times New Roman"/>
        </w:rPr>
      </w:pPr>
      <w:r>
        <w:rPr>
          <w:rFonts w:ascii="Times New Roman" w:hAnsi="Times New Roman" w:cs="Times New Roman"/>
          <w:b/>
        </w:rPr>
        <w:t>Tabela 3</w:t>
      </w:r>
      <w:r w:rsidR="00C967F6">
        <w:rPr>
          <w:rFonts w:ascii="Times New Roman" w:hAnsi="Times New Roman" w:cs="Times New Roman"/>
          <w:b/>
        </w:rPr>
        <w:t>.</w:t>
      </w:r>
      <w:r w:rsidR="00C967F6">
        <w:rPr>
          <w:rFonts w:ascii="Times New Roman" w:hAnsi="Times New Roman" w:cs="Times New Roman"/>
        </w:rPr>
        <w:t xml:space="preserve">  Determinantes socioeconômicos dos diferenciais de rendimento no mercado de trabalho formal do Rio Grande do Sul – Regressão Quantílicas (Q75)</w:t>
      </w:r>
    </w:p>
    <w:tbl>
      <w:tblPr>
        <w:tblW w:w="8504" w:type="dxa"/>
        <w:tblCellMar>
          <w:left w:w="70" w:type="dxa"/>
          <w:right w:w="70" w:type="dxa"/>
        </w:tblCellMar>
        <w:tblLook w:val="04A0" w:firstRow="1" w:lastRow="0" w:firstColumn="1" w:lastColumn="0" w:noHBand="0" w:noVBand="1"/>
      </w:tblPr>
      <w:tblGrid>
        <w:gridCol w:w="1868"/>
        <w:gridCol w:w="948"/>
        <w:gridCol w:w="948"/>
        <w:gridCol w:w="948"/>
        <w:gridCol w:w="948"/>
        <w:gridCol w:w="948"/>
        <w:gridCol w:w="948"/>
        <w:gridCol w:w="948"/>
      </w:tblGrid>
      <w:tr w:rsidR="00C967F6" w14:paraId="16E508BC" w14:textId="77777777" w:rsidTr="00C967F6">
        <w:trPr>
          <w:trHeight w:val="300"/>
        </w:trPr>
        <w:tc>
          <w:tcPr>
            <w:tcW w:w="1868" w:type="dxa"/>
            <w:tcBorders>
              <w:top w:val="single" w:sz="4" w:space="0" w:color="auto"/>
              <w:left w:val="nil"/>
              <w:bottom w:val="single" w:sz="4" w:space="0" w:color="auto"/>
              <w:right w:val="nil"/>
            </w:tcBorders>
            <w:noWrap/>
            <w:vAlign w:val="bottom"/>
            <w:hideMark/>
          </w:tcPr>
          <w:p w14:paraId="42417199" w14:textId="77777777" w:rsidR="00C967F6" w:rsidRDefault="00C967F6">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Variáveis</w:t>
            </w:r>
          </w:p>
        </w:tc>
        <w:tc>
          <w:tcPr>
            <w:tcW w:w="948" w:type="dxa"/>
            <w:tcBorders>
              <w:top w:val="single" w:sz="4" w:space="0" w:color="auto"/>
              <w:left w:val="nil"/>
              <w:bottom w:val="single" w:sz="4" w:space="0" w:color="auto"/>
              <w:right w:val="nil"/>
            </w:tcBorders>
            <w:noWrap/>
            <w:vAlign w:val="bottom"/>
            <w:hideMark/>
          </w:tcPr>
          <w:p w14:paraId="63AFE0A2"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2000</w:t>
            </w:r>
          </w:p>
        </w:tc>
        <w:tc>
          <w:tcPr>
            <w:tcW w:w="948" w:type="dxa"/>
            <w:tcBorders>
              <w:top w:val="single" w:sz="4" w:space="0" w:color="auto"/>
              <w:left w:val="nil"/>
              <w:bottom w:val="single" w:sz="4" w:space="0" w:color="auto"/>
              <w:right w:val="nil"/>
            </w:tcBorders>
            <w:noWrap/>
            <w:vAlign w:val="bottom"/>
            <w:hideMark/>
          </w:tcPr>
          <w:p w14:paraId="6D498FD3"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2003</w:t>
            </w:r>
          </w:p>
        </w:tc>
        <w:tc>
          <w:tcPr>
            <w:tcW w:w="948" w:type="dxa"/>
            <w:tcBorders>
              <w:top w:val="single" w:sz="4" w:space="0" w:color="auto"/>
              <w:left w:val="nil"/>
              <w:bottom w:val="single" w:sz="4" w:space="0" w:color="auto"/>
              <w:right w:val="nil"/>
            </w:tcBorders>
            <w:noWrap/>
            <w:vAlign w:val="bottom"/>
            <w:hideMark/>
          </w:tcPr>
          <w:p w14:paraId="3A1F7DD9"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2006</w:t>
            </w:r>
          </w:p>
        </w:tc>
        <w:tc>
          <w:tcPr>
            <w:tcW w:w="948" w:type="dxa"/>
            <w:tcBorders>
              <w:top w:val="single" w:sz="4" w:space="0" w:color="auto"/>
              <w:left w:val="nil"/>
              <w:bottom w:val="single" w:sz="4" w:space="0" w:color="auto"/>
              <w:right w:val="nil"/>
            </w:tcBorders>
            <w:noWrap/>
            <w:vAlign w:val="bottom"/>
            <w:hideMark/>
          </w:tcPr>
          <w:p w14:paraId="652BD2C2"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2009</w:t>
            </w:r>
          </w:p>
        </w:tc>
        <w:tc>
          <w:tcPr>
            <w:tcW w:w="948" w:type="dxa"/>
            <w:tcBorders>
              <w:top w:val="single" w:sz="4" w:space="0" w:color="auto"/>
              <w:left w:val="nil"/>
              <w:bottom w:val="single" w:sz="4" w:space="0" w:color="auto"/>
              <w:right w:val="nil"/>
            </w:tcBorders>
            <w:noWrap/>
            <w:vAlign w:val="bottom"/>
            <w:hideMark/>
          </w:tcPr>
          <w:p w14:paraId="5D415004"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2012</w:t>
            </w:r>
          </w:p>
        </w:tc>
        <w:tc>
          <w:tcPr>
            <w:tcW w:w="948" w:type="dxa"/>
            <w:tcBorders>
              <w:top w:val="single" w:sz="4" w:space="0" w:color="auto"/>
              <w:left w:val="nil"/>
              <w:bottom w:val="single" w:sz="4" w:space="0" w:color="auto"/>
              <w:right w:val="nil"/>
            </w:tcBorders>
            <w:noWrap/>
            <w:vAlign w:val="bottom"/>
            <w:hideMark/>
          </w:tcPr>
          <w:p w14:paraId="2DA786BE"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2015</w:t>
            </w:r>
          </w:p>
        </w:tc>
        <w:tc>
          <w:tcPr>
            <w:tcW w:w="948" w:type="dxa"/>
            <w:tcBorders>
              <w:top w:val="single" w:sz="4" w:space="0" w:color="auto"/>
              <w:left w:val="nil"/>
              <w:bottom w:val="single" w:sz="4" w:space="0" w:color="auto"/>
              <w:right w:val="nil"/>
            </w:tcBorders>
            <w:noWrap/>
            <w:vAlign w:val="bottom"/>
            <w:hideMark/>
          </w:tcPr>
          <w:p w14:paraId="0EE8DFF9"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2017</w:t>
            </w:r>
          </w:p>
        </w:tc>
      </w:tr>
      <w:tr w:rsidR="00C967F6" w14:paraId="66458AF0" w14:textId="77777777" w:rsidTr="00C967F6">
        <w:trPr>
          <w:trHeight w:val="300"/>
        </w:trPr>
        <w:tc>
          <w:tcPr>
            <w:tcW w:w="1868" w:type="dxa"/>
            <w:tcBorders>
              <w:top w:val="single" w:sz="4" w:space="0" w:color="auto"/>
              <w:left w:val="nil"/>
              <w:bottom w:val="nil"/>
              <w:right w:val="nil"/>
            </w:tcBorders>
            <w:noWrap/>
            <w:vAlign w:val="bottom"/>
            <w:hideMark/>
          </w:tcPr>
          <w:p w14:paraId="6B8CCD64"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Intercepto</w:t>
            </w:r>
          </w:p>
        </w:tc>
        <w:tc>
          <w:tcPr>
            <w:tcW w:w="948" w:type="dxa"/>
            <w:tcBorders>
              <w:top w:val="single" w:sz="4" w:space="0" w:color="auto"/>
              <w:left w:val="nil"/>
              <w:bottom w:val="nil"/>
              <w:right w:val="nil"/>
            </w:tcBorders>
            <w:noWrap/>
            <w:vAlign w:val="bottom"/>
            <w:hideMark/>
          </w:tcPr>
          <w:p w14:paraId="13B05EE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5,9134*</w:t>
            </w:r>
          </w:p>
        </w:tc>
        <w:tc>
          <w:tcPr>
            <w:tcW w:w="948" w:type="dxa"/>
            <w:tcBorders>
              <w:top w:val="single" w:sz="4" w:space="0" w:color="auto"/>
              <w:left w:val="nil"/>
              <w:bottom w:val="nil"/>
              <w:right w:val="nil"/>
            </w:tcBorders>
            <w:noWrap/>
            <w:vAlign w:val="bottom"/>
            <w:hideMark/>
          </w:tcPr>
          <w:p w14:paraId="70359B3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5,8600*</w:t>
            </w:r>
          </w:p>
        </w:tc>
        <w:tc>
          <w:tcPr>
            <w:tcW w:w="948" w:type="dxa"/>
            <w:tcBorders>
              <w:top w:val="single" w:sz="4" w:space="0" w:color="auto"/>
              <w:left w:val="nil"/>
              <w:bottom w:val="nil"/>
              <w:right w:val="nil"/>
            </w:tcBorders>
            <w:noWrap/>
            <w:vAlign w:val="bottom"/>
            <w:hideMark/>
          </w:tcPr>
          <w:p w14:paraId="5390318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5,9403*</w:t>
            </w:r>
          </w:p>
        </w:tc>
        <w:tc>
          <w:tcPr>
            <w:tcW w:w="948" w:type="dxa"/>
            <w:tcBorders>
              <w:top w:val="single" w:sz="4" w:space="0" w:color="auto"/>
              <w:left w:val="nil"/>
              <w:bottom w:val="nil"/>
              <w:right w:val="nil"/>
            </w:tcBorders>
            <w:noWrap/>
            <w:vAlign w:val="bottom"/>
            <w:hideMark/>
          </w:tcPr>
          <w:p w14:paraId="5DC993E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6,2078*</w:t>
            </w:r>
          </w:p>
        </w:tc>
        <w:tc>
          <w:tcPr>
            <w:tcW w:w="948" w:type="dxa"/>
            <w:tcBorders>
              <w:top w:val="single" w:sz="4" w:space="0" w:color="auto"/>
              <w:left w:val="nil"/>
              <w:bottom w:val="nil"/>
              <w:right w:val="nil"/>
            </w:tcBorders>
            <w:noWrap/>
            <w:vAlign w:val="bottom"/>
            <w:hideMark/>
          </w:tcPr>
          <w:p w14:paraId="193C397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6,3894*</w:t>
            </w:r>
          </w:p>
        </w:tc>
        <w:tc>
          <w:tcPr>
            <w:tcW w:w="948" w:type="dxa"/>
            <w:tcBorders>
              <w:top w:val="single" w:sz="4" w:space="0" w:color="auto"/>
              <w:left w:val="nil"/>
              <w:bottom w:val="nil"/>
              <w:right w:val="nil"/>
            </w:tcBorders>
            <w:noWrap/>
            <w:vAlign w:val="bottom"/>
            <w:hideMark/>
          </w:tcPr>
          <w:p w14:paraId="36768D8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6,5066*</w:t>
            </w:r>
          </w:p>
        </w:tc>
        <w:tc>
          <w:tcPr>
            <w:tcW w:w="948" w:type="dxa"/>
            <w:tcBorders>
              <w:top w:val="single" w:sz="4" w:space="0" w:color="auto"/>
              <w:left w:val="nil"/>
              <w:bottom w:val="nil"/>
              <w:right w:val="nil"/>
            </w:tcBorders>
            <w:noWrap/>
            <w:vAlign w:val="bottom"/>
            <w:hideMark/>
          </w:tcPr>
          <w:p w14:paraId="7D2096C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6,5438*</w:t>
            </w:r>
          </w:p>
        </w:tc>
      </w:tr>
      <w:tr w:rsidR="00C967F6" w14:paraId="3ED34382" w14:textId="77777777" w:rsidTr="00C967F6">
        <w:trPr>
          <w:trHeight w:val="300"/>
        </w:trPr>
        <w:tc>
          <w:tcPr>
            <w:tcW w:w="1868" w:type="dxa"/>
            <w:noWrap/>
            <w:vAlign w:val="bottom"/>
            <w:hideMark/>
          </w:tcPr>
          <w:p w14:paraId="14F00503"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Idade</w:t>
            </w:r>
          </w:p>
        </w:tc>
        <w:tc>
          <w:tcPr>
            <w:tcW w:w="948" w:type="dxa"/>
            <w:noWrap/>
            <w:vAlign w:val="bottom"/>
            <w:hideMark/>
          </w:tcPr>
          <w:p w14:paraId="56FD062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0,0549*</w:t>
            </w:r>
          </w:p>
        </w:tc>
        <w:tc>
          <w:tcPr>
            <w:tcW w:w="948" w:type="dxa"/>
            <w:noWrap/>
            <w:vAlign w:val="bottom"/>
            <w:hideMark/>
          </w:tcPr>
          <w:p w14:paraId="43E2CE2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0,0484*</w:t>
            </w:r>
          </w:p>
        </w:tc>
        <w:tc>
          <w:tcPr>
            <w:tcW w:w="948" w:type="dxa"/>
            <w:noWrap/>
            <w:vAlign w:val="bottom"/>
            <w:hideMark/>
          </w:tcPr>
          <w:p w14:paraId="6F0AA36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0,0445*</w:t>
            </w:r>
          </w:p>
        </w:tc>
        <w:tc>
          <w:tcPr>
            <w:tcW w:w="948" w:type="dxa"/>
            <w:noWrap/>
            <w:vAlign w:val="bottom"/>
            <w:hideMark/>
          </w:tcPr>
          <w:p w14:paraId="062B70F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0,0391*</w:t>
            </w:r>
          </w:p>
        </w:tc>
        <w:tc>
          <w:tcPr>
            <w:tcW w:w="948" w:type="dxa"/>
            <w:noWrap/>
            <w:vAlign w:val="bottom"/>
            <w:hideMark/>
          </w:tcPr>
          <w:p w14:paraId="4B99D01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0,0388*</w:t>
            </w:r>
          </w:p>
        </w:tc>
        <w:tc>
          <w:tcPr>
            <w:tcW w:w="948" w:type="dxa"/>
            <w:noWrap/>
            <w:vAlign w:val="bottom"/>
            <w:hideMark/>
          </w:tcPr>
          <w:p w14:paraId="66D178D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0,0392*</w:t>
            </w:r>
          </w:p>
        </w:tc>
        <w:tc>
          <w:tcPr>
            <w:tcW w:w="948" w:type="dxa"/>
            <w:noWrap/>
            <w:vAlign w:val="bottom"/>
            <w:hideMark/>
          </w:tcPr>
          <w:p w14:paraId="0D16CD6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0,0374*</w:t>
            </w:r>
          </w:p>
        </w:tc>
      </w:tr>
      <w:tr w:rsidR="00C967F6" w14:paraId="4C5AC8F3" w14:textId="77777777" w:rsidTr="00C967F6">
        <w:trPr>
          <w:trHeight w:val="300"/>
        </w:trPr>
        <w:tc>
          <w:tcPr>
            <w:tcW w:w="1868" w:type="dxa"/>
            <w:noWrap/>
            <w:vAlign w:val="bottom"/>
            <w:hideMark/>
          </w:tcPr>
          <w:p w14:paraId="49D1B090"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Idade^2</w:t>
            </w:r>
          </w:p>
        </w:tc>
        <w:tc>
          <w:tcPr>
            <w:tcW w:w="948" w:type="dxa"/>
            <w:noWrap/>
            <w:vAlign w:val="bottom"/>
            <w:hideMark/>
          </w:tcPr>
          <w:p w14:paraId="0C6F521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-0,0005*</w:t>
            </w:r>
          </w:p>
        </w:tc>
        <w:tc>
          <w:tcPr>
            <w:tcW w:w="948" w:type="dxa"/>
            <w:noWrap/>
            <w:vAlign w:val="bottom"/>
            <w:hideMark/>
          </w:tcPr>
          <w:p w14:paraId="25AD04A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-0,0005*</w:t>
            </w:r>
          </w:p>
        </w:tc>
        <w:tc>
          <w:tcPr>
            <w:tcW w:w="948" w:type="dxa"/>
            <w:noWrap/>
            <w:vAlign w:val="bottom"/>
            <w:hideMark/>
          </w:tcPr>
          <w:p w14:paraId="7998AC1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948" w:type="dxa"/>
            <w:noWrap/>
            <w:vAlign w:val="bottom"/>
            <w:hideMark/>
          </w:tcPr>
          <w:p w14:paraId="710F19B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948" w:type="dxa"/>
            <w:noWrap/>
            <w:vAlign w:val="bottom"/>
            <w:hideMark/>
          </w:tcPr>
          <w:p w14:paraId="6B5A6B3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948" w:type="dxa"/>
            <w:noWrap/>
            <w:vAlign w:val="bottom"/>
            <w:hideMark/>
          </w:tcPr>
          <w:p w14:paraId="06CF8F1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948" w:type="dxa"/>
            <w:noWrap/>
            <w:vAlign w:val="bottom"/>
            <w:hideMark/>
          </w:tcPr>
          <w:p w14:paraId="63B25B0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-0,0003*</w:t>
            </w:r>
          </w:p>
        </w:tc>
      </w:tr>
      <w:tr w:rsidR="00C967F6" w14:paraId="1731F285" w14:textId="77777777" w:rsidTr="00C967F6">
        <w:trPr>
          <w:trHeight w:val="300"/>
        </w:trPr>
        <w:tc>
          <w:tcPr>
            <w:tcW w:w="1868" w:type="dxa"/>
            <w:noWrap/>
            <w:vAlign w:val="bottom"/>
            <w:hideMark/>
          </w:tcPr>
          <w:p w14:paraId="51DBEEF6"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Feminino</w:t>
            </w:r>
          </w:p>
        </w:tc>
        <w:tc>
          <w:tcPr>
            <w:tcW w:w="948" w:type="dxa"/>
            <w:noWrap/>
            <w:vAlign w:val="bottom"/>
            <w:hideMark/>
          </w:tcPr>
          <w:p w14:paraId="7D6B47A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-0,4023*</w:t>
            </w:r>
          </w:p>
        </w:tc>
        <w:tc>
          <w:tcPr>
            <w:tcW w:w="948" w:type="dxa"/>
            <w:noWrap/>
            <w:vAlign w:val="bottom"/>
            <w:hideMark/>
          </w:tcPr>
          <w:p w14:paraId="17A8CE4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-0,3894*</w:t>
            </w:r>
          </w:p>
        </w:tc>
        <w:tc>
          <w:tcPr>
            <w:tcW w:w="948" w:type="dxa"/>
            <w:noWrap/>
            <w:vAlign w:val="bottom"/>
            <w:hideMark/>
          </w:tcPr>
          <w:p w14:paraId="41FE2FF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-0,3725*</w:t>
            </w:r>
          </w:p>
        </w:tc>
        <w:tc>
          <w:tcPr>
            <w:tcW w:w="948" w:type="dxa"/>
            <w:noWrap/>
            <w:vAlign w:val="bottom"/>
            <w:hideMark/>
          </w:tcPr>
          <w:p w14:paraId="4F82FD1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-0,3535*</w:t>
            </w:r>
          </w:p>
        </w:tc>
        <w:tc>
          <w:tcPr>
            <w:tcW w:w="948" w:type="dxa"/>
            <w:noWrap/>
            <w:vAlign w:val="bottom"/>
            <w:hideMark/>
          </w:tcPr>
          <w:p w14:paraId="6F33ED1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-0,3415*</w:t>
            </w:r>
          </w:p>
        </w:tc>
        <w:tc>
          <w:tcPr>
            <w:tcW w:w="948" w:type="dxa"/>
            <w:noWrap/>
            <w:vAlign w:val="bottom"/>
            <w:hideMark/>
          </w:tcPr>
          <w:p w14:paraId="361C4D4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-0,3043*</w:t>
            </w:r>
          </w:p>
        </w:tc>
        <w:tc>
          <w:tcPr>
            <w:tcW w:w="948" w:type="dxa"/>
            <w:noWrap/>
            <w:vAlign w:val="bottom"/>
            <w:hideMark/>
          </w:tcPr>
          <w:p w14:paraId="76CC505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-0,2821*</w:t>
            </w:r>
          </w:p>
        </w:tc>
      </w:tr>
      <w:tr w:rsidR="00C967F6" w14:paraId="502097F8" w14:textId="77777777" w:rsidTr="00C967F6">
        <w:trPr>
          <w:trHeight w:val="300"/>
        </w:trPr>
        <w:tc>
          <w:tcPr>
            <w:tcW w:w="1868" w:type="dxa"/>
            <w:noWrap/>
            <w:vAlign w:val="bottom"/>
            <w:hideMark/>
          </w:tcPr>
          <w:p w14:paraId="723189B1"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Branco</w:t>
            </w:r>
          </w:p>
        </w:tc>
        <w:tc>
          <w:tcPr>
            <w:tcW w:w="948" w:type="dxa"/>
            <w:noWrap/>
            <w:vAlign w:val="bottom"/>
            <w:hideMark/>
          </w:tcPr>
          <w:p w14:paraId="717C400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948" w:type="dxa"/>
            <w:noWrap/>
            <w:vAlign w:val="bottom"/>
            <w:hideMark/>
          </w:tcPr>
          <w:p w14:paraId="46B1997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948" w:type="dxa"/>
            <w:noWrap/>
            <w:vAlign w:val="bottom"/>
            <w:hideMark/>
          </w:tcPr>
          <w:p w14:paraId="265988B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0,0384*</w:t>
            </w:r>
          </w:p>
        </w:tc>
        <w:tc>
          <w:tcPr>
            <w:tcW w:w="948" w:type="dxa"/>
            <w:noWrap/>
            <w:vAlign w:val="bottom"/>
            <w:hideMark/>
          </w:tcPr>
          <w:p w14:paraId="53DE41B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0,0031*</w:t>
            </w:r>
          </w:p>
        </w:tc>
        <w:tc>
          <w:tcPr>
            <w:tcW w:w="948" w:type="dxa"/>
            <w:noWrap/>
            <w:vAlign w:val="bottom"/>
            <w:hideMark/>
          </w:tcPr>
          <w:p w14:paraId="108D2CD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0,0045*</w:t>
            </w:r>
          </w:p>
        </w:tc>
        <w:tc>
          <w:tcPr>
            <w:tcW w:w="948" w:type="dxa"/>
            <w:noWrap/>
            <w:vAlign w:val="bottom"/>
            <w:hideMark/>
          </w:tcPr>
          <w:p w14:paraId="12FE99B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0,0130*</w:t>
            </w:r>
          </w:p>
        </w:tc>
        <w:tc>
          <w:tcPr>
            <w:tcW w:w="948" w:type="dxa"/>
            <w:noWrap/>
            <w:vAlign w:val="bottom"/>
            <w:hideMark/>
          </w:tcPr>
          <w:p w14:paraId="4C5ABD6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0,0116*</w:t>
            </w:r>
          </w:p>
        </w:tc>
      </w:tr>
      <w:tr w:rsidR="00C967F6" w14:paraId="0A5B0E73" w14:textId="77777777" w:rsidTr="00C967F6">
        <w:trPr>
          <w:trHeight w:val="300"/>
        </w:trPr>
        <w:tc>
          <w:tcPr>
            <w:tcW w:w="8504" w:type="dxa"/>
            <w:gridSpan w:val="8"/>
            <w:noWrap/>
            <w:vAlign w:val="bottom"/>
            <w:hideMark/>
          </w:tcPr>
          <w:p w14:paraId="0D72DB7D"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Mesorregião</w:t>
            </w:r>
          </w:p>
        </w:tc>
      </w:tr>
      <w:tr w:rsidR="00C967F6" w14:paraId="72986D5C" w14:textId="77777777" w:rsidTr="00C967F6">
        <w:trPr>
          <w:trHeight w:val="300"/>
        </w:trPr>
        <w:tc>
          <w:tcPr>
            <w:tcW w:w="1868" w:type="dxa"/>
            <w:noWrap/>
            <w:vAlign w:val="bottom"/>
            <w:hideMark/>
          </w:tcPr>
          <w:p w14:paraId="6246028E"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Nordeste</w:t>
            </w:r>
          </w:p>
        </w:tc>
        <w:tc>
          <w:tcPr>
            <w:tcW w:w="948" w:type="dxa"/>
            <w:noWrap/>
            <w:vAlign w:val="bottom"/>
            <w:hideMark/>
          </w:tcPr>
          <w:p w14:paraId="32DCE4F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0,2764*</w:t>
            </w:r>
          </w:p>
        </w:tc>
        <w:tc>
          <w:tcPr>
            <w:tcW w:w="948" w:type="dxa"/>
            <w:noWrap/>
            <w:vAlign w:val="bottom"/>
            <w:hideMark/>
          </w:tcPr>
          <w:p w14:paraId="5F47C5D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0,2093*</w:t>
            </w:r>
          </w:p>
        </w:tc>
        <w:tc>
          <w:tcPr>
            <w:tcW w:w="948" w:type="dxa"/>
            <w:noWrap/>
            <w:vAlign w:val="bottom"/>
            <w:hideMark/>
          </w:tcPr>
          <w:p w14:paraId="5F7DD69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0,2304*</w:t>
            </w:r>
          </w:p>
        </w:tc>
        <w:tc>
          <w:tcPr>
            <w:tcW w:w="948" w:type="dxa"/>
            <w:noWrap/>
            <w:vAlign w:val="bottom"/>
            <w:hideMark/>
          </w:tcPr>
          <w:p w14:paraId="799D767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0,1880*</w:t>
            </w:r>
          </w:p>
        </w:tc>
        <w:tc>
          <w:tcPr>
            <w:tcW w:w="948" w:type="dxa"/>
            <w:noWrap/>
            <w:vAlign w:val="bottom"/>
            <w:hideMark/>
          </w:tcPr>
          <w:p w14:paraId="28D7258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0,1916*</w:t>
            </w:r>
          </w:p>
        </w:tc>
        <w:tc>
          <w:tcPr>
            <w:tcW w:w="948" w:type="dxa"/>
            <w:noWrap/>
            <w:vAlign w:val="bottom"/>
            <w:hideMark/>
          </w:tcPr>
          <w:p w14:paraId="60C8562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0,1322*</w:t>
            </w:r>
          </w:p>
        </w:tc>
        <w:tc>
          <w:tcPr>
            <w:tcW w:w="948" w:type="dxa"/>
            <w:noWrap/>
            <w:vAlign w:val="bottom"/>
            <w:hideMark/>
          </w:tcPr>
          <w:p w14:paraId="009F194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0,1052*</w:t>
            </w:r>
          </w:p>
        </w:tc>
      </w:tr>
      <w:tr w:rsidR="00C967F6" w14:paraId="138AE72F" w14:textId="77777777" w:rsidTr="00C967F6">
        <w:trPr>
          <w:trHeight w:val="300"/>
        </w:trPr>
        <w:tc>
          <w:tcPr>
            <w:tcW w:w="1868" w:type="dxa"/>
            <w:noWrap/>
            <w:vAlign w:val="bottom"/>
            <w:hideMark/>
          </w:tcPr>
          <w:p w14:paraId="5CA85CB4"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Centro Ocidental-RG</w:t>
            </w:r>
          </w:p>
        </w:tc>
        <w:tc>
          <w:tcPr>
            <w:tcW w:w="948" w:type="dxa"/>
            <w:noWrap/>
            <w:vAlign w:val="bottom"/>
            <w:hideMark/>
          </w:tcPr>
          <w:p w14:paraId="41F95B8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-0,0249*</w:t>
            </w:r>
          </w:p>
        </w:tc>
        <w:tc>
          <w:tcPr>
            <w:tcW w:w="948" w:type="dxa"/>
            <w:noWrap/>
            <w:vAlign w:val="bottom"/>
            <w:hideMark/>
          </w:tcPr>
          <w:p w14:paraId="163A1B3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-0,0520*</w:t>
            </w:r>
          </w:p>
        </w:tc>
        <w:tc>
          <w:tcPr>
            <w:tcW w:w="948" w:type="dxa"/>
            <w:noWrap/>
            <w:vAlign w:val="bottom"/>
            <w:hideMark/>
          </w:tcPr>
          <w:p w14:paraId="4E331BD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-0,0394*</w:t>
            </w:r>
          </w:p>
        </w:tc>
        <w:tc>
          <w:tcPr>
            <w:tcW w:w="948" w:type="dxa"/>
            <w:noWrap/>
            <w:vAlign w:val="bottom"/>
            <w:hideMark/>
          </w:tcPr>
          <w:p w14:paraId="19C0FC6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-0,0401*</w:t>
            </w:r>
          </w:p>
        </w:tc>
        <w:tc>
          <w:tcPr>
            <w:tcW w:w="948" w:type="dxa"/>
            <w:noWrap/>
            <w:vAlign w:val="bottom"/>
            <w:hideMark/>
          </w:tcPr>
          <w:p w14:paraId="1B9FAC5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-0,0576*</w:t>
            </w:r>
          </w:p>
        </w:tc>
        <w:tc>
          <w:tcPr>
            <w:tcW w:w="948" w:type="dxa"/>
            <w:noWrap/>
            <w:vAlign w:val="bottom"/>
            <w:hideMark/>
          </w:tcPr>
          <w:p w14:paraId="57A39D4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-0,0423*</w:t>
            </w:r>
          </w:p>
        </w:tc>
        <w:tc>
          <w:tcPr>
            <w:tcW w:w="948" w:type="dxa"/>
            <w:noWrap/>
            <w:vAlign w:val="bottom"/>
            <w:hideMark/>
          </w:tcPr>
          <w:p w14:paraId="3AD4DF6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-0,0299*</w:t>
            </w:r>
          </w:p>
        </w:tc>
      </w:tr>
      <w:tr w:rsidR="00C967F6" w14:paraId="23834393" w14:textId="77777777" w:rsidTr="00C967F6">
        <w:trPr>
          <w:trHeight w:val="300"/>
        </w:trPr>
        <w:tc>
          <w:tcPr>
            <w:tcW w:w="1868" w:type="dxa"/>
            <w:noWrap/>
            <w:vAlign w:val="bottom"/>
            <w:hideMark/>
          </w:tcPr>
          <w:p w14:paraId="52D3A01C"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Centro Oriental-RG</w:t>
            </w:r>
          </w:p>
        </w:tc>
        <w:tc>
          <w:tcPr>
            <w:tcW w:w="948" w:type="dxa"/>
            <w:noWrap/>
            <w:vAlign w:val="bottom"/>
            <w:hideMark/>
          </w:tcPr>
          <w:p w14:paraId="1BB2283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0,0411*</w:t>
            </w:r>
          </w:p>
        </w:tc>
        <w:tc>
          <w:tcPr>
            <w:tcW w:w="948" w:type="dxa"/>
            <w:noWrap/>
            <w:vAlign w:val="bottom"/>
            <w:hideMark/>
          </w:tcPr>
          <w:p w14:paraId="1CBCA75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0,0251*</w:t>
            </w:r>
          </w:p>
        </w:tc>
        <w:tc>
          <w:tcPr>
            <w:tcW w:w="948" w:type="dxa"/>
            <w:noWrap/>
            <w:vAlign w:val="bottom"/>
            <w:hideMark/>
          </w:tcPr>
          <w:p w14:paraId="0C6D39C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0,0315*</w:t>
            </w:r>
          </w:p>
        </w:tc>
        <w:tc>
          <w:tcPr>
            <w:tcW w:w="948" w:type="dxa"/>
            <w:noWrap/>
            <w:vAlign w:val="bottom"/>
            <w:hideMark/>
          </w:tcPr>
          <w:p w14:paraId="554F755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0,0073*</w:t>
            </w:r>
          </w:p>
        </w:tc>
        <w:tc>
          <w:tcPr>
            <w:tcW w:w="948" w:type="dxa"/>
            <w:noWrap/>
            <w:vAlign w:val="bottom"/>
            <w:hideMark/>
          </w:tcPr>
          <w:p w14:paraId="64548A5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-0,0050*</w:t>
            </w:r>
          </w:p>
        </w:tc>
        <w:tc>
          <w:tcPr>
            <w:tcW w:w="948" w:type="dxa"/>
            <w:noWrap/>
            <w:vAlign w:val="bottom"/>
            <w:hideMark/>
          </w:tcPr>
          <w:p w14:paraId="1A4B938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-0,0054*</w:t>
            </w:r>
          </w:p>
        </w:tc>
        <w:tc>
          <w:tcPr>
            <w:tcW w:w="948" w:type="dxa"/>
            <w:noWrap/>
            <w:vAlign w:val="bottom"/>
            <w:hideMark/>
          </w:tcPr>
          <w:p w14:paraId="60687CA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-0,0082*</w:t>
            </w:r>
          </w:p>
        </w:tc>
      </w:tr>
      <w:tr w:rsidR="00C967F6" w14:paraId="45B823B7" w14:textId="77777777" w:rsidTr="00C967F6">
        <w:trPr>
          <w:trHeight w:val="300"/>
        </w:trPr>
        <w:tc>
          <w:tcPr>
            <w:tcW w:w="1868" w:type="dxa"/>
            <w:noWrap/>
            <w:vAlign w:val="bottom"/>
            <w:hideMark/>
          </w:tcPr>
          <w:p w14:paraId="7DC4329E"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Metropolitana de PA</w:t>
            </w:r>
          </w:p>
        </w:tc>
        <w:tc>
          <w:tcPr>
            <w:tcW w:w="948" w:type="dxa"/>
            <w:noWrap/>
            <w:vAlign w:val="bottom"/>
            <w:hideMark/>
          </w:tcPr>
          <w:p w14:paraId="6AD6DDE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0,2830*</w:t>
            </w:r>
          </w:p>
        </w:tc>
        <w:tc>
          <w:tcPr>
            <w:tcW w:w="948" w:type="dxa"/>
            <w:noWrap/>
            <w:vAlign w:val="bottom"/>
            <w:hideMark/>
          </w:tcPr>
          <w:p w14:paraId="500B75D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0,2189*</w:t>
            </w:r>
          </w:p>
        </w:tc>
        <w:tc>
          <w:tcPr>
            <w:tcW w:w="948" w:type="dxa"/>
            <w:noWrap/>
            <w:vAlign w:val="bottom"/>
            <w:hideMark/>
          </w:tcPr>
          <w:p w14:paraId="62B4258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0,2024*</w:t>
            </w:r>
          </w:p>
        </w:tc>
        <w:tc>
          <w:tcPr>
            <w:tcW w:w="948" w:type="dxa"/>
            <w:noWrap/>
            <w:vAlign w:val="bottom"/>
            <w:hideMark/>
          </w:tcPr>
          <w:p w14:paraId="34115C6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0,1438*</w:t>
            </w:r>
          </w:p>
        </w:tc>
        <w:tc>
          <w:tcPr>
            <w:tcW w:w="948" w:type="dxa"/>
            <w:noWrap/>
            <w:vAlign w:val="bottom"/>
            <w:hideMark/>
          </w:tcPr>
          <w:p w14:paraId="1912AE8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0,1325*</w:t>
            </w:r>
          </w:p>
        </w:tc>
        <w:tc>
          <w:tcPr>
            <w:tcW w:w="948" w:type="dxa"/>
            <w:noWrap/>
            <w:vAlign w:val="bottom"/>
            <w:hideMark/>
          </w:tcPr>
          <w:p w14:paraId="7CBDC24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0,1090*</w:t>
            </w:r>
          </w:p>
        </w:tc>
        <w:tc>
          <w:tcPr>
            <w:tcW w:w="948" w:type="dxa"/>
            <w:noWrap/>
            <w:vAlign w:val="bottom"/>
            <w:hideMark/>
          </w:tcPr>
          <w:p w14:paraId="16D35D8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0,1022*</w:t>
            </w:r>
          </w:p>
        </w:tc>
      </w:tr>
      <w:tr w:rsidR="00C967F6" w14:paraId="350E471C" w14:textId="77777777" w:rsidTr="00C967F6">
        <w:trPr>
          <w:trHeight w:val="300"/>
        </w:trPr>
        <w:tc>
          <w:tcPr>
            <w:tcW w:w="1868" w:type="dxa"/>
            <w:noWrap/>
            <w:vAlign w:val="bottom"/>
            <w:hideMark/>
          </w:tcPr>
          <w:p w14:paraId="443F003E"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Sudoeste-RG</w:t>
            </w:r>
          </w:p>
        </w:tc>
        <w:tc>
          <w:tcPr>
            <w:tcW w:w="948" w:type="dxa"/>
            <w:noWrap/>
            <w:vAlign w:val="bottom"/>
            <w:hideMark/>
          </w:tcPr>
          <w:p w14:paraId="3FF91F6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-0,0732*</w:t>
            </w:r>
          </w:p>
        </w:tc>
        <w:tc>
          <w:tcPr>
            <w:tcW w:w="948" w:type="dxa"/>
            <w:noWrap/>
            <w:vAlign w:val="bottom"/>
            <w:hideMark/>
          </w:tcPr>
          <w:p w14:paraId="53371DF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-0,1049*</w:t>
            </w:r>
          </w:p>
        </w:tc>
        <w:tc>
          <w:tcPr>
            <w:tcW w:w="948" w:type="dxa"/>
            <w:noWrap/>
            <w:vAlign w:val="bottom"/>
            <w:hideMark/>
          </w:tcPr>
          <w:p w14:paraId="0486761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-0,0828*</w:t>
            </w:r>
          </w:p>
        </w:tc>
        <w:tc>
          <w:tcPr>
            <w:tcW w:w="948" w:type="dxa"/>
            <w:noWrap/>
            <w:vAlign w:val="bottom"/>
            <w:hideMark/>
          </w:tcPr>
          <w:p w14:paraId="356DEC0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-0,0937*</w:t>
            </w:r>
          </w:p>
        </w:tc>
        <w:tc>
          <w:tcPr>
            <w:tcW w:w="948" w:type="dxa"/>
            <w:noWrap/>
            <w:vAlign w:val="bottom"/>
            <w:hideMark/>
          </w:tcPr>
          <w:p w14:paraId="5504E34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-0,0874*</w:t>
            </w:r>
          </w:p>
        </w:tc>
        <w:tc>
          <w:tcPr>
            <w:tcW w:w="948" w:type="dxa"/>
            <w:noWrap/>
            <w:vAlign w:val="bottom"/>
            <w:hideMark/>
          </w:tcPr>
          <w:p w14:paraId="378FAB4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-0,0685*</w:t>
            </w:r>
          </w:p>
        </w:tc>
        <w:tc>
          <w:tcPr>
            <w:tcW w:w="948" w:type="dxa"/>
            <w:noWrap/>
            <w:vAlign w:val="bottom"/>
            <w:hideMark/>
          </w:tcPr>
          <w:p w14:paraId="1DAA9B2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-0,0437*</w:t>
            </w:r>
          </w:p>
        </w:tc>
      </w:tr>
      <w:tr w:rsidR="00C967F6" w14:paraId="38785B29" w14:textId="77777777" w:rsidTr="00C967F6">
        <w:trPr>
          <w:trHeight w:val="300"/>
        </w:trPr>
        <w:tc>
          <w:tcPr>
            <w:tcW w:w="1868" w:type="dxa"/>
            <w:noWrap/>
            <w:vAlign w:val="bottom"/>
            <w:hideMark/>
          </w:tcPr>
          <w:p w14:paraId="7FCADC41"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Sudeste-RG</w:t>
            </w:r>
          </w:p>
        </w:tc>
        <w:tc>
          <w:tcPr>
            <w:tcW w:w="948" w:type="dxa"/>
            <w:noWrap/>
            <w:vAlign w:val="bottom"/>
            <w:hideMark/>
          </w:tcPr>
          <w:p w14:paraId="247096B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0,0438*</w:t>
            </w:r>
          </w:p>
        </w:tc>
        <w:tc>
          <w:tcPr>
            <w:tcW w:w="948" w:type="dxa"/>
            <w:noWrap/>
            <w:vAlign w:val="bottom"/>
            <w:hideMark/>
          </w:tcPr>
          <w:p w14:paraId="0E52899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0,0124*</w:t>
            </w:r>
          </w:p>
        </w:tc>
        <w:tc>
          <w:tcPr>
            <w:tcW w:w="948" w:type="dxa"/>
            <w:noWrap/>
            <w:vAlign w:val="bottom"/>
            <w:hideMark/>
          </w:tcPr>
          <w:p w14:paraId="0F74B4D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0,0411*</w:t>
            </w:r>
          </w:p>
        </w:tc>
        <w:tc>
          <w:tcPr>
            <w:tcW w:w="948" w:type="dxa"/>
            <w:noWrap/>
            <w:vAlign w:val="bottom"/>
            <w:hideMark/>
          </w:tcPr>
          <w:p w14:paraId="0B4AF0F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0,0075*</w:t>
            </w:r>
          </w:p>
        </w:tc>
        <w:tc>
          <w:tcPr>
            <w:tcW w:w="948" w:type="dxa"/>
            <w:noWrap/>
            <w:vAlign w:val="bottom"/>
            <w:hideMark/>
          </w:tcPr>
          <w:p w14:paraId="550B823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0,0449*</w:t>
            </w:r>
          </w:p>
        </w:tc>
        <w:tc>
          <w:tcPr>
            <w:tcW w:w="948" w:type="dxa"/>
            <w:noWrap/>
            <w:vAlign w:val="bottom"/>
            <w:hideMark/>
          </w:tcPr>
          <w:p w14:paraId="3590025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0,0699*</w:t>
            </w:r>
          </w:p>
        </w:tc>
        <w:tc>
          <w:tcPr>
            <w:tcW w:w="948" w:type="dxa"/>
            <w:noWrap/>
            <w:vAlign w:val="bottom"/>
            <w:hideMark/>
          </w:tcPr>
          <w:p w14:paraId="70B7064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0,0572*</w:t>
            </w:r>
          </w:p>
        </w:tc>
      </w:tr>
      <w:tr w:rsidR="00C967F6" w14:paraId="57C28A5E" w14:textId="77777777" w:rsidTr="00C967F6">
        <w:trPr>
          <w:trHeight w:val="300"/>
        </w:trPr>
        <w:tc>
          <w:tcPr>
            <w:tcW w:w="8504" w:type="dxa"/>
            <w:gridSpan w:val="8"/>
            <w:noWrap/>
            <w:vAlign w:val="bottom"/>
            <w:hideMark/>
          </w:tcPr>
          <w:p w14:paraId="7C4E027E"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Ensino Formal</w:t>
            </w:r>
          </w:p>
        </w:tc>
      </w:tr>
      <w:tr w:rsidR="00C967F6" w14:paraId="4BA07CEE" w14:textId="77777777" w:rsidTr="00C967F6">
        <w:trPr>
          <w:trHeight w:val="300"/>
        </w:trPr>
        <w:tc>
          <w:tcPr>
            <w:tcW w:w="1868" w:type="dxa"/>
            <w:noWrap/>
            <w:vAlign w:val="bottom"/>
            <w:hideMark/>
          </w:tcPr>
          <w:p w14:paraId="5D4315E2"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Fundamental I</w:t>
            </w:r>
          </w:p>
        </w:tc>
        <w:tc>
          <w:tcPr>
            <w:tcW w:w="948" w:type="dxa"/>
            <w:noWrap/>
            <w:vAlign w:val="bottom"/>
            <w:hideMark/>
          </w:tcPr>
          <w:p w14:paraId="71AB61D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-0,0811*</w:t>
            </w:r>
          </w:p>
        </w:tc>
        <w:tc>
          <w:tcPr>
            <w:tcW w:w="948" w:type="dxa"/>
            <w:noWrap/>
            <w:vAlign w:val="bottom"/>
            <w:hideMark/>
          </w:tcPr>
          <w:p w14:paraId="56D5F7D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0,1607*</w:t>
            </w:r>
          </w:p>
        </w:tc>
        <w:tc>
          <w:tcPr>
            <w:tcW w:w="948" w:type="dxa"/>
            <w:noWrap/>
            <w:vAlign w:val="bottom"/>
            <w:hideMark/>
          </w:tcPr>
          <w:p w14:paraId="6991882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0,1242*</w:t>
            </w:r>
          </w:p>
        </w:tc>
        <w:tc>
          <w:tcPr>
            <w:tcW w:w="948" w:type="dxa"/>
            <w:noWrap/>
            <w:vAlign w:val="bottom"/>
            <w:hideMark/>
          </w:tcPr>
          <w:p w14:paraId="0F21684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0,1270*</w:t>
            </w:r>
          </w:p>
        </w:tc>
        <w:tc>
          <w:tcPr>
            <w:tcW w:w="948" w:type="dxa"/>
            <w:noWrap/>
            <w:vAlign w:val="bottom"/>
            <w:hideMark/>
          </w:tcPr>
          <w:p w14:paraId="0FAB694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0,1171*</w:t>
            </w:r>
          </w:p>
        </w:tc>
        <w:tc>
          <w:tcPr>
            <w:tcW w:w="948" w:type="dxa"/>
            <w:noWrap/>
            <w:vAlign w:val="bottom"/>
            <w:hideMark/>
          </w:tcPr>
          <w:p w14:paraId="3DF1B23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0,0789*</w:t>
            </w:r>
          </w:p>
        </w:tc>
        <w:tc>
          <w:tcPr>
            <w:tcW w:w="948" w:type="dxa"/>
            <w:noWrap/>
            <w:vAlign w:val="bottom"/>
            <w:hideMark/>
          </w:tcPr>
          <w:p w14:paraId="7C4DB18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0,0729*</w:t>
            </w:r>
          </w:p>
        </w:tc>
      </w:tr>
      <w:tr w:rsidR="00C967F6" w14:paraId="56B5A7A6" w14:textId="77777777" w:rsidTr="00C967F6">
        <w:trPr>
          <w:trHeight w:val="300"/>
        </w:trPr>
        <w:tc>
          <w:tcPr>
            <w:tcW w:w="1868" w:type="dxa"/>
            <w:noWrap/>
            <w:vAlign w:val="bottom"/>
            <w:hideMark/>
          </w:tcPr>
          <w:p w14:paraId="66E59E16"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Fundamental II</w:t>
            </w:r>
          </w:p>
        </w:tc>
        <w:tc>
          <w:tcPr>
            <w:tcW w:w="948" w:type="dxa"/>
            <w:noWrap/>
            <w:vAlign w:val="bottom"/>
            <w:hideMark/>
          </w:tcPr>
          <w:p w14:paraId="11EE93D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0,0550*</w:t>
            </w:r>
          </w:p>
        </w:tc>
        <w:tc>
          <w:tcPr>
            <w:tcW w:w="948" w:type="dxa"/>
            <w:noWrap/>
            <w:vAlign w:val="bottom"/>
            <w:hideMark/>
          </w:tcPr>
          <w:p w14:paraId="08AACE3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0,2583*</w:t>
            </w:r>
          </w:p>
        </w:tc>
        <w:tc>
          <w:tcPr>
            <w:tcW w:w="948" w:type="dxa"/>
            <w:noWrap/>
            <w:vAlign w:val="bottom"/>
            <w:hideMark/>
          </w:tcPr>
          <w:p w14:paraId="1BB5DA6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0,2348*</w:t>
            </w:r>
          </w:p>
        </w:tc>
        <w:tc>
          <w:tcPr>
            <w:tcW w:w="948" w:type="dxa"/>
            <w:noWrap/>
            <w:vAlign w:val="bottom"/>
            <w:hideMark/>
          </w:tcPr>
          <w:p w14:paraId="2A88E47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0,2163*</w:t>
            </w:r>
          </w:p>
        </w:tc>
        <w:tc>
          <w:tcPr>
            <w:tcW w:w="948" w:type="dxa"/>
            <w:noWrap/>
            <w:vAlign w:val="bottom"/>
            <w:hideMark/>
          </w:tcPr>
          <w:p w14:paraId="60B12F1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0,1912*</w:t>
            </w:r>
          </w:p>
        </w:tc>
        <w:tc>
          <w:tcPr>
            <w:tcW w:w="948" w:type="dxa"/>
            <w:noWrap/>
            <w:vAlign w:val="bottom"/>
            <w:hideMark/>
          </w:tcPr>
          <w:p w14:paraId="0867CC3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0,1444*</w:t>
            </w:r>
          </w:p>
        </w:tc>
        <w:tc>
          <w:tcPr>
            <w:tcW w:w="948" w:type="dxa"/>
            <w:noWrap/>
            <w:vAlign w:val="bottom"/>
            <w:hideMark/>
          </w:tcPr>
          <w:p w14:paraId="1111109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0,1286*</w:t>
            </w:r>
          </w:p>
        </w:tc>
      </w:tr>
      <w:tr w:rsidR="00C967F6" w14:paraId="52567319" w14:textId="77777777" w:rsidTr="00C967F6">
        <w:trPr>
          <w:trHeight w:val="300"/>
        </w:trPr>
        <w:tc>
          <w:tcPr>
            <w:tcW w:w="1868" w:type="dxa"/>
            <w:noWrap/>
            <w:vAlign w:val="bottom"/>
            <w:hideMark/>
          </w:tcPr>
          <w:p w14:paraId="11ED79C1"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Médio Incompleto</w:t>
            </w:r>
          </w:p>
        </w:tc>
        <w:tc>
          <w:tcPr>
            <w:tcW w:w="948" w:type="dxa"/>
            <w:noWrap/>
            <w:vAlign w:val="bottom"/>
            <w:hideMark/>
          </w:tcPr>
          <w:p w14:paraId="5E648A8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0,2112*</w:t>
            </w:r>
          </w:p>
        </w:tc>
        <w:tc>
          <w:tcPr>
            <w:tcW w:w="948" w:type="dxa"/>
            <w:noWrap/>
            <w:vAlign w:val="bottom"/>
            <w:hideMark/>
          </w:tcPr>
          <w:p w14:paraId="522407D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0,3717*</w:t>
            </w:r>
          </w:p>
        </w:tc>
        <w:tc>
          <w:tcPr>
            <w:tcW w:w="948" w:type="dxa"/>
            <w:noWrap/>
            <w:vAlign w:val="bottom"/>
            <w:hideMark/>
          </w:tcPr>
          <w:p w14:paraId="4B4E451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0,3195*</w:t>
            </w:r>
          </w:p>
        </w:tc>
        <w:tc>
          <w:tcPr>
            <w:tcW w:w="948" w:type="dxa"/>
            <w:noWrap/>
            <w:vAlign w:val="bottom"/>
            <w:hideMark/>
          </w:tcPr>
          <w:p w14:paraId="14BD1F6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0,2796*</w:t>
            </w:r>
          </w:p>
        </w:tc>
        <w:tc>
          <w:tcPr>
            <w:tcW w:w="948" w:type="dxa"/>
            <w:noWrap/>
            <w:vAlign w:val="bottom"/>
            <w:hideMark/>
          </w:tcPr>
          <w:p w14:paraId="3669A38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0,2431*</w:t>
            </w:r>
          </w:p>
        </w:tc>
        <w:tc>
          <w:tcPr>
            <w:tcW w:w="948" w:type="dxa"/>
            <w:noWrap/>
            <w:vAlign w:val="bottom"/>
            <w:hideMark/>
          </w:tcPr>
          <w:p w14:paraId="0DB3635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0,1920*</w:t>
            </w:r>
          </w:p>
        </w:tc>
        <w:tc>
          <w:tcPr>
            <w:tcW w:w="948" w:type="dxa"/>
            <w:noWrap/>
            <w:vAlign w:val="bottom"/>
            <w:hideMark/>
          </w:tcPr>
          <w:p w14:paraId="35F6A64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0,1697*</w:t>
            </w:r>
          </w:p>
        </w:tc>
      </w:tr>
      <w:tr w:rsidR="00C967F6" w14:paraId="6E531D51" w14:textId="77777777" w:rsidTr="00C967F6">
        <w:trPr>
          <w:trHeight w:val="300"/>
        </w:trPr>
        <w:tc>
          <w:tcPr>
            <w:tcW w:w="1868" w:type="dxa"/>
            <w:noWrap/>
            <w:vAlign w:val="bottom"/>
            <w:hideMark/>
          </w:tcPr>
          <w:p w14:paraId="598A567B"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Médio Completo</w:t>
            </w:r>
          </w:p>
        </w:tc>
        <w:tc>
          <w:tcPr>
            <w:tcW w:w="948" w:type="dxa"/>
            <w:noWrap/>
            <w:vAlign w:val="bottom"/>
            <w:hideMark/>
          </w:tcPr>
          <w:p w14:paraId="2B2482B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0,4574*</w:t>
            </w:r>
          </w:p>
        </w:tc>
        <w:tc>
          <w:tcPr>
            <w:tcW w:w="948" w:type="dxa"/>
            <w:noWrap/>
            <w:vAlign w:val="bottom"/>
            <w:hideMark/>
          </w:tcPr>
          <w:p w14:paraId="32B6FAF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0,6022*</w:t>
            </w:r>
          </w:p>
        </w:tc>
        <w:tc>
          <w:tcPr>
            <w:tcW w:w="948" w:type="dxa"/>
            <w:noWrap/>
            <w:vAlign w:val="bottom"/>
            <w:hideMark/>
          </w:tcPr>
          <w:p w14:paraId="30C601A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0,5269*</w:t>
            </w:r>
          </w:p>
        </w:tc>
        <w:tc>
          <w:tcPr>
            <w:tcW w:w="948" w:type="dxa"/>
            <w:noWrap/>
            <w:vAlign w:val="bottom"/>
            <w:hideMark/>
          </w:tcPr>
          <w:p w14:paraId="373A91E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0,4497*</w:t>
            </w:r>
          </w:p>
        </w:tc>
        <w:tc>
          <w:tcPr>
            <w:tcW w:w="948" w:type="dxa"/>
            <w:noWrap/>
            <w:vAlign w:val="bottom"/>
            <w:hideMark/>
          </w:tcPr>
          <w:p w14:paraId="5CFB244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0,3931*</w:t>
            </w:r>
          </w:p>
        </w:tc>
        <w:tc>
          <w:tcPr>
            <w:tcW w:w="948" w:type="dxa"/>
            <w:noWrap/>
            <w:vAlign w:val="bottom"/>
            <w:hideMark/>
          </w:tcPr>
          <w:p w14:paraId="29AB92D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0,3224*</w:t>
            </w:r>
          </w:p>
        </w:tc>
        <w:tc>
          <w:tcPr>
            <w:tcW w:w="948" w:type="dxa"/>
            <w:noWrap/>
            <w:vAlign w:val="bottom"/>
            <w:hideMark/>
          </w:tcPr>
          <w:p w14:paraId="362CC37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0,2914*</w:t>
            </w:r>
          </w:p>
        </w:tc>
      </w:tr>
      <w:tr w:rsidR="00C967F6" w14:paraId="2478DAD8" w14:textId="77777777" w:rsidTr="00C967F6">
        <w:trPr>
          <w:trHeight w:val="300"/>
        </w:trPr>
        <w:tc>
          <w:tcPr>
            <w:tcW w:w="1868" w:type="dxa"/>
            <w:noWrap/>
            <w:vAlign w:val="bottom"/>
            <w:hideMark/>
          </w:tcPr>
          <w:p w14:paraId="0598A703"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Superior Incompleto</w:t>
            </w:r>
          </w:p>
        </w:tc>
        <w:tc>
          <w:tcPr>
            <w:tcW w:w="948" w:type="dxa"/>
            <w:noWrap/>
            <w:vAlign w:val="bottom"/>
            <w:hideMark/>
          </w:tcPr>
          <w:p w14:paraId="4C4BD7D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0,8831*</w:t>
            </w:r>
          </w:p>
        </w:tc>
        <w:tc>
          <w:tcPr>
            <w:tcW w:w="948" w:type="dxa"/>
            <w:noWrap/>
            <w:vAlign w:val="bottom"/>
            <w:hideMark/>
          </w:tcPr>
          <w:p w14:paraId="14A4EE7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0,9857*</w:t>
            </w:r>
          </w:p>
        </w:tc>
        <w:tc>
          <w:tcPr>
            <w:tcW w:w="948" w:type="dxa"/>
            <w:noWrap/>
            <w:vAlign w:val="bottom"/>
            <w:hideMark/>
          </w:tcPr>
          <w:p w14:paraId="165DE38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0,9570*</w:t>
            </w:r>
          </w:p>
        </w:tc>
        <w:tc>
          <w:tcPr>
            <w:tcW w:w="948" w:type="dxa"/>
            <w:noWrap/>
            <w:vAlign w:val="bottom"/>
            <w:hideMark/>
          </w:tcPr>
          <w:p w14:paraId="2AEEEC7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0,8472*</w:t>
            </w:r>
          </w:p>
        </w:tc>
        <w:tc>
          <w:tcPr>
            <w:tcW w:w="948" w:type="dxa"/>
            <w:noWrap/>
            <w:vAlign w:val="bottom"/>
            <w:hideMark/>
          </w:tcPr>
          <w:p w14:paraId="2AF2681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0,7511*</w:t>
            </w:r>
          </w:p>
        </w:tc>
        <w:tc>
          <w:tcPr>
            <w:tcW w:w="948" w:type="dxa"/>
            <w:noWrap/>
            <w:vAlign w:val="bottom"/>
            <w:hideMark/>
          </w:tcPr>
          <w:p w14:paraId="308F686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0,6066*</w:t>
            </w:r>
          </w:p>
        </w:tc>
        <w:tc>
          <w:tcPr>
            <w:tcW w:w="948" w:type="dxa"/>
            <w:noWrap/>
            <w:vAlign w:val="bottom"/>
            <w:hideMark/>
          </w:tcPr>
          <w:p w14:paraId="08A45C6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0,5452*</w:t>
            </w:r>
          </w:p>
        </w:tc>
      </w:tr>
      <w:tr w:rsidR="00C967F6" w14:paraId="5EB7B814" w14:textId="77777777" w:rsidTr="00C967F6">
        <w:trPr>
          <w:trHeight w:val="300"/>
        </w:trPr>
        <w:tc>
          <w:tcPr>
            <w:tcW w:w="1868" w:type="dxa"/>
            <w:noWrap/>
            <w:vAlign w:val="bottom"/>
            <w:hideMark/>
          </w:tcPr>
          <w:p w14:paraId="4B704FA2"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Superior Completo</w:t>
            </w:r>
          </w:p>
        </w:tc>
        <w:tc>
          <w:tcPr>
            <w:tcW w:w="948" w:type="dxa"/>
            <w:noWrap/>
            <w:vAlign w:val="bottom"/>
            <w:hideMark/>
          </w:tcPr>
          <w:p w14:paraId="2EABD86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1,2433*</w:t>
            </w:r>
          </w:p>
        </w:tc>
        <w:tc>
          <w:tcPr>
            <w:tcW w:w="948" w:type="dxa"/>
            <w:noWrap/>
            <w:vAlign w:val="bottom"/>
            <w:hideMark/>
          </w:tcPr>
          <w:p w14:paraId="119A16D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1,4925*</w:t>
            </w:r>
          </w:p>
        </w:tc>
        <w:tc>
          <w:tcPr>
            <w:tcW w:w="948" w:type="dxa"/>
            <w:noWrap/>
            <w:vAlign w:val="bottom"/>
            <w:hideMark/>
          </w:tcPr>
          <w:p w14:paraId="5F6A7EF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1,4817*</w:t>
            </w:r>
          </w:p>
        </w:tc>
        <w:tc>
          <w:tcPr>
            <w:tcW w:w="948" w:type="dxa"/>
            <w:noWrap/>
            <w:vAlign w:val="bottom"/>
            <w:hideMark/>
          </w:tcPr>
          <w:p w14:paraId="139562D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1,3978*</w:t>
            </w:r>
          </w:p>
        </w:tc>
        <w:tc>
          <w:tcPr>
            <w:tcW w:w="948" w:type="dxa"/>
            <w:noWrap/>
            <w:vAlign w:val="bottom"/>
            <w:hideMark/>
          </w:tcPr>
          <w:p w14:paraId="64FD597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1,3276*</w:t>
            </w:r>
          </w:p>
        </w:tc>
        <w:tc>
          <w:tcPr>
            <w:tcW w:w="948" w:type="dxa"/>
            <w:noWrap/>
            <w:vAlign w:val="bottom"/>
            <w:hideMark/>
          </w:tcPr>
          <w:p w14:paraId="665D62F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1,1972*</w:t>
            </w:r>
          </w:p>
        </w:tc>
        <w:tc>
          <w:tcPr>
            <w:tcW w:w="948" w:type="dxa"/>
            <w:noWrap/>
            <w:vAlign w:val="bottom"/>
            <w:hideMark/>
          </w:tcPr>
          <w:p w14:paraId="27AACE4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1,1288*</w:t>
            </w:r>
          </w:p>
        </w:tc>
      </w:tr>
      <w:tr w:rsidR="00C967F6" w14:paraId="7F700731" w14:textId="77777777" w:rsidTr="00C967F6">
        <w:trPr>
          <w:trHeight w:val="300"/>
        </w:trPr>
        <w:tc>
          <w:tcPr>
            <w:tcW w:w="1868" w:type="dxa"/>
            <w:noWrap/>
            <w:vAlign w:val="bottom"/>
            <w:hideMark/>
          </w:tcPr>
          <w:p w14:paraId="491DCC01"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Pós-Graduação</w:t>
            </w:r>
          </w:p>
        </w:tc>
        <w:tc>
          <w:tcPr>
            <w:tcW w:w="948" w:type="dxa"/>
            <w:noWrap/>
            <w:vAlign w:val="bottom"/>
            <w:hideMark/>
          </w:tcPr>
          <w:p w14:paraId="17281C0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948" w:type="dxa"/>
            <w:noWrap/>
            <w:vAlign w:val="bottom"/>
            <w:hideMark/>
          </w:tcPr>
          <w:p w14:paraId="78C908D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948" w:type="dxa"/>
            <w:noWrap/>
            <w:vAlign w:val="bottom"/>
            <w:hideMark/>
          </w:tcPr>
          <w:p w14:paraId="536441E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2,0409*</w:t>
            </w:r>
          </w:p>
        </w:tc>
        <w:tc>
          <w:tcPr>
            <w:tcW w:w="948" w:type="dxa"/>
            <w:noWrap/>
            <w:vAlign w:val="bottom"/>
            <w:hideMark/>
          </w:tcPr>
          <w:p w14:paraId="4841C84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1,9020*</w:t>
            </w:r>
          </w:p>
        </w:tc>
        <w:tc>
          <w:tcPr>
            <w:tcW w:w="948" w:type="dxa"/>
            <w:noWrap/>
            <w:vAlign w:val="bottom"/>
            <w:hideMark/>
          </w:tcPr>
          <w:p w14:paraId="1EAD724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1,7792*</w:t>
            </w:r>
          </w:p>
        </w:tc>
        <w:tc>
          <w:tcPr>
            <w:tcW w:w="948" w:type="dxa"/>
            <w:noWrap/>
            <w:vAlign w:val="bottom"/>
            <w:hideMark/>
          </w:tcPr>
          <w:p w14:paraId="7F06253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1,7590*</w:t>
            </w:r>
          </w:p>
        </w:tc>
        <w:tc>
          <w:tcPr>
            <w:tcW w:w="948" w:type="dxa"/>
            <w:noWrap/>
            <w:vAlign w:val="bottom"/>
            <w:hideMark/>
          </w:tcPr>
          <w:p w14:paraId="29CED93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1,7327*</w:t>
            </w:r>
          </w:p>
        </w:tc>
      </w:tr>
      <w:tr w:rsidR="00C967F6" w14:paraId="720C216B" w14:textId="77777777" w:rsidTr="00C967F6">
        <w:trPr>
          <w:trHeight w:val="300"/>
        </w:trPr>
        <w:tc>
          <w:tcPr>
            <w:tcW w:w="8504" w:type="dxa"/>
            <w:gridSpan w:val="8"/>
            <w:noWrap/>
            <w:vAlign w:val="bottom"/>
            <w:hideMark/>
          </w:tcPr>
          <w:p w14:paraId="07D0D871"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Tempo no emprego</w:t>
            </w:r>
          </w:p>
        </w:tc>
      </w:tr>
      <w:tr w:rsidR="00C967F6" w14:paraId="1EF1462E" w14:textId="77777777" w:rsidTr="00C967F6">
        <w:trPr>
          <w:trHeight w:val="300"/>
        </w:trPr>
        <w:tc>
          <w:tcPr>
            <w:tcW w:w="1868" w:type="dxa"/>
            <w:noWrap/>
            <w:vAlign w:val="bottom"/>
            <w:hideMark/>
          </w:tcPr>
          <w:p w14:paraId="566AF2D1"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 a 3 anos</w:t>
            </w:r>
          </w:p>
        </w:tc>
        <w:tc>
          <w:tcPr>
            <w:tcW w:w="948" w:type="dxa"/>
            <w:noWrap/>
            <w:vAlign w:val="bottom"/>
            <w:hideMark/>
          </w:tcPr>
          <w:p w14:paraId="5FF219F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0,1476*</w:t>
            </w:r>
          </w:p>
        </w:tc>
        <w:tc>
          <w:tcPr>
            <w:tcW w:w="948" w:type="dxa"/>
            <w:noWrap/>
            <w:vAlign w:val="bottom"/>
            <w:hideMark/>
          </w:tcPr>
          <w:p w14:paraId="65DACAA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0,1150*</w:t>
            </w:r>
          </w:p>
        </w:tc>
        <w:tc>
          <w:tcPr>
            <w:tcW w:w="948" w:type="dxa"/>
            <w:noWrap/>
            <w:vAlign w:val="bottom"/>
            <w:hideMark/>
          </w:tcPr>
          <w:p w14:paraId="159C81A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0,1081*</w:t>
            </w:r>
          </w:p>
        </w:tc>
        <w:tc>
          <w:tcPr>
            <w:tcW w:w="948" w:type="dxa"/>
            <w:noWrap/>
            <w:vAlign w:val="bottom"/>
            <w:hideMark/>
          </w:tcPr>
          <w:p w14:paraId="302653C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0,1144*</w:t>
            </w:r>
          </w:p>
        </w:tc>
        <w:tc>
          <w:tcPr>
            <w:tcW w:w="948" w:type="dxa"/>
            <w:noWrap/>
            <w:vAlign w:val="bottom"/>
            <w:hideMark/>
          </w:tcPr>
          <w:p w14:paraId="49690C6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0,1188*</w:t>
            </w:r>
          </w:p>
        </w:tc>
        <w:tc>
          <w:tcPr>
            <w:tcW w:w="948" w:type="dxa"/>
            <w:noWrap/>
            <w:vAlign w:val="bottom"/>
            <w:hideMark/>
          </w:tcPr>
          <w:p w14:paraId="5E0CAE3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0,1109*</w:t>
            </w:r>
          </w:p>
        </w:tc>
        <w:tc>
          <w:tcPr>
            <w:tcW w:w="948" w:type="dxa"/>
            <w:noWrap/>
            <w:vAlign w:val="bottom"/>
            <w:hideMark/>
          </w:tcPr>
          <w:p w14:paraId="2784710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0,0695*</w:t>
            </w:r>
          </w:p>
        </w:tc>
      </w:tr>
      <w:tr w:rsidR="00C967F6" w14:paraId="659D3B23" w14:textId="77777777" w:rsidTr="00C967F6">
        <w:trPr>
          <w:trHeight w:val="300"/>
        </w:trPr>
        <w:tc>
          <w:tcPr>
            <w:tcW w:w="1868" w:type="dxa"/>
            <w:noWrap/>
            <w:vAlign w:val="bottom"/>
            <w:hideMark/>
          </w:tcPr>
          <w:p w14:paraId="291E195F"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 a 5 anos</w:t>
            </w:r>
          </w:p>
        </w:tc>
        <w:tc>
          <w:tcPr>
            <w:tcW w:w="948" w:type="dxa"/>
            <w:noWrap/>
            <w:vAlign w:val="bottom"/>
            <w:hideMark/>
          </w:tcPr>
          <w:p w14:paraId="02C0100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0,2864*</w:t>
            </w:r>
          </w:p>
        </w:tc>
        <w:tc>
          <w:tcPr>
            <w:tcW w:w="948" w:type="dxa"/>
            <w:noWrap/>
            <w:vAlign w:val="bottom"/>
            <w:hideMark/>
          </w:tcPr>
          <w:p w14:paraId="1D32BC9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0,2452*</w:t>
            </w:r>
          </w:p>
        </w:tc>
        <w:tc>
          <w:tcPr>
            <w:tcW w:w="948" w:type="dxa"/>
            <w:noWrap/>
            <w:vAlign w:val="bottom"/>
            <w:hideMark/>
          </w:tcPr>
          <w:p w14:paraId="3E790E7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0,2227*</w:t>
            </w:r>
          </w:p>
        </w:tc>
        <w:tc>
          <w:tcPr>
            <w:tcW w:w="948" w:type="dxa"/>
            <w:noWrap/>
            <w:vAlign w:val="bottom"/>
            <w:hideMark/>
          </w:tcPr>
          <w:p w14:paraId="452C215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0,2642*</w:t>
            </w:r>
          </w:p>
        </w:tc>
        <w:tc>
          <w:tcPr>
            <w:tcW w:w="948" w:type="dxa"/>
            <w:noWrap/>
            <w:vAlign w:val="bottom"/>
            <w:hideMark/>
          </w:tcPr>
          <w:p w14:paraId="49084FC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0,2590*</w:t>
            </w:r>
          </w:p>
        </w:tc>
        <w:tc>
          <w:tcPr>
            <w:tcW w:w="948" w:type="dxa"/>
            <w:noWrap/>
            <w:vAlign w:val="bottom"/>
            <w:hideMark/>
          </w:tcPr>
          <w:p w14:paraId="5EE9C6E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0,2331*</w:t>
            </w:r>
          </w:p>
        </w:tc>
        <w:tc>
          <w:tcPr>
            <w:tcW w:w="948" w:type="dxa"/>
            <w:noWrap/>
            <w:vAlign w:val="bottom"/>
            <w:hideMark/>
          </w:tcPr>
          <w:p w14:paraId="498099E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0,1927*</w:t>
            </w:r>
          </w:p>
        </w:tc>
      </w:tr>
      <w:tr w:rsidR="00C967F6" w14:paraId="12FA79E3" w14:textId="77777777" w:rsidTr="00C967F6">
        <w:trPr>
          <w:trHeight w:val="300"/>
        </w:trPr>
        <w:tc>
          <w:tcPr>
            <w:tcW w:w="1868" w:type="dxa"/>
            <w:noWrap/>
            <w:vAlign w:val="bottom"/>
            <w:hideMark/>
          </w:tcPr>
          <w:p w14:paraId="5BF29018"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 a 10 ano</w:t>
            </w:r>
          </w:p>
        </w:tc>
        <w:tc>
          <w:tcPr>
            <w:tcW w:w="948" w:type="dxa"/>
            <w:noWrap/>
            <w:vAlign w:val="bottom"/>
            <w:hideMark/>
          </w:tcPr>
          <w:p w14:paraId="038ED58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0,4111*</w:t>
            </w:r>
          </w:p>
        </w:tc>
        <w:tc>
          <w:tcPr>
            <w:tcW w:w="948" w:type="dxa"/>
            <w:noWrap/>
            <w:vAlign w:val="bottom"/>
            <w:hideMark/>
          </w:tcPr>
          <w:p w14:paraId="19A1F8E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0,4131*</w:t>
            </w:r>
          </w:p>
        </w:tc>
        <w:tc>
          <w:tcPr>
            <w:tcW w:w="948" w:type="dxa"/>
            <w:noWrap/>
            <w:vAlign w:val="bottom"/>
            <w:hideMark/>
          </w:tcPr>
          <w:p w14:paraId="75D6887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0,3877*</w:t>
            </w:r>
          </w:p>
        </w:tc>
        <w:tc>
          <w:tcPr>
            <w:tcW w:w="948" w:type="dxa"/>
            <w:noWrap/>
            <w:vAlign w:val="bottom"/>
            <w:hideMark/>
          </w:tcPr>
          <w:p w14:paraId="423F03B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0,3741*</w:t>
            </w:r>
          </w:p>
        </w:tc>
        <w:tc>
          <w:tcPr>
            <w:tcW w:w="948" w:type="dxa"/>
            <w:noWrap/>
            <w:vAlign w:val="bottom"/>
            <w:hideMark/>
          </w:tcPr>
          <w:p w14:paraId="067D86E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0,4063*</w:t>
            </w:r>
          </w:p>
        </w:tc>
        <w:tc>
          <w:tcPr>
            <w:tcW w:w="948" w:type="dxa"/>
            <w:noWrap/>
            <w:vAlign w:val="bottom"/>
            <w:hideMark/>
          </w:tcPr>
          <w:p w14:paraId="18AC169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0,3861*</w:t>
            </w:r>
          </w:p>
        </w:tc>
        <w:tc>
          <w:tcPr>
            <w:tcW w:w="948" w:type="dxa"/>
            <w:noWrap/>
            <w:vAlign w:val="bottom"/>
            <w:hideMark/>
          </w:tcPr>
          <w:p w14:paraId="1CEB892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0,3457*</w:t>
            </w:r>
          </w:p>
        </w:tc>
      </w:tr>
      <w:tr w:rsidR="00C967F6" w14:paraId="130A3BA2" w14:textId="77777777" w:rsidTr="00C967F6">
        <w:trPr>
          <w:trHeight w:val="300"/>
        </w:trPr>
        <w:tc>
          <w:tcPr>
            <w:tcW w:w="1868" w:type="dxa"/>
            <w:tcBorders>
              <w:top w:val="nil"/>
              <w:left w:val="nil"/>
              <w:bottom w:val="single" w:sz="4" w:space="0" w:color="auto"/>
              <w:right w:val="nil"/>
            </w:tcBorders>
            <w:noWrap/>
            <w:vAlign w:val="bottom"/>
            <w:hideMark/>
          </w:tcPr>
          <w:p w14:paraId="2E22BA94"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 ou mais anos</w:t>
            </w:r>
          </w:p>
        </w:tc>
        <w:tc>
          <w:tcPr>
            <w:tcW w:w="948" w:type="dxa"/>
            <w:tcBorders>
              <w:top w:val="nil"/>
              <w:left w:val="nil"/>
              <w:bottom w:val="single" w:sz="4" w:space="0" w:color="auto"/>
              <w:right w:val="nil"/>
            </w:tcBorders>
            <w:noWrap/>
            <w:vAlign w:val="bottom"/>
            <w:hideMark/>
          </w:tcPr>
          <w:p w14:paraId="055C93B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0,7416*</w:t>
            </w:r>
          </w:p>
        </w:tc>
        <w:tc>
          <w:tcPr>
            <w:tcW w:w="948" w:type="dxa"/>
            <w:tcBorders>
              <w:top w:val="nil"/>
              <w:left w:val="nil"/>
              <w:bottom w:val="single" w:sz="4" w:space="0" w:color="auto"/>
              <w:right w:val="nil"/>
            </w:tcBorders>
            <w:noWrap/>
            <w:vAlign w:val="bottom"/>
            <w:hideMark/>
          </w:tcPr>
          <w:p w14:paraId="4B9A8B3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0,7271*</w:t>
            </w:r>
          </w:p>
        </w:tc>
        <w:tc>
          <w:tcPr>
            <w:tcW w:w="948" w:type="dxa"/>
            <w:tcBorders>
              <w:top w:val="nil"/>
              <w:left w:val="nil"/>
              <w:bottom w:val="single" w:sz="4" w:space="0" w:color="auto"/>
              <w:right w:val="nil"/>
            </w:tcBorders>
            <w:noWrap/>
            <w:vAlign w:val="bottom"/>
            <w:hideMark/>
          </w:tcPr>
          <w:p w14:paraId="02DAE93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0,7188*</w:t>
            </w:r>
          </w:p>
        </w:tc>
        <w:tc>
          <w:tcPr>
            <w:tcW w:w="948" w:type="dxa"/>
            <w:tcBorders>
              <w:top w:val="nil"/>
              <w:left w:val="nil"/>
              <w:bottom w:val="single" w:sz="4" w:space="0" w:color="auto"/>
              <w:right w:val="nil"/>
            </w:tcBorders>
            <w:noWrap/>
            <w:vAlign w:val="bottom"/>
            <w:hideMark/>
          </w:tcPr>
          <w:p w14:paraId="2331939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0,7527*</w:t>
            </w:r>
          </w:p>
        </w:tc>
        <w:tc>
          <w:tcPr>
            <w:tcW w:w="948" w:type="dxa"/>
            <w:tcBorders>
              <w:top w:val="nil"/>
              <w:left w:val="nil"/>
              <w:bottom w:val="single" w:sz="4" w:space="0" w:color="auto"/>
              <w:right w:val="nil"/>
            </w:tcBorders>
            <w:noWrap/>
            <w:vAlign w:val="bottom"/>
            <w:hideMark/>
          </w:tcPr>
          <w:p w14:paraId="3FF89D1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0,7623*</w:t>
            </w:r>
          </w:p>
        </w:tc>
        <w:tc>
          <w:tcPr>
            <w:tcW w:w="948" w:type="dxa"/>
            <w:tcBorders>
              <w:top w:val="nil"/>
              <w:left w:val="nil"/>
              <w:bottom w:val="single" w:sz="4" w:space="0" w:color="auto"/>
              <w:right w:val="nil"/>
            </w:tcBorders>
            <w:noWrap/>
            <w:vAlign w:val="bottom"/>
            <w:hideMark/>
          </w:tcPr>
          <w:p w14:paraId="3FAF6EE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0,7490*</w:t>
            </w:r>
          </w:p>
        </w:tc>
        <w:tc>
          <w:tcPr>
            <w:tcW w:w="948" w:type="dxa"/>
            <w:tcBorders>
              <w:top w:val="nil"/>
              <w:left w:val="nil"/>
              <w:bottom w:val="single" w:sz="4" w:space="0" w:color="auto"/>
              <w:right w:val="nil"/>
            </w:tcBorders>
            <w:noWrap/>
            <w:vAlign w:val="bottom"/>
            <w:hideMark/>
          </w:tcPr>
          <w:p w14:paraId="483E247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0,7030*</w:t>
            </w:r>
          </w:p>
        </w:tc>
      </w:tr>
    </w:tbl>
    <w:p w14:paraId="0A9E6B21" w14:textId="1982A928" w:rsidR="00C967F6" w:rsidRDefault="00C967F6" w:rsidP="00C967F6">
      <w:pPr>
        <w:spacing w:after="0"/>
        <w:rPr>
          <w:rFonts w:ascii="Times New Roman" w:hAnsi="Times New Roman" w:cs="Times New Roman"/>
        </w:rPr>
      </w:pPr>
      <w:r>
        <w:rPr>
          <w:rFonts w:ascii="Times New Roman" w:hAnsi="Times New Roman" w:cs="Times New Roman"/>
          <w:b/>
        </w:rPr>
        <w:t>Fonte</w:t>
      </w:r>
      <w:r>
        <w:rPr>
          <w:rFonts w:ascii="Times New Roman" w:hAnsi="Times New Roman" w:cs="Times New Roman"/>
        </w:rPr>
        <w:t>: Elaborado pelos autore</w:t>
      </w:r>
      <w:r w:rsidR="00066687">
        <w:rPr>
          <w:rFonts w:ascii="Times New Roman" w:hAnsi="Times New Roman" w:cs="Times New Roman"/>
        </w:rPr>
        <w:t>s com base nos dados da RAIS-MTE</w:t>
      </w:r>
    </w:p>
    <w:p w14:paraId="7A808A15" w14:textId="77777777" w:rsidR="00C967F6" w:rsidRDefault="00C967F6" w:rsidP="00C967F6">
      <w:pPr>
        <w:spacing w:after="0"/>
        <w:rPr>
          <w:rFonts w:ascii="Times New Roman" w:hAnsi="Times New Roman" w:cs="Times New Roman"/>
        </w:rPr>
      </w:pPr>
      <w:r>
        <w:rPr>
          <w:rFonts w:ascii="Times New Roman" w:hAnsi="Times New Roman" w:cs="Times New Roman"/>
        </w:rPr>
        <w:t>(*) significante a 0,01%</w:t>
      </w:r>
    </w:p>
    <w:p w14:paraId="35BFB74C" w14:textId="50FA2020" w:rsidR="00735F35" w:rsidRDefault="00735F35" w:rsidP="00C7705A">
      <w:pPr>
        <w:spacing w:after="0"/>
        <w:jc w:val="both"/>
        <w:rPr>
          <w:rFonts w:ascii="Times New Roman" w:hAnsi="Times New Roman" w:cs="Times New Roman"/>
        </w:rPr>
      </w:pPr>
    </w:p>
    <w:p w14:paraId="26AF4F48" w14:textId="75E39361" w:rsidR="00735F35" w:rsidRPr="00CF2E1B" w:rsidRDefault="00735F35" w:rsidP="00C7705A">
      <w:pPr>
        <w:spacing w:after="0"/>
        <w:ind w:firstLine="708"/>
        <w:jc w:val="both"/>
        <w:rPr>
          <w:rFonts w:ascii="Times New Roman" w:hAnsi="Times New Roman" w:cs="Times New Roman"/>
          <w:sz w:val="24"/>
          <w:szCs w:val="24"/>
        </w:rPr>
      </w:pPr>
      <w:r w:rsidRPr="00CF2E1B">
        <w:rPr>
          <w:rFonts w:ascii="Times New Roman" w:hAnsi="Times New Roman" w:cs="Times New Roman"/>
          <w:sz w:val="24"/>
          <w:szCs w:val="24"/>
        </w:rPr>
        <w:lastRenderedPageBreak/>
        <w:t>O diferencial de salários associado ao tempo de permanência no emprego permaneceu positivo em todas as categorias quando comparadas ao tempo de permanência inferior a um ano (categoria de referência). No entanto, houve uma qu</w:t>
      </w:r>
      <w:r w:rsidR="00696C0D">
        <w:rPr>
          <w:rFonts w:ascii="Times New Roman" w:hAnsi="Times New Roman" w:cs="Times New Roman"/>
          <w:sz w:val="24"/>
          <w:szCs w:val="24"/>
        </w:rPr>
        <w:t xml:space="preserve">eda desse diferencial para todos </w:t>
      </w:r>
      <w:r w:rsidR="00696C0D" w:rsidRPr="00CF2E1B">
        <w:rPr>
          <w:rFonts w:ascii="Times New Roman" w:hAnsi="Times New Roman" w:cs="Times New Roman"/>
          <w:sz w:val="24"/>
          <w:szCs w:val="24"/>
        </w:rPr>
        <w:t>os</w:t>
      </w:r>
      <w:r w:rsidRPr="00CF2E1B">
        <w:rPr>
          <w:rFonts w:ascii="Times New Roman" w:hAnsi="Times New Roman" w:cs="Times New Roman"/>
          <w:sz w:val="24"/>
          <w:szCs w:val="24"/>
        </w:rPr>
        <w:t xml:space="preserve"> </w:t>
      </w:r>
      <w:r w:rsidR="00696C0D">
        <w:rPr>
          <w:rFonts w:ascii="Times New Roman" w:hAnsi="Times New Roman" w:cs="Times New Roman"/>
          <w:sz w:val="24"/>
          <w:szCs w:val="24"/>
        </w:rPr>
        <w:t>períodos</w:t>
      </w:r>
      <w:r w:rsidRPr="00CF2E1B">
        <w:rPr>
          <w:rFonts w:ascii="Times New Roman" w:hAnsi="Times New Roman" w:cs="Times New Roman"/>
          <w:sz w:val="24"/>
          <w:szCs w:val="24"/>
        </w:rPr>
        <w:t xml:space="preserve"> de permanência, nos três quartis de distribuição do logaritmo do salário</w:t>
      </w:r>
      <w:r w:rsidR="00696C0D">
        <w:rPr>
          <w:rFonts w:ascii="Times New Roman" w:hAnsi="Times New Roman" w:cs="Times New Roman"/>
          <w:sz w:val="24"/>
          <w:szCs w:val="24"/>
        </w:rPr>
        <w:t xml:space="preserve"> (Tabela 1, Tabela 2 e Tabela 3)</w:t>
      </w:r>
      <w:r w:rsidRPr="00CF2E1B">
        <w:rPr>
          <w:rFonts w:ascii="Times New Roman" w:hAnsi="Times New Roman" w:cs="Times New Roman"/>
          <w:sz w:val="24"/>
          <w:szCs w:val="24"/>
        </w:rPr>
        <w:t>.</w:t>
      </w:r>
      <w:r w:rsidR="00696C0D">
        <w:rPr>
          <w:rFonts w:ascii="Times New Roman" w:hAnsi="Times New Roman" w:cs="Times New Roman"/>
          <w:sz w:val="24"/>
          <w:szCs w:val="24"/>
        </w:rPr>
        <w:t xml:space="preserve"> Essa redução foi menor para tempos de permanência de “5 a 10 anos” e “10 anos ou mais” no terceiro quartil. </w:t>
      </w:r>
      <w:r w:rsidR="00666DFD">
        <w:rPr>
          <w:rFonts w:ascii="Times New Roman" w:hAnsi="Times New Roman" w:cs="Times New Roman"/>
          <w:sz w:val="24"/>
          <w:szCs w:val="24"/>
        </w:rPr>
        <w:t xml:space="preserve">Nessa posição da distribuição </w:t>
      </w:r>
      <w:r w:rsidR="00C7705A">
        <w:rPr>
          <w:rFonts w:ascii="Times New Roman" w:hAnsi="Times New Roman" w:cs="Times New Roman"/>
          <w:sz w:val="24"/>
          <w:szCs w:val="24"/>
        </w:rPr>
        <w:t>do</w:t>
      </w:r>
      <w:r w:rsidR="00666DFD">
        <w:rPr>
          <w:rFonts w:ascii="Times New Roman" w:hAnsi="Times New Roman" w:cs="Times New Roman"/>
          <w:sz w:val="24"/>
          <w:szCs w:val="24"/>
        </w:rPr>
        <w:t xml:space="preserve"> logaritmo do salário, t</w:t>
      </w:r>
      <w:r w:rsidR="00696C0D">
        <w:rPr>
          <w:rFonts w:ascii="Times New Roman" w:hAnsi="Times New Roman" w:cs="Times New Roman"/>
          <w:sz w:val="24"/>
          <w:szCs w:val="24"/>
        </w:rPr>
        <w:t xml:space="preserve">rabalhadores ocupados por 10 ou mais </w:t>
      </w:r>
      <w:r w:rsidR="00C7705A">
        <w:rPr>
          <w:rFonts w:ascii="Times New Roman" w:hAnsi="Times New Roman" w:cs="Times New Roman"/>
          <w:sz w:val="24"/>
          <w:szCs w:val="24"/>
        </w:rPr>
        <w:t>recebiam 74,16% a mais do que a categoria de referência em 2000 e 70,3% em 2017.</w:t>
      </w:r>
    </w:p>
    <w:p w14:paraId="20CE4F55" w14:textId="1686377B" w:rsidR="3E6E1741" w:rsidRPr="00735F35" w:rsidRDefault="00735F35" w:rsidP="000D4B7C">
      <w:pPr>
        <w:tabs>
          <w:tab w:val="left" w:pos="4140"/>
          <w:tab w:val="left" w:pos="5130"/>
        </w:tabs>
        <w:rPr>
          <w:rFonts w:ascii="Times New Roman" w:hAnsi="Times New Roman" w:cs="Times New Roman"/>
        </w:rPr>
      </w:pPr>
      <w:r>
        <w:rPr>
          <w:rFonts w:ascii="Times New Roman" w:hAnsi="Times New Roman" w:cs="Times New Roman"/>
        </w:rPr>
        <w:tab/>
      </w:r>
      <w:r w:rsidR="000D4B7C">
        <w:rPr>
          <w:rFonts w:ascii="Times New Roman" w:hAnsi="Times New Roman" w:cs="Times New Roman"/>
        </w:rPr>
        <w:tab/>
      </w:r>
    </w:p>
    <w:p w14:paraId="171F1C34" w14:textId="3EF01C63" w:rsidR="22095562" w:rsidRDefault="22095562" w:rsidP="1F07AD4D">
      <w:pPr>
        <w:rPr>
          <w:rFonts w:ascii="Arial" w:eastAsia="Arial" w:hAnsi="Arial" w:cs="Arial"/>
          <w:b/>
          <w:bCs/>
          <w:sz w:val="24"/>
          <w:szCs w:val="24"/>
        </w:rPr>
      </w:pPr>
    </w:p>
    <w:p w14:paraId="54B5DFA5" w14:textId="21D095EF" w:rsidR="22095562" w:rsidRDefault="1F07AD4D" w:rsidP="1F07AD4D">
      <w:pPr>
        <w:rPr>
          <w:rFonts w:ascii="Arial" w:eastAsia="Arial" w:hAnsi="Arial" w:cs="Arial"/>
          <w:b/>
          <w:bCs/>
          <w:sz w:val="24"/>
          <w:szCs w:val="24"/>
        </w:rPr>
      </w:pPr>
      <w:r w:rsidRPr="1F07AD4D">
        <w:rPr>
          <w:rFonts w:ascii="Arial" w:eastAsia="Arial" w:hAnsi="Arial" w:cs="Arial"/>
          <w:b/>
          <w:bCs/>
          <w:sz w:val="24"/>
          <w:szCs w:val="24"/>
        </w:rPr>
        <w:t>5 CONSIDERAÇÕES FINAIS</w:t>
      </w:r>
    </w:p>
    <w:p w14:paraId="63EDCB01" w14:textId="6293FD73" w:rsidR="22095562" w:rsidRDefault="1F07AD4D" w:rsidP="1F07AD4D">
      <w:pPr>
        <w:rPr>
          <w:rFonts w:ascii="Arial" w:eastAsia="Arial" w:hAnsi="Arial" w:cs="Arial"/>
          <w:b/>
          <w:bCs/>
          <w:sz w:val="24"/>
          <w:szCs w:val="24"/>
        </w:rPr>
      </w:pPr>
      <w:r w:rsidRPr="1F07AD4D">
        <w:rPr>
          <w:rFonts w:ascii="Arial" w:eastAsia="Arial" w:hAnsi="Arial" w:cs="Arial"/>
          <w:b/>
          <w:bCs/>
          <w:sz w:val="24"/>
          <w:szCs w:val="24"/>
        </w:rPr>
        <w:t>REFERÊNCIAS</w:t>
      </w:r>
    </w:p>
    <w:p w14:paraId="37438C2B" w14:textId="77777777" w:rsidR="00E8336B" w:rsidRDefault="00E8336B" w:rsidP="1F07AD4D">
      <w:pPr>
        <w:rPr>
          <w:rFonts w:ascii="Arial" w:eastAsia="Arial" w:hAnsi="Arial" w:cs="Arial"/>
          <w:b/>
          <w:bCs/>
          <w:sz w:val="24"/>
          <w:szCs w:val="24"/>
        </w:rPr>
      </w:pPr>
    </w:p>
    <w:p w14:paraId="05908111" w14:textId="77777777" w:rsidR="00E8336B" w:rsidRPr="009F7C5C" w:rsidRDefault="00E8336B" w:rsidP="00E8336B">
      <w:pPr>
        <w:spacing w:after="0" w:line="240" w:lineRule="auto"/>
        <w:rPr>
          <w:rFonts w:ascii="Times New Roman" w:hAnsi="Times New Roman" w:cs="Times New Roman"/>
          <w:color w:val="FF0000"/>
          <w:sz w:val="24"/>
          <w:szCs w:val="24"/>
        </w:rPr>
      </w:pPr>
      <w:r w:rsidRPr="009F7C5C">
        <w:rPr>
          <w:rFonts w:ascii="Times New Roman" w:hAnsi="Times New Roman" w:cs="Times New Roman"/>
          <w:color w:val="FF0000"/>
          <w:sz w:val="24"/>
          <w:szCs w:val="24"/>
        </w:rPr>
        <w:t>FUNDO MONETÁRIO INTERNACIONAL -2017</w:t>
      </w:r>
    </w:p>
    <w:p w14:paraId="13B427AB" w14:textId="77777777" w:rsidR="00E8336B" w:rsidRPr="00357FDD" w:rsidRDefault="00E8336B" w:rsidP="00E8336B">
      <w:pPr>
        <w:spacing w:after="0" w:line="240" w:lineRule="auto"/>
        <w:rPr>
          <w:rFonts w:ascii="Times New Roman" w:hAnsi="Times New Roman" w:cs="Times New Roman"/>
          <w:sz w:val="24"/>
          <w:szCs w:val="24"/>
        </w:rPr>
      </w:pPr>
    </w:p>
    <w:p w14:paraId="01629155" w14:textId="77777777" w:rsidR="00E8336B" w:rsidRDefault="00E8336B" w:rsidP="00E8336B">
      <w:pPr>
        <w:spacing w:after="0" w:line="240" w:lineRule="auto"/>
        <w:rPr>
          <w:rFonts w:ascii="Times New Roman" w:hAnsi="Times New Roman" w:cs="Times New Roman"/>
          <w:sz w:val="24"/>
          <w:szCs w:val="24"/>
        </w:rPr>
      </w:pPr>
      <w:r w:rsidRPr="00357FDD">
        <w:rPr>
          <w:rFonts w:ascii="Times New Roman" w:hAnsi="Times New Roman" w:cs="Times New Roman"/>
          <w:sz w:val="24"/>
          <w:szCs w:val="24"/>
        </w:rPr>
        <w:t xml:space="preserve">SILVA FILHO, Luís Abel da; MIYAMOTO, Bruno César Brito; SANTOS, José Márcio dos. Mercado de trabalho e diferenciais de rendimentos no emprego formal no Ceará no período de 200 a 2014. </w:t>
      </w:r>
      <w:r w:rsidRPr="00357FDD">
        <w:rPr>
          <w:rFonts w:ascii="Times New Roman" w:hAnsi="Times New Roman" w:cs="Times New Roman"/>
          <w:b/>
          <w:sz w:val="24"/>
          <w:szCs w:val="24"/>
        </w:rPr>
        <w:t>Revista de Economia e Negócios</w:t>
      </w:r>
      <w:r w:rsidRPr="00357FDD">
        <w:rPr>
          <w:rFonts w:ascii="Times New Roman" w:hAnsi="Times New Roman" w:cs="Times New Roman"/>
          <w:sz w:val="24"/>
          <w:szCs w:val="24"/>
        </w:rPr>
        <w:t>, Fortaleza, v. 48, n. 4, p. 25-44, out/dez, 2017.</w:t>
      </w:r>
    </w:p>
    <w:p w14:paraId="3D6E24EC" w14:textId="77777777" w:rsidR="00E8336B" w:rsidRPr="00357FDD" w:rsidRDefault="00E8336B" w:rsidP="00E8336B">
      <w:pPr>
        <w:spacing w:after="0" w:line="240" w:lineRule="auto"/>
        <w:rPr>
          <w:rFonts w:ascii="Times New Roman" w:hAnsi="Times New Roman" w:cs="Times New Roman"/>
          <w:sz w:val="24"/>
          <w:szCs w:val="24"/>
        </w:rPr>
      </w:pPr>
    </w:p>
    <w:p w14:paraId="458B50AB" w14:textId="77777777" w:rsidR="00E8336B" w:rsidRPr="009F7C5C" w:rsidRDefault="00E8336B" w:rsidP="00E8336B">
      <w:pPr>
        <w:spacing w:after="0" w:line="240" w:lineRule="auto"/>
        <w:rPr>
          <w:rFonts w:ascii="Times New Roman" w:hAnsi="Times New Roman" w:cs="Times New Roman"/>
          <w:color w:val="FF0000"/>
          <w:sz w:val="24"/>
          <w:szCs w:val="24"/>
        </w:rPr>
      </w:pPr>
      <w:r w:rsidRPr="009F7C5C">
        <w:rPr>
          <w:rFonts w:ascii="Times New Roman" w:hAnsi="Times New Roman" w:cs="Times New Roman"/>
          <w:color w:val="FF0000"/>
          <w:sz w:val="24"/>
          <w:szCs w:val="24"/>
        </w:rPr>
        <w:t>BARROS E MENDONÇA – 1993- 1996</w:t>
      </w:r>
    </w:p>
    <w:p w14:paraId="0CA29ABF" w14:textId="77777777" w:rsidR="00E8336B" w:rsidRPr="00357FDD" w:rsidRDefault="00E8336B" w:rsidP="00E8336B">
      <w:pPr>
        <w:spacing w:after="0" w:line="240" w:lineRule="auto"/>
        <w:rPr>
          <w:rFonts w:ascii="Times New Roman" w:hAnsi="Times New Roman" w:cs="Times New Roman"/>
          <w:sz w:val="24"/>
          <w:szCs w:val="24"/>
        </w:rPr>
      </w:pPr>
    </w:p>
    <w:p w14:paraId="55175712" w14:textId="77777777" w:rsidR="00E8336B" w:rsidRPr="00E8336B" w:rsidRDefault="00E8336B" w:rsidP="00E8336B">
      <w:pPr>
        <w:spacing w:after="0" w:line="240" w:lineRule="auto"/>
        <w:rPr>
          <w:rFonts w:ascii="Times New Roman" w:eastAsia="Arial" w:hAnsi="Times New Roman" w:cs="Times New Roman"/>
          <w:sz w:val="24"/>
          <w:szCs w:val="24"/>
          <w:lang w:val="en-US"/>
        </w:rPr>
      </w:pPr>
      <w:r w:rsidRPr="00E8336B">
        <w:rPr>
          <w:rFonts w:ascii="Times New Roman" w:eastAsia="Arial" w:hAnsi="Times New Roman" w:cs="Times New Roman"/>
          <w:sz w:val="24"/>
          <w:szCs w:val="24"/>
        </w:rPr>
        <w:t xml:space="preserve">BORJAS, George. </w:t>
      </w:r>
      <w:r w:rsidRPr="00357FDD">
        <w:rPr>
          <w:rFonts w:ascii="Times New Roman" w:eastAsia="Arial" w:hAnsi="Times New Roman" w:cs="Times New Roman"/>
          <w:sz w:val="24"/>
          <w:szCs w:val="24"/>
          <w:lang w:val="en-US"/>
        </w:rPr>
        <w:t xml:space="preserve">(1996). Labor Economics. </w:t>
      </w:r>
      <w:r w:rsidRPr="00E8336B">
        <w:rPr>
          <w:rFonts w:ascii="Times New Roman" w:eastAsia="Arial" w:hAnsi="Times New Roman" w:cs="Times New Roman"/>
          <w:sz w:val="24"/>
          <w:szCs w:val="24"/>
          <w:lang w:val="en-US"/>
        </w:rPr>
        <w:t xml:space="preserve">New York, </w:t>
      </w:r>
      <w:proofErr w:type="spellStart"/>
      <w:r w:rsidRPr="00E8336B">
        <w:rPr>
          <w:rFonts w:ascii="Times New Roman" w:eastAsia="Arial" w:hAnsi="Times New Roman" w:cs="Times New Roman"/>
          <w:sz w:val="24"/>
          <w:szCs w:val="24"/>
          <w:lang w:val="en-US"/>
        </w:rPr>
        <w:t>MacGraw</w:t>
      </w:r>
      <w:proofErr w:type="spellEnd"/>
      <w:r w:rsidRPr="00E8336B">
        <w:rPr>
          <w:rFonts w:ascii="Times New Roman" w:eastAsia="Arial" w:hAnsi="Times New Roman" w:cs="Times New Roman"/>
          <w:sz w:val="24"/>
          <w:szCs w:val="24"/>
          <w:lang w:val="en-US"/>
        </w:rPr>
        <w:t>-Hill.</w:t>
      </w:r>
    </w:p>
    <w:p w14:paraId="7B742487" w14:textId="77777777" w:rsidR="00E8336B" w:rsidRPr="00E8336B" w:rsidRDefault="00E8336B" w:rsidP="00E8336B">
      <w:pPr>
        <w:spacing w:after="0" w:line="240" w:lineRule="auto"/>
        <w:rPr>
          <w:rFonts w:ascii="Times New Roman" w:hAnsi="Times New Roman" w:cs="Times New Roman"/>
          <w:sz w:val="24"/>
          <w:szCs w:val="24"/>
          <w:lang w:val="en-US"/>
        </w:rPr>
      </w:pPr>
    </w:p>
    <w:p w14:paraId="31AA4AD3" w14:textId="77777777" w:rsidR="00E8336B" w:rsidRDefault="00E8336B" w:rsidP="00E8336B">
      <w:pPr>
        <w:spacing w:after="0" w:line="240" w:lineRule="auto"/>
        <w:rPr>
          <w:rFonts w:ascii="Times New Roman" w:eastAsia="Arial" w:hAnsi="Times New Roman" w:cs="Times New Roman"/>
          <w:sz w:val="24"/>
          <w:szCs w:val="24"/>
        </w:rPr>
      </w:pPr>
      <w:r w:rsidRPr="00357FDD">
        <w:rPr>
          <w:rFonts w:ascii="Times New Roman" w:eastAsia="Arial" w:hAnsi="Times New Roman" w:cs="Times New Roman"/>
          <w:sz w:val="24"/>
          <w:szCs w:val="24"/>
        </w:rPr>
        <w:t>EHRENBERG, R.G.; SMITH, R.S. A moderna economia do trabalho: Teoria e política econômica. São Paulo: Makron Books do Brasil, 2000. p.454-469.</w:t>
      </w:r>
    </w:p>
    <w:p w14:paraId="6D055D30" w14:textId="77777777" w:rsidR="00E8336B" w:rsidRPr="00357FDD" w:rsidRDefault="00E8336B" w:rsidP="00E8336B">
      <w:pPr>
        <w:spacing w:after="0" w:line="240" w:lineRule="auto"/>
        <w:rPr>
          <w:rFonts w:ascii="Times New Roman" w:hAnsi="Times New Roman" w:cs="Times New Roman"/>
          <w:sz w:val="24"/>
          <w:szCs w:val="24"/>
        </w:rPr>
      </w:pPr>
    </w:p>
    <w:p w14:paraId="01D4E0CB" w14:textId="77777777" w:rsidR="00E8336B" w:rsidRDefault="00E8336B" w:rsidP="00E8336B">
      <w:pPr>
        <w:spacing w:after="0" w:line="240" w:lineRule="auto"/>
        <w:rPr>
          <w:rFonts w:ascii="Times New Roman" w:eastAsia="Arial" w:hAnsi="Times New Roman" w:cs="Times New Roman"/>
          <w:sz w:val="24"/>
          <w:szCs w:val="24"/>
          <w:lang w:val="en-US"/>
        </w:rPr>
      </w:pPr>
      <w:r w:rsidRPr="00D940D6">
        <w:rPr>
          <w:rFonts w:ascii="Times New Roman" w:eastAsia="Arial" w:hAnsi="Times New Roman" w:cs="Times New Roman"/>
          <w:sz w:val="24"/>
          <w:szCs w:val="24"/>
        </w:rPr>
        <w:t xml:space="preserve">EHREMBERG, R.G. e SMITH, R.S. (2000). </w:t>
      </w:r>
      <w:r w:rsidRPr="00357FDD">
        <w:rPr>
          <w:rFonts w:ascii="Times New Roman" w:eastAsia="Arial" w:hAnsi="Times New Roman" w:cs="Times New Roman"/>
          <w:sz w:val="24"/>
          <w:szCs w:val="24"/>
        </w:rPr>
        <w:t xml:space="preserve">Moderna Economia do Trabalho: Teoria e Política Pública. </w:t>
      </w:r>
      <w:r w:rsidRPr="00357FDD">
        <w:rPr>
          <w:rFonts w:ascii="Times New Roman" w:eastAsia="Arial" w:hAnsi="Times New Roman" w:cs="Times New Roman"/>
          <w:sz w:val="24"/>
          <w:szCs w:val="24"/>
          <w:lang w:val="en-US"/>
        </w:rPr>
        <w:t xml:space="preserve">Rio de Janeiro, </w:t>
      </w:r>
      <w:proofErr w:type="spellStart"/>
      <w:r w:rsidRPr="00357FDD">
        <w:rPr>
          <w:rFonts w:ascii="Times New Roman" w:eastAsia="Arial" w:hAnsi="Times New Roman" w:cs="Times New Roman"/>
          <w:sz w:val="24"/>
          <w:szCs w:val="24"/>
          <w:lang w:val="en-US"/>
        </w:rPr>
        <w:t>Makron</w:t>
      </w:r>
      <w:proofErr w:type="spellEnd"/>
      <w:r w:rsidRPr="00357FDD">
        <w:rPr>
          <w:rFonts w:ascii="Times New Roman" w:eastAsia="Arial" w:hAnsi="Times New Roman" w:cs="Times New Roman"/>
          <w:sz w:val="24"/>
          <w:szCs w:val="24"/>
          <w:lang w:val="en-US"/>
        </w:rPr>
        <w:t>.</w:t>
      </w:r>
    </w:p>
    <w:p w14:paraId="5EC08404" w14:textId="77777777" w:rsidR="00E8336B" w:rsidRPr="00357FDD" w:rsidRDefault="00E8336B" w:rsidP="00E8336B">
      <w:pPr>
        <w:spacing w:after="0" w:line="240" w:lineRule="auto"/>
        <w:rPr>
          <w:rFonts w:ascii="Times New Roman" w:hAnsi="Times New Roman" w:cs="Times New Roman"/>
          <w:sz w:val="24"/>
          <w:szCs w:val="24"/>
          <w:lang w:val="en-US"/>
        </w:rPr>
      </w:pPr>
    </w:p>
    <w:p w14:paraId="1A95771B" w14:textId="77777777" w:rsidR="00E8336B" w:rsidRDefault="00E8336B" w:rsidP="00E8336B">
      <w:pPr>
        <w:spacing w:after="0" w:line="240" w:lineRule="auto"/>
        <w:rPr>
          <w:rFonts w:ascii="Times New Roman" w:eastAsia="Arial" w:hAnsi="Times New Roman" w:cs="Times New Roman"/>
          <w:sz w:val="24"/>
          <w:szCs w:val="24"/>
          <w:lang w:val="en-US"/>
        </w:rPr>
      </w:pPr>
      <w:r w:rsidRPr="00357FDD">
        <w:rPr>
          <w:rFonts w:ascii="Times New Roman" w:eastAsia="Arial" w:hAnsi="Times New Roman" w:cs="Times New Roman"/>
          <w:sz w:val="24"/>
          <w:szCs w:val="24"/>
          <w:lang w:val="en-US"/>
        </w:rPr>
        <w:t>BECKER, G. (1957). The Economics of Discrimination. The University of Chicago Press.</w:t>
      </w:r>
    </w:p>
    <w:p w14:paraId="730715A1" w14:textId="77777777" w:rsidR="00E8336B" w:rsidRPr="00357FDD" w:rsidRDefault="00E8336B" w:rsidP="00E8336B">
      <w:pPr>
        <w:spacing w:after="0" w:line="240" w:lineRule="auto"/>
        <w:rPr>
          <w:rFonts w:ascii="Times New Roman" w:hAnsi="Times New Roman" w:cs="Times New Roman"/>
          <w:sz w:val="24"/>
          <w:szCs w:val="24"/>
          <w:lang w:val="en-US"/>
        </w:rPr>
      </w:pPr>
    </w:p>
    <w:p w14:paraId="71D5C4FC" w14:textId="77777777" w:rsidR="00E8336B" w:rsidRDefault="00E8336B" w:rsidP="00E8336B">
      <w:pPr>
        <w:spacing w:after="0" w:line="240" w:lineRule="auto"/>
        <w:rPr>
          <w:rFonts w:ascii="Times New Roman" w:eastAsia="Arial" w:hAnsi="Times New Roman" w:cs="Times New Roman"/>
          <w:sz w:val="24"/>
          <w:szCs w:val="24"/>
          <w:lang w:val="en-US"/>
        </w:rPr>
      </w:pPr>
      <w:r w:rsidRPr="00357FDD">
        <w:rPr>
          <w:rFonts w:ascii="Times New Roman" w:eastAsia="Arial" w:hAnsi="Times New Roman" w:cs="Times New Roman"/>
          <w:sz w:val="24"/>
          <w:szCs w:val="24"/>
          <w:lang w:val="en-US"/>
        </w:rPr>
        <w:t>PHELPS, E. S. (1972). The statistical theory of racism and sexism. American Economic Review, LXII: 659–661.</w:t>
      </w:r>
    </w:p>
    <w:p w14:paraId="30F2EF5C" w14:textId="77777777" w:rsidR="00E8336B" w:rsidRPr="00357FDD" w:rsidRDefault="00E8336B" w:rsidP="00E8336B">
      <w:pPr>
        <w:spacing w:after="0" w:line="240" w:lineRule="auto"/>
        <w:rPr>
          <w:rFonts w:ascii="Times New Roman" w:hAnsi="Times New Roman" w:cs="Times New Roman"/>
          <w:sz w:val="24"/>
          <w:szCs w:val="24"/>
          <w:lang w:val="en-US"/>
        </w:rPr>
      </w:pPr>
    </w:p>
    <w:p w14:paraId="72D560FA" w14:textId="77777777" w:rsidR="00E8336B" w:rsidRDefault="00E8336B" w:rsidP="00E8336B">
      <w:pPr>
        <w:spacing w:after="0" w:line="240" w:lineRule="auto"/>
        <w:rPr>
          <w:rFonts w:ascii="Times New Roman" w:eastAsia="Arial" w:hAnsi="Times New Roman" w:cs="Times New Roman"/>
          <w:sz w:val="24"/>
          <w:szCs w:val="24"/>
          <w:lang w:val="en-US"/>
        </w:rPr>
      </w:pPr>
      <w:r w:rsidRPr="00357FDD">
        <w:rPr>
          <w:rFonts w:ascii="Times New Roman" w:eastAsia="Arial" w:hAnsi="Times New Roman" w:cs="Times New Roman"/>
          <w:sz w:val="24"/>
          <w:szCs w:val="24"/>
          <w:lang w:val="en-US"/>
        </w:rPr>
        <w:t>AIGNER, D. J. &amp; CAIN, G. G. (1977). Statistical theories of discrimination in labor market. Industrial and Labor Relations Review, 30:175–187.</w:t>
      </w:r>
    </w:p>
    <w:p w14:paraId="7EF65EBD" w14:textId="77777777" w:rsidR="00E8336B" w:rsidRPr="00357FDD" w:rsidRDefault="00E8336B" w:rsidP="00E8336B">
      <w:pPr>
        <w:spacing w:after="0" w:line="240" w:lineRule="auto"/>
        <w:rPr>
          <w:rFonts w:ascii="Times New Roman" w:hAnsi="Times New Roman" w:cs="Times New Roman"/>
          <w:sz w:val="24"/>
          <w:szCs w:val="24"/>
          <w:lang w:val="en-US"/>
        </w:rPr>
      </w:pPr>
    </w:p>
    <w:p w14:paraId="4C9D65AE" w14:textId="77777777" w:rsidR="00E8336B" w:rsidRDefault="00E8336B" w:rsidP="00E8336B">
      <w:pPr>
        <w:spacing w:after="0" w:line="240" w:lineRule="auto"/>
        <w:rPr>
          <w:rFonts w:ascii="Times New Roman" w:eastAsia="Arial" w:hAnsi="Times New Roman" w:cs="Times New Roman"/>
          <w:sz w:val="24"/>
          <w:szCs w:val="24"/>
          <w:lang w:val="en-US"/>
        </w:rPr>
      </w:pPr>
      <w:r w:rsidRPr="00357FDD">
        <w:rPr>
          <w:rFonts w:ascii="Times New Roman" w:eastAsia="Arial" w:hAnsi="Times New Roman" w:cs="Times New Roman"/>
          <w:sz w:val="24"/>
          <w:szCs w:val="24"/>
          <w:lang w:val="en-US"/>
        </w:rPr>
        <w:t>SPENCE, M. (1973). Job market signaling. Quarterly Journal of Economics, LXXXVII: 355–74.</w:t>
      </w:r>
    </w:p>
    <w:p w14:paraId="4D52A924" w14:textId="77777777" w:rsidR="00E8336B" w:rsidRPr="00357FDD" w:rsidRDefault="00E8336B" w:rsidP="00E8336B">
      <w:pPr>
        <w:spacing w:after="0" w:line="240" w:lineRule="auto"/>
        <w:rPr>
          <w:rFonts w:ascii="Times New Roman" w:hAnsi="Times New Roman" w:cs="Times New Roman"/>
          <w:sz w:val="24"/>
          <w:szCs w:val="24"/>
          <w:lang w:val="en-US"/>
        </w:rPr>
      </w:pPr>
    </w:p>
    <w:p w14:paraId="772F9740" w14:textId="77777777" w:rsidR="00E8336B" w:rsidRDefault="00E8336B" w:rsidP="00E8336B">
      <w:pPr>
        <w:spacing w:after="0" w:line="240" w:lineRule="auto"/>
        <w:rPr>
          <w:rFonts w:ascii="Times New Roman" w:eastAsia="Arial" w:hAnsi="Times New Roman" w:cs="Times New Roman"/>
          <w:sz w:val="24"/>
          <w:szCs w:val="24"/>
          <w:lang w:val="en-US"/>
        </w:rPr>
      </w:pPr>
      <w:r w:rsidRPr="00357FDD">
        <w:rPr>
          <w:rFonts w:ascii="Times New Roman" w:eastAsia="Arial" w:hAnsi="Times New Roman" w:cs="Times New Roman"/>
          <w:sz w:val="24"/>
          <w:szCs w:val="24"/>
          <w:lang w:val="en-US"/>
        </w:rPr>
        <w:t xml:space="preserve">PIORE, Michael (1970). Jobs and Training: Manpower Policy, </w:t>
      </w:r>
      <w:proofErr w:type="gramStart"/>
      <w:r w:rsidRPr="00357FDD">
        <w:rPr>
          <w:rFonts w:ascii="Times New Roman" w:eastAsia="Arial" w:hAnsi="Times New Roman" w:cs="Times New Roman"/>
          <w:sz w:val="24"/>
          <w:szCs w:val="24"/>
          <w:lang w:val="en-US"/>
        </w:rPr>
        <w:t>The</w:t>
      </w:r>
      <w:proofErr w:type="gramEnd"/>
      <w:r w:rsidRPr="00357FDD">
        <w:rPr>
          <w:rFonts w:ascii="Times New Roman" w:eastAsia="Arial" w:hAnsi="Times New Roman" w:cs="Times New Roman"/>
          <w:sz w:val="24"/>
          <w:szCs w:val="24"/>
          <w:lang w:val="en-US"/>
        </w:rPr>
        <w:t xml:space="preserve"> State and the Poor, ed. S. Beer and R. Barring. Winthrop Press.</w:t>
      </w:r>
    </w:p>
    <w:p w14:paraId="77CA75E5" w14:textId="77777777" w:rsidR="00E8336B" w:rsidRPr="00357FDD" w:rsidRDefault="00E8336B" w:rsidP="00E8336B">
      <w:pPr>
        <w:spacing w:after="0" w:line="240" w:lineRule="auto"/>
        <w:rPr>
          <w:rFonts w:ascii="Times New Roman" w:hAnsi="Times New Roman" w:cs="Times New Roman"/>
          <w:sz w:val="24"/>
          <w:szCs w:val="24"/>
          <w:lang w:val="en-US"/>
        </w:rPr>
      </w:pPr>
    </w:p>
    <w:p w14:paraId="2D19D7F1" w14:textId="77777777" w:rsidR="00E8336B" w:rsidRPr="00E8336B" w:rsidRDefault="00E8336B" w:rsidP="00E8336B">
      <w:pPr>
        <w:spacing w:after="0" w:line="240" w:lineRule="auto"/>
        <w:rPr>
          <w:rFonts w:ascii="Times New Roman" w:eastAsia="Arial" w:hAnsi="Times New Roman" w:cs="Times New Roman"/>
          <w:sz w:val="24"/>
          <w:szCs w:val="24"/>
        </w:rPr>
      </w:pPr>
      <w:r w:rsidRPr="00357FDD">
        <w:rPr>
          <w:rFonts w:ascii="Times New Roman" w:eastAsia="Arial" w:hAnsi="Times New Roman" w:cs="Times New Roman"/>
          <w:sz w:val="24"/>
          <w:szCs w:val="24"/>
          <w:lang w:val="en-US"/>
        </w:rPr>
        <w:t xml:space="preserve">BULOW, Jeremy and SUMMERS, Lawrence (1986). A Theory of Dual Labor Markets with Application to Industrial Policy, Discrimination and Keynesian Unemployment. </w:t>
      </w:r>
      <w:proofErr w:type="spellStart"/>
      <w:r w:rsidRPr="00E8336B">
        <w:rPr>
          <w:rFonts w:ascii="Times New Roman" w:eastAsia="Arial" w:hAnsi="Times New Roman" w:cs="Times New Roman"/>
          <w:sz w:val="24"/>
          <w:szCs w:val="24"/>
        </w:rPr>
        <w:t>Journal</w:t>
      </w:r>
      <w:proofErr w:type="spellEnd"/>
      <w:r w:rsidRPr="00E8336B">
        <w:rPr>
          <w:rFonts w:ascii="Times New Roman" w:eastAsia="Arial" w:hAnsi="Times New Roman" w:cs="Times New Roman"/>
          <w:sz w:val="24"/>
          <w:szCs w:val="24"/>
        </w:rPr>
        <w:t xml:space="preserve"> </w:t>
      </w:r>
      <w:proofErr w:type="spellStart"/>
      <w:r w:rsidRPr="00E8336B">
        <w:rPr>
          <w:rFonts w:ascii="Times New Roman" w:eastAsia="Arial" w:hAnsi="Times New Roman" w:cs="Times New Roman"/>
          <w:sz w:val="24"/>
          <w:szCs w:val="24"/>
        </w:rPr>
        <w:t>of</w:t>
      </w:r>
      <w:proofErr w:type="spellEnd"/>
      <w:r w:rsidRPr="00E8336B">
        <w:rPr>
          <w:rFonts w:ascii="Times New Roman" w:eastAsia="Arial" w:hAnsi="Times New Roman" w:cs="Times New Roman"/>
          <w:sz w:val="24"/>
          <w:szCs w:val="24"/>
        </w:rPr>
        <w:t xml:space="preserve"> Labor </w:t>
      </w:r>
      <w:proofErr w:type="spellStart"/>
      <w:r w:rsidRPr="00E8336B">
        <w:rPr>
          <w:rFonts w:ascii="Times New Roman" w:eastAsia="Arial" w:hAnsi="Times New Roman" w:cs="Times New Roman"/>
          <w:sz w:val="24"/>
          <w:szCs w:val="24"/>
        </w:rPr>
        <w:t>Economics</w:t>
      </w:r>
      <w:proofErr w:type="spellEnd"/>
      <w:r w:rsidRPr="00E8336B">
        <w:rPr>
          <w:rFonts w:ascii="Times New Roman" w:eastAsia="Arial" w:hAnsi="Times New Roman" w:cs="Times New Roman"/>
          <w:sz w:val="24"/>
          <w:szCs w:val="24"/>
        </w:rPr>
        <w:t>, 4, pp. 376-414.</w:t>
      </w:r>
    </w:p>
    <w:p w14:paraId="537DF4DE" w14:textId="77777777" w:rsidR="00E8336B" w:rsidRPr="00E8336B" w:rsidRDefault="00E8336B" w:rsidP="00E8336B">
      <w:pPr>
        <w:spacing w:after="0" w:line="240" w:lineRule="auto"/>
        <w:rPr>
          <w:rFonts w:ascii="Times New Roman" w:hAnsi="Times New Roman" w:cs="Times New Roman"/>
          <w:sz w:val="24"/>
          <w:szCs w:val="24"/>
        </w:rPr>
      </w:pPr>
    </w:p>
    <w:p w14:paraId="2227CAF5" w14:textId="77777777" w:rsidR="00E8336B" w:rsidRPr="00357FDD" w:rsidRDefault="00E8336B" w:rsidP="00E8336B">
      <w:pPr>
        <w:spacing w:after="0" w:line="240" w:lineRule="auto"/>
        <w:rPr>
          <w:rFonts w:ascii="Times New Roman" w:hAnsi="Times New Roman" w:cs="Times New Roman"/>
          <w:sz w:val="24"/>
          <w:szCs w:val="24"/>
        </w:rPr>
      </w:pPr>
      <w:r>
        <w:rPr>
          <w:rFonts w:ascii="Times New Roman" w:hAnsi="Times New Roman" w:cs="Times New Roman"/>
          <w:sz w:val="24"/>
          <w:szCs w:val="24"/>
        </w:rPr>
        <w:t>MELO, Luzia Maria Cavalcante de. D</w:t>
      </w:r>
      <w:r w:rsidRPr="00EE55EF">
        <w:rPr>
          <w:rFonts w:ascii="Times New Roman" w:hAnsi="Times New Roman" w:cs="Times New Roman"/>
          <w:sz w:val="24"/>
          <w:szCs w:val="24"/>
        </w:rPr>
        <w:t>eterminantes dos diferenciais de rendimentos do trabalho: uma abordagem hierárquica para os estados brasileiros</w:t>
      </w:r>
      <w:r>
        <w:rPr>
          <w:rFonts w:ascii="Times New Roman" w:hAnsi="Times New Roman" w:cs="Times New Roman"/>
          <w:sz w:val="24"/>
          <w:szCs w:val="24"/>
        </w:rPr>
        <w:t xml:space="preserve">. </w:t>
      </w:r>
      <w:r w:rsidRPr="00EE55EF">
        <w:rPr>
          <w:rFonts w:ascii="Times New Roman" w:hAnsi="Times New Roman" w:cs="Times New Roman"/>
          <w:b/>
          <w:sz w:val="24"/>
          <w:szCs w:val="24"/>
        </w:rPr>
        <w:t>Associação Brasileira de Estudos Regionais e Urbanos</w:t>
      </w:r>
      <w:r>
        <w:rPr>
          <w:rFonts w:ascii="Times New Roman" w:hAnsi="Times New Roman" w:cs="Times New Roman"/>
          <w:sz w:val="24"/>
          <w:szCs w:val="24"/>
        </w:rPr>
        <w:t>, p. 68-84, 2009.</w:t>
      </w:r>
    </w:p>
    <w:p w14:paraId="6BA1D877" w14:textId="77777777" w:rsidR="00E8336B" w:rsidRDefault="00E8336B" w:rsidP="00E8336B">
      <w:pPr>
        <w:spacing w:after="0" w:line="240" w:lineRule="auto"/>
        <w:rPr>
          <w:rFonts w:ascii="Times New Roman" w:hAnsi="Times New Roman" w:cs="Times New Roman"/>
          <w:sz w:val="24"/>
          <w:szCs w:val="24"/>
        </w:rPr>
      </w:pPr>
    </w:p>
    <w:p w14:paraId="3AFA47AA" w14:textId="77777777" w:rsidR="00E8336B" w:rsidRDefault="00E8336B" w:rsidP="00E8336B">
      <w:pPr>
        <w:spacing w:after="0" w:line="240" w:lineRule="auto"/>
        <w:rPr>
          <w:rFonts w:ascii="Times New Roman" w:eastAsia="Arial" w:hAnsi="Times New Roman" w:cs="Times New Roman"/>
          <w:sz w:val="24"/>
          <w:szCs w:val="24"/>
          <w:lang w:val="en-US"/>
        </w:rPr>
      </w:pPr>
      <w:r w:rsidRPr="00E8336B">
        <w:rPr>
          <w:rFonts w:ascii="Times New Roman" w:eastAsia="Arial" w:hAnsi="Times New Roman" w:cs="Times New Roman"/>
          <w:sz w:val="24"/>
          <w:szCs w:val="24"/>
        </w:rPr>
        <w:t xml:space="preserve">MOLHO, I. 1992. </w:t>
      </w:r>
      <w:r w:rsidRPr="00357FDD">
        <w:rPr>
          <w:rFonts w:ascii="Times New Roman" w:eastAsia="Arial" w:hAnsi="Times New Roman" w:cs="Times New Roman"/>
          <w:sz w:val="24"/>
          <w:szCs w:val="24"/>
          <w:lang w:val="en-US"/>
        </w:rPr>
        <w:t xml:space="preserve">“Local Pay Determination.” Journal of Economic Surveys. v. 6, n. </w:t>
      </w:r>
      <w:proofErr w:type="gramStart"/>
      <w:r w:rsidRPr="00357FDD">
        <w:rPr>
          <w:rFonts w:ascii="Times New Roman" w:eastAsia="Arial" w:hAnsi="Times New Roman" w:cs="Times New Roman"/>
          <w:sz w:val="24"/>
          <w:szCs w:val="24"/>
          <w:lang w:val="en-US"/>
        </w:rPr>
        <w:t>2</w:t>
      </w:r>
      <w:proofErr w:type="gramEnd"/>
    </w:p>
    <w:p w14:paraId="2E9C171B" w14:textId="77777777" w:rsidR="00E8336B" w:rsidRPr="00357FDD" w:rsidRDefault="00E8336B" w:rsidP="00E8336B">
      <w:pPr>
        <w:spacing w:after="0" w:line="240" w:lineRule="auto"/>
        <w:rPr>
          <w:rFonts w:ascii="Times New Roman" w:hAnsi="Times New Roman" w:cs="Times New Roman"/>
          <w:sz w:val="24"/>
          <w:szCs w:val="24"/>
          <w:lang w:val="en-US"/>
        </w:rPr>
      </w:pPr>
    </w:p>
    <w:p w14:paraId="352F3230" w14:textId="77777777" w:rsidR="00E8336B" w:rsidRDefault="00E8336B" w:rsidP="00E8336B">
      <w:pPr>
        <w:spacing w:after="0" w:line="240" w:lineRule="auto"/>
        <w:rPr>
          <w:rFonts w:ascii="Times New Roman" w:eastAsia="Arial" w:hAnsi="Times New Roman" w:cs="Times New Roman"/>
          <w:sz w:val="24"/>
          <w:szCs w:val="24"/>
          <w:lang w:val="en-US"/>
        </w:rPr>
      </w:pPr>
      <w:r w:rsidRPr="00D27725">
        <w:rPr>
          <w:rFonts w:ascii="Times New Roman" w:eastAsia="Arial" w:hAnsi="Times New Roman" w:cs="Times New Roman"/>
          <w:sz w:val="24"/>
          <w:szCs w:val="24"/>
          <w:lang w:val="en-US"/>
        </w:rPr>
        <w:t>COMBES</w:t>
      </w:r>
      <w:r w:rsidRPr="00357FDD">
        <w:rPr>
          <w:rFonts w:ascii="Times New Roman" w:eastAsia="Arial" w:hAnsi="Times New Roman" w:cs="Times New Roman"/>
          <w:sz w:val="24"/>
          <w:szCs w:val="24"/>
          <w:lang w:val="en-US"/>
        </w:rPr>
        <w:t>, P-P.; DURANTON, G.; GOBILLON, L. 2004. “Spatial wage disparities: sorting matters!” Discussion paper. n. 4240. London. Centre for Economic Policy Re- search (CEPR).</w:t>
      </w:r>
    </w:p>
    <w:p w14:paraId="6EA52AEF" w14:textId="77777777" w:rsidR="00E8336B" w:rsidRPr="00357FDD" w:rsidRDefault="00E8336B" w:rsidP="00E8336B">
      <w:pPr>
        <w:spacing w:after="0" w:line="240" w:lineRule="auto"/>
        <w:rPr>
          <w:rFonts w:ascii="Times New Roman" w:hAnsi="Times New Roman" w:cs="Times New Roman"/>
          <w:sz w:val="24"/>
          <w:szCs w:val="24"/>
          <w:lang w:val="en-US"/>
        </w:rPr>
      </w:pPr>
    </w:p>
    <w:p w14:paraId="516D0850" w14:textId="77777777" w:rsidR="00E8336B" w:rsidRDefault="00E8336B" w:rsidP="00E8336B">
      <w:pPr>
        <w:spacing w:after="0" w:line="240" w:lineRule="auto"/>
        <w:rPr>
          <w:rFonts w:ascii="Times New Roman" w:eastAsia="Arial" w:hAnsi="Times New Roman" w:cs="Times New Roman"/>
          <w:sz w:val="24"/>
          <w:szCs w:val="24"/>
        </w:rPr>
      </w:pPr>
      <w:r w:rsidRPr="00357FDD">
        <w:rPr>
          <w:rFonts w:ascii="Times New Roman" w:eastAsia="Arial" w:hAnsi="Times New Roman" w:cs="Times New Roman"/>
          <w:sz w:val="24"/>
          <w:szCs w:val="24"/>
        </w:rPr>
        <w:t xml:space="preserve">NOGUEIRA, J.; MARINHO, E. Discriminação salarial por raça e gênero no mercado de trabalho das regiões Nordeste e Sudeste. In: ENCONTRO NACIONAL DE ECONOMIA, </w:t>
      </w:r>
      <w:proofErr w:type="gramStart"/>
      <w:r w:rsidRPr="00357FDD">
        <w:rPr>
          <w:rFonts w:ascii="Times New Roman" w:eastAsia="Arial" w:hAnsi="Times New Roman" w:cs="Times New Roman"/>
          <w:sz w:val="24"/>
          <w:szCs w:val="24"/>
        </w:rPr>
        <w:t>34.,</w:t>
      </w:r>
      <w:proofErr w:type="gramEnd"/>
      <w:r w:rsidRPr="00357FDD">
        <w:rPr>
          <w:rFonts w:ascii="Times New Roman" w:eastAsia="Arial" w:hAnsi="Times New Roman" w:cs="Times New Roman"/>
          <w:sz w:val="24"/>
          <w:szCs w:val="24"/>
        </w:rPr>
        <w:t xml:space="preserve"> 2006, Salvador, </w:t>
      </w:r>
      <w:r w:rsidRPr="00CE6E10">
        <w:rPr>
          <w:rFonts w:ascii="Times New Roman" w:eastAsia="Arial" w:hAnsi="Times New Roman" w:cs="Times New Roman"/>
          <w:b/>
          <w:sz w:val="24"/>
          <w:szCs w:val="24"/>
        </w:rPr>
        <w:t>Anais[...].</w:t>
      </w:r>
      <w:r w:rsidRPr="00357FDD">
        <w:rPr>
          <w:rFonts w:ascii="Times New Roman" w:eastAsia="Arial" w:hAnsi="Times New Roman" w:cs="Times New Roman"/>
          <w:sz w:val="24"/>
          <w:szCs w:val="24"/>
        </w:rPr>
        <w:t xml:space="preserve"> Salvador: ANPEC, p. 19.</w:t>
      </w:r>
    </w:p>
    <w:p w14:paraId="5EE4B7B5" w14:textId="77777777" w:rsidR="00E8336B" w:rsidRPr="00357FDD" w:rsidRDefault="00E8336B" w:rsidP="00E8336B">
      <w:pPr>
        <w:spacing w:after="0" w:line="240" w:lineRule="auto"/>
        <w:rPr>
          <w:rFonts w:ascii="Times New Roman" w:hAnsi="Times New Roman" w:cs="Times New Roman"/>
          <w:sz w:val="24"/>
          <w:szCs w:val="24"/>
        </w:rPr>
      </w:pPr>
    </w:p>
    <w:p w14:paraId="07688202" w14:textId="77777777" w:rsidR="00E8336B" w:rsidRDefault="00E8336B" w:rsidP="00E8336B">
      <w:pPr>
        <w:spacing w:after="0" w:line="240" w:lineRule="auto"/>
        <w:rPr>
          <w:rFonts w:ascii="Times New Roman" w:eastAsia="Arial" w:hAnsi="Times New Roman" w:cs="Times New Roman"/>
          <w:sz w:val="24"/>
          <w:szCs w:val="24"/>
          <w:lang w:val="en-US"/>
        </w:rPr>
      </w:pPr>
      <w:r w:rsidRPr="00357FDD">
        <w:rPr>
          <w:rFonts w:ascii="Times New Roman" w:eastAsia="Arial" w:hAnsi="Times New Roman" w:cs="Times New Roman"/>
          <w:sz w:val="24"/>
          <w:szCs w:val="24"/>
          <w:lang w:val="en-US"/>
        </w:rPr>
        <w:t>SCHULTZ, Theodore W. Investment in Human Capital. The American Economic Review, 51, 1, p.1-17, 1961.</w:t>
      </w:r>
    </w:p>
    <w:p w14:paraId="4F5045BE" w14:textId="77777777" w:rsidR="00E8336B" w:rsidRPr="00357FDD" w:rsidRDefault="00E8336B" w:rsidP="00E8336B">
      <w:pPr>
        <w:spacing w:after="0" w:line="240" w:lineRule="auto"/>
        <w:rPr>
          <w:rFonts w:ascii="Times New Roman" w:hAnsi="Times New Roman" w:cs="Times New Roman"/>
          <w:sz w:val="24"/>
          <w:szCs w:val="24"/>
          <w:lang w:val="en-US"/>
        </w:rPr>
      </w:pPr>
    </w:p>
    <w:p w14:paraId="55905AA5" w14:textId="77777777" w:rsidR="00E8336B" w:rsidRDefault="00E8336B" w:rsidP="00E8336B">
      <w:pPr>
        <w:spacing w:after="0" w:line="240" w:lineRule="auto"/>
        <w:rPr>
          <w:rFonts w:ascii="Times New Roman" w:eastAsia="Arial" w:hAnsi="Times New Roman" w:cs="Times New Roman"/>
          <w:sz w:val="24"/>
          <w:szCs w:val="24"/>
          <w:lang w:val="en-US"/>
        </w:rPr>
      </w:pPr>
      <w:r w:rsidRPr="00357FDD">
        <w:rPr>
          <w:rFonts w:ascii="Times New Roman" w:eastAsia="Arial" w:hAnsi="Times New Roman" w:cs="Times New Roman"/>
          <w:sz w:val="24"/>
          <w:szCs w:val="24"/>
          <w:lang w:val="en-US"/>
        </w:rPr>
        <w:t>SCHULTZ, Theodore W. Reflections on Investment in Man. The Journal of Political Economy, 70, 5, 1-8, 1962.</w:t>
      </w:r>
    </w:p>
    <w:p w14:paraId="1DF256DE" w14:textId="77777777" w:rsidR="00E8336B" w:rsidRPr="00357FDD" w:rsidRDefault="00E8336B" w:rsidP="00E8336B">
      <w:pPr>
        <w:spacing w:after="0" w:line="240" w:lineRule="auto"/>
        <w:rPr>
          <w:rFonts w:ascii="Times New Roman" w:hAnsi="Times New Roman" w:cs="Times New Roman"/>
          <w:sz w:val="24"/>
          <w:szCs w:val="24"/>
          <w:lang w:val="en-US"/>
        </w:rPr>
      </w:pPr>
    </w:p>
    <w:p w14:paraId="74FB3DD7" w14:textId="77777777" w:rsidR="00E8336B" w:rsidRDefault="00E8336B" w:rsidP="00E8336B">
      <w:pPr>
        <w:spacing w:after="0" w:line="240" w:lineRule="auto"/>
        <w:rPr>
          <w:rFonts w:ascii="Times New Roman" w:eastAsia="Arial" w:hAnsi="Times New Roman" w:cs="Times New Roman"/>
          <w:sz w:val="24"/>
          <w:szCs w:val="24"/>
          <w:lang w:val="en-US"/>
        </w:rPr>
      </w:pPr>
      <w:r w:rsidRPr="00357FDD">
        <w:rPr>
          <w:rFonts w:ascii="Times New Roman" w:eastAsia="Arial" w:hAnsi="Times New Roman" w:cs="Times New Roman"/>
          <w:sz w:val="24"/>
          <w:szCs w:val="24"/>
          <w:lang w:val="en-US"/>
        </w:rPr>
        <w:t xml:space="preserve">SCHULTZ, Theodore W. The Economic Value of Education. New </w:t>
      </w:r>
      <w:proofErr w:type="spellStart"/>
      <w:proofErr w:type="gramStart"/>
      <w:r w:rsidRPr="00357FDD">
        <w:rPr>
          <w:rFonts w:ascii="Times New Roman" w:eastAsia="Arial" w:hAnsi="Times New Roman" w:cs="Times New Roman"/>
          <w:sz w:val="24"/>
          <w:szCs w:val="24"/>
          <w:lang w:val="en-US"/>
        </w:rPr>
        <w:t>york</w:t>
      </w:r>
      <w:proofErr w:type="spellEnd"/>
      <w:proofErr w:type="gramEnd"/>
      <w:r w:rsidRPr="00357FDD">
        <w:rPr>
          <w:rFonts w:ascii="Times New Roman" w:eastAsia="Arial" w:hAnsi="Times New Roman" w:cs="Times New Roman"/>
          <w:sz w:val="24"/>
          <w:szCs w:val="24"/>
          <w:lang w:val="en-US"/>
        </w:rPr>
        <w:t>: Columbia University Press, 1964.</w:t>
      </w:r>
    </w:p>
    <w:p w14:paraId="65804DF9" w14:textId="77777777" w:rsidR="00E8336B" w:rsidRPr="00357FDD" w:rsidRDefault="00E8336B" w:rsidP="00E8336B">
      <w:pPr>
        <w:spacing w:after="0" w:line="240" w:lineRule="auto"/>
        <w:rPr>
          <w:rFonts w:ascii="Times New Roman" w:hAnsi="Times New Roman" w:cs="Times New Roman"/>
          <w:sz w:val="24"/>
          <w:szCs w:val="24"/>
          <w:lang w:val="en-US"/>
        </w:rPr>
      </w:pPr>
    </w:p>
    <w:p w14:paraId="063C46D1" w14:textId="77777777" w:rsidR="00E8336B" w:rsidRDefault="00E8336B" w:rsidP="00E8336B">
      <w:pPr>
        <w:spacing w:after="0" w:line="240" w:lineRule="auto"/>
        <w:rPr>
          <w:rFonts w:ascii="Times New Roman" w:eastAsia="Arial" w:hAnsi="Times New Roman" w:cs="Times New Roman"/>
          <w:sz w:val="24"/>
          <w:szCs w:val="24"/>
          <w:lang w:val="en-US"/>
        </w:rPr>
      </w:pPr>
      <w:r w:rsidRPr="00357FDD">
        <w:rPr>
          <w:rFonts w:ascii="Times New Roman" w:eastAsia="Arial" w:hAnsi="Times New Roman" w:cs="Times New Roman"/>
          <w:sz w:val="24"/>
          <w:szCs w:val="24"/>
          <w:lang w:val="en-US"/>
        </w:rPr>
        <w:t>OAXACA, R. Male-female wage differentials in urban labor markets. International Economics Review, v. 14. n. 3, p. 693-709, 1973.</w:t>
      </w:r>
    </w:p>
    <w:p w14:paraId="51756EFB" w14:textId="77777777" w:rsidR="00E8336B" w:rsidRPr="00357FDD" w:rsidRDefault="00E8336B" w:rsidP="00E8336B">
      <w:pPr>
        <w:spacing w:after="0" w:line="240" w:lineRule="auto"/>
        <w:rPr>
          <w:rFonts w:ascii="Times New Roman" w:hAnsi="Times New Roman" w:cs="Times New Roman"/>
          <w:sz w:val="24"/>
          <w:szCs w:val="24"/>
          <w:lang w:val="en-US"/>
        </w:rPr>
      </w:pPr>
    </w:p>
    <w:p w14:paraId="212F6FB9" w14:textId="77777777" w:rsidR="00E8336B" w:rsidRDefault="00E8336B" w:rsidP="00E8336B">
      <w:pPr>
        <w:spacing w:after="0" w:line="240" w:lineRule="auto"/>
        <w:rPr>
          <w:rFonts w:ascii="Times New Roman" w:eastAsia="Arial" w:hAnsi="Times New Roman" w:cs="Times New Roman"/>
          <w:sz w:val="24"/>
          <w:szCs w:val="24"/>
        </w:rPr>
      </w:pPr>
      <w:r w:rsidRPr="00357FDD">
        <w:rPr>
          <w:rFonts w:ascii="Times New Roman" w:eastAsia="Arial" w:hAnsi="Times New Roman" w:cs="Times New Roman"/>
          <w:sz w:val="24"/>
          <w:szCs w:val="24"/>
          <w:lang w:val="en-US"/>
        </w:rPr>
        <w:t xml:space="preserve">BLINDER, A. S. Wage discrimination: reduced form and structural variables. </w:t>
      </w:r>
      <w:proofErr w:type="spellStart"/>
      <w:r w:rsidRPr="00357FDD">
        <w:rPr>
          <w:rFonts w:ascii="Times New Roman" w:eastAsia="Arial" w:hAnsi="Times New Roman" w:cs="Times New Roman"/>
          <w:sz w:val="24"/>
          <w:szCs w:val="24"/>
        </w:rPr>
        <w:t>Journal</w:t>
      </w:r>
      <w:proofErr w:type="spellEnd"/>
      <w:r w:rsidRPr="00357FDD">
        <w:rPr>
          <w:rFonts w:ascii="Times New Roman" w:eastAsia="Arial" w:hAnsi="Times New Roman" w:cs="Times New Roman"/>
          <w:sz w:val="24"/>
          <w:szCs w:val="24"/>
        </w:rPr>
        <w:t xml:space="preserve"> </w:t>
      </w:r>
      <w:proofErr w:type="spellStart"/>
      <w:r w:rsidRPr="00357FDD">
        <w:rPr>
          <w:rFonts w:ascii="Times New Roman" w:eastAsia="Arial" w:hAnsi="Times New Roman" w:cs="Times New Roman"/>
          <w:sz w:val="24"/>
          <w:szCs w:val="24"/>
        </w:rPr>
        <w:t>of</w:t>
      </w:r>
      <w:proofErr w:type="spellEnd"/>
      <w:r w:rsidRPr="00357FDD">
        <w:rPr>
          <w:rFonts w:ascii="Times New Roman" w:eastAsia="Arial" w:hAnsi="Times New Roman" w:cs="Times New Roman"/>
          <w:sz w:val="24"/>
          <w:szCs w:val="24"/>
        </w:rPr>
        <w:t xml:space="preserve"> </w:t>
      </w:r>
      <w:proofErr w:type="spellStart"/>
      <w:r w:rsidRPr="00357FDD">
        <w:rPr>
          <w:rFonts w:ascii="Times New Roman" w:eastAsia="Arial" w:hAnsi="Times New Roman" w:cs="Times New Roman"/>
          <w:sz w:val="24"/>
          <w:szCs w:val="24"/>
        </w:rPr>
        <w:t>Human</w:t>
      </w:r>
      <w:proofErr w:type="spellEnd"/>
      <w:r w:rsidRPr="00357FDD">
        <w:rPr>
          <w:rFonts w:ascii="Times New Roman" w:eastAsia="Arial" w:hAnsi="Times New Roman" w:cs="Times New Roman"/>
          <w:sz w:val="24"/>
          <w:szCs w:val="24"/>
        </w:rPr>
        <w:t xml:space="preserve"> </w:t>
      </w:r>
      <w:proofErr w:type="spellStart"/>
      <w:r w:rsidRPr="00357FDD">
        <w:rPr>
          <w:rFonts w:ascii="Times New Roman" w:eastAsia="Arial" w:hAnsi="Times New Roman" w:cs="Times New Roman"/>
          <w:sz w:val="24"/>
          <w:szCs w:val="24"/>
        </w:rPr>
        <w:t>Resources</w:t>
      </w:r>
      <w:proofErr w:type="spellEnd"/>
      <w:r w:rsidRPr="00357FDD">
        <w:rPr>
          <w:rFonts w:ascii="Times New Roman" w:eastAsia="Arial" w:hAnsi="Times New Roman" w:cs="Times New Roman"/>
          <w:sz w:val="24"/>
          <w:szCs w:val="24"/>
        </w:rPr>
        <w:t>, v. 8, n. 4, p. 436-455, 1973.</w:t>
      </w:r>
    </w:p>
    <w:p w14:paraId="33DDCC32" w14:textId="77777777" w:rsidR="00E8336B" w:rsidRPr="00357FDD" w:rsidRDefault="00E8336B" w:rsidP="00E8336B">
      <w:pPr>
        <w:spacing w:after="0" w:line="240" w:lineRule="auto"/>
        <w:rPr>
          <w:rFonts w:ascii="Times New Roman" w:hAnsi="Times New Roman" w:cs="Times New Roman"/>
          <w:sz w:val="24"/>
          <w:szCs w:val="24"/>
        </w:rPr>
      </w:pPr>
    </w:p>
    <w:p w14:paraId="5EEF78A6" w14:textId="77777777" w:rsidR="00E8336B" w:rsidRPr="002E0E43" w:rsidRDefault="00E8336B" w:rsidP="00E8336B">
      <w:pPr>
        <w:spacing w:after="0" w:line="240" w:lineRule="auto"/>
        <w:rPr>
          <w:rFonts w:ascii="Times New Roman" w:hAnsi="Times New Roman" w:cs="Times New Roman"/>
          <w:sz w:val="24"/>
          <w:szCs w:val="24"/>
        </w:rPr>
      </w:pPr>
      <w:r w:rsidRPr="002E0E43">
        <w:rPr>
          <w:rFonts w:ascii="Times New Roman" w:hAnsi="Times New Roman" w:cs="Times New Roman"/>
          <w:szCs w:val="24"/>
        </w:rPr>
        <w:t>RAMOS</w:t>
      </w:r>
      <w:r w:rsidRPr="002E0E43">
        <w:rPr>
          <w:rFonts w:ascii="Times New Roman" w:hAnsi="Times New Roman" w:cs="Times New Roman"/>
          <w:sz w:val="24"/>
          <w:szCs w:val="24"/>
        </w:rPr>
        <w:t>, L.; VIEIRA, M. L. Determinantes da desigualdade de rendimento no Brasil nos anos 90: discriminação, segmentação e heterogeneidade dos trabalhadores. </w:t>
      </w:r>
      <w:r w:rsidRPr="002E0E43">
        <w:rPr>
          <w:rFonts w:ascii="Times New Roman" w:hAnsi="Times New Roman" w:cs="Times New Roman"/>
          <w:i/>
          <w:iCs/>
          <w:sz w:val="24"/>
          <w:szCs w:val="24"/>
        </w:rPr>
        <w:t>In</w:t>
      </w:r>
      <w:r w:rsidRPr="002E0E43">
        <w:rPr>
          <w:rFonts w:ascii="Times New Roman" w:hAnsi="Times New Roman" w:cs="Times New Roman"/>
          <w:sz w:val="24"/>
          <w:szCs w:val="24"/>
        </w:rPr>
        <w:t>: Henriques, R. (org.), </w:t>
      </w:r>
      <w:r w:rsidRPr="002E0E43">
        <w:rPr>
          <w:rFonts w:ascii="Times New Roman" w:hAnsi="Times New Roman" w:cs="Times New Roman"/>
          <w:i/>
          <w:iCs/>
          <w:sz w:val="24"/>
          <w:szCs w:val="24"/>
        </w:rPr>
        <w:t>Desigualdade e pobreza no Brasil.</w:t>
      </w:r>
      <w:r w:rsidRPr="002E0E43">
        <w:rPr>
          <w:rFonts w:ascii="Times New Roman" w:hAnsi="Times New Roman" w:cs="Times New Roman"/>
          <w:sz w:val="24"/>
          <w:szCs w:val="24"/>
        </w:rPr>
        <w:t> Rio de Janeiro: IPEA, 2000.</w:t>
      </w:r>
    </w:p>
    <w:p w14:paraId="23F45405" w14:textId="77777777" w:rsidR="00E8336B" w:rsidRPr="00357FDD" w:rsidRDefault="00E8336B" w:rsidP="00E8336B">
      <w:pPr>
        <w:spacing w:after="0" w:line="240" w:lineRule="auto"/>
        <w:rPr>
          <w:rFonts w:ascii="Times New Roman" w:eastAsia="Arial" w:hAnsi="Times New Roman" w:cs="Times New Roman"/>
          <w:sz w:val="24"/>
          <w:szCs w:val="24"/>
        </w:rPr>
      </w:pPr>
    </w:p>
    <w:p w14:paraId="6F4803E1" w14:textId="77777777" w:rsidR="00E8336B" w:rsidRDefault="00E8336B" w:rsidP="00E8336B">
      <w:pPr>
        <w:spacing w:after="0" w:line="240" w:lineRule="auto"/>
        <w:rPr>
          <w:rFonts w:ascii="Times New Roman" w:eastAsia="Arial" w:hAnsi="Times New Roman" w:cs="Times New Roman"/>
          <w:sz w:val="24"/>
          <w:szCs w:val="24"/>
          <w:lang w:val="en-US"/>
        </w:rPr>
      </w:pPr>
      <w:r w:rsidRPr="00357FDD">
        <w:rPr>
          <w:rFonts w:ascii="Times New Roman" w:eastAsia="Arial" w:hAnsi="Times New Roman" w:cs="Times New Roman"/>
          <w:sz w:val="24"/>
          <w:szCs w:val="24"/>
          <w:lang w:val="en-US"/>
        </w:rPr>
        <w:t xml:space="preserve">BECKER, G. S. (1964), Human capital: a </w:t>
      </w:r>
      <w:proofErr w:type="spellStart"/>
      <w:r w:rsidRPr="00357FDD">
        <w:rPr>
          <w:rFonts w:ascii="Times New Roman" w:eastAsia="Arial" w:hAnsi="Times New Roman" w:cs="Times New Roman"/>
          <w:sz w:val="24"/>
          <w:szCs w:val="24"/>
          <w:lang w:val="en-US"/>
        </w:rPr>
        <w:t>theorical</w:t>
      </w:r>
      <w:proofErr w:type="spellEnd"/>
      <w:r w:rsidRPr="00357FDD">
        <w:rPr>
          <w:rFonts w:ascii="Times New Roman" w:eastAsia="Arial" w:hAnsi="Times New Roman" w:cs="Times New Roman"/>
          <w:sz w:val="24"/>
          <w:szCs w:val="24"/>
          <w:lang w:val="en-US"/>
        </w:rPr>
        <w:t xml:space="preserve"> and empirical analysis, with special reference to </w:t>
      </w:r>
      <w:proofErr w:type="gramStart"/>
      <w:r w:rsidRPr="00357FDD">
        <w:rPr>
          <w:rFonts w:ascii="Times New Roman" w:eastAsia="Arial" w:hAnsi="Times New Roman" w:cs="Times New Roman"/>
          <w:sz w:val="24"/>
          <w:szCs w:val="24"/>
          <w:lang w:val="en-US"/>
        </w:rPr>
        <w:t>education.,</w:t>
      </w:r>
      <w:proofErr w:type="gramEnd"/>
      <w:r w:rsidRPr="00357FDD">
        <w:rPr>
          <w:rFonts w:ascii="Times New Roman" w:eastAsia="Arial" w:hAnsi="Times New Roman" w:cs="Times New Roman"/>
          <w:sz w:val="24"/>
          <w:szCs w:val="24"/>
          <w:lang w:val="en-US"/>
        </w:rPr>
        <w:t xml:space="preserve"> The University of Chicago Press, Chicago</w:t>
      </w:r>
      <w:r>
        <w:rPr>
          <w:rFonts w:ascii="Times New Roman" w:eastAsia="Arial" w:hAnsi="Times New Roman" w:cs="Times New Roman"/>
          <w:sz w:val="24"/>
          <w:szCs w:val="24"/>
          <w:lang w:val="en-US"/>
        </w:rPr>
        <w:t>.</w:t>
      </w:r>
    </w:p>
    <w:p w14:paraId="38C9B431" w14:textId="77777777" w:rsidR="00E8336B" w:rsidRPr="00357FDD" w:rsidRDefault="00E8336B" w:rsidP="00E8336B">
      <w:pPr>
        <w:spacing w:after="0" w:line="240" w:lineRule="auto"/>
        <w:rPr>
          <w:rFonts w:ascii="Times New Roman" w:hAnsi="Times New Roman" w:cs="Times New Roman"/>
          <w:sz w:val="24"/>
          <w:szCs w:val="24"/>
          <w:lang w:val="en-US"/>
        </w:rPr>
      </w:pPr>
    </w:p>
    <w:p w14:paraId="2D12938B" w14:textId="77777777" w:rsidR="00E8336B" w:rsidRDefault="00E8336B" w:rsidP="00E8336B">
      <w:pPr>
        <w:spacing w:after="0" w:line="240" w:lineRule="auto"/>
        <w:rPr>
          <w:rFonts w:ascii="Times New Roman" w:eastAsia="Arial" w:hAnsi="Times New Roman" w:cs="Times New Roman"/>
          <w:sz w:val="24"/>
          <w:szCs w:val="24"/>
          <w:lang w:val="en-US"/>
        </w:rPr>
      </w:pPr>
      <w:r w:rsidRPr="00357FDD">
        <w:rPr>
          <w:rFonts w:ascii="Times New Roman" w:eastAsia="Arial" w:hAnsi="Times New Roman" w:cs="Times New Roman"/>
          <w:sz w:val="24"/>
          <w:szCs w:val="24"/>
          <w:lang w:val="en-US"/>
        </w:rPr>
        <w:t xml:space="preserve">BEN-PORATH, Y. (1967), ‘The production of human capital and the life cycle of </w:t>
      </w:r>
      <w:proofErr w:type="gramStart"/>
      <w:r w:rsidRPr="00357FDD">
        <w:rPr>
          <w:rFonts w:ascii="Times New Roman" w:eastAsia="Arial" w:hAnsi="Times New Roman" w:cs="Times New Roman"/>
          <w:sz w:val="24"/>
          <w:szCs w:val="24"/>
          <w:lang w:val="en-US"/>
        </w:rPr>
        <w:t>earnings.’,</w:t>
      </w:r>
      <w:proofErr w:type="gramEnd"/>
      <w:r w:rsidRPr="00357FDD">
        <w:rPr>
          <w:rFonts w:ascii="Times New Roman" w:eastAsia="Arial" w:hAnsi="Times New Roman" w:cs="Times New Roman"/>
          <w:sz w:val="24"/>
          <w:szCs w:val="24"/>
          <w:lang w:val="en-US"/>
        </w:rPr>
        <w:t xml:space="preserve"> Journal of</w:t>
      </w:r>
      <w:r>
        <w:rPr>
          <w:rFonts w:ascii="Times New Roman" w:eastAsia="Arial" w:hAnsi="Times New Roman" w:cs="Times New Roman"/>
          <w:sz w:val="24"/>
          <w:szCs w:val="24"/>
          <w:lang w:val="en-US"/>
        </w:rPr>
        <w:t xml:space="preserve"> </w:t>
      </w:r>
      <w:r w:rsidRPr="00357FDD">
        <w:rPr>
          <w:rFonts w:ascii="Times New Roman" w:eastAsia="Arial" w:hAnsi="Times New Roman" w:cs="Times New Roman"/>
          <w:sz w:val="24"/>
          <w:szCs w:val="24"/>
          <w:lang w:val="en-US"/>
        </w:rPr>
        <w:t>Political Economy 75(4), 352–365</w:t>
      </w:r>
      <w:r>
        <w:rPr>
          <w:rFonts w:ascii="Times New Roman" w:eastAsia="Arial" w:hAnsi="Times New Roman" w:cs="Times New Roman"/>
          <w:sz w:val="24"/>
          <w:szCs w:val="24"/>
          <w:lang w:val="en-US"/>
        </w:rPr>
        <w:t>.</w:t>
      </w:r>
    </w:p>
    <w:p w14:paraId="3CB309DF" w14:textId="77777777" w:rsidR="00E8336B" w:rsidRPr="00357FDD" w:rsidRDefault="00E8336B" w:rsidP="00E8336B">
      <w:pPr>
        <w:spacing w:after="0" w:line="240" w:lineRule="auto"/>
        <w:rPr>
          <w:rFonts w:ascii="Times New Roman" w:hAnsi="Times New Roman" w:cs="Times New Roman"/>
          <w:sz w:val="24"/>
          <w:szCs w:val="24"/>
          <w:lang w:val="en-US"/>
        </w:rPr>
      </w:pPr>
    </w:p>
    <w:p w14:paraId="3B8E89B4" w14:textId="77777777" w:rsidR="00E8336B" w:rsidRPr="009F7C5C" w:rsidRDefault="00E8336B" w:rsidP="00E8336B">
      <w:pPr>
        <w:spacing w:after="0" w:line="240" w:lineRule="auto"/>
        <w:rPr>
          <w:rFonts w:ascii="Times New Roman" w:eastAsia="Arial" w:hAnsi="Times New Roman" w:cs="Times New Roman"/>
          <w:color w:val="FF0000"/>
          <w:sz w:val="24"/>
          <w:szCs w:val="24"/>
        </w:rPr>
      </w:pPr>
      <w:r w:rsidRPr="009F7C5C">
        <w:rPr>
          <w:rFonts w:ascii="Times New Roman" w:eastAsia="Arial" w:hAnsi="Times New Roman" w:cs="Times New Roman"/>
          <w:color w:val="FF0000"/>
          <w:sz w:val="24"/>
          <w:szCs w:val="24"/>
        </w:rPr>
        <w:t>CENSO 2010</w:t>
      </w:r>
    </w:p>
    <w:p w14:paraId="66458220" w14:textId="77777777" w:rsidR="00E8336B" w:rsidRPr="00357FDD" w:rsidRDefault="00E8336B" w:rsidP="00E8336B">
      <w:pPr>
        <w:spacing w:after="0" w:line="240" w:lineRule="auto"/>
        <w:rPr>
          <w:rFonts w:ascii="Times New Roman" w:hAnsi="Times New Roman" w:cs="Times New Roman"/>
          <w:sz w:val="24"/>
          <w:szCs w:val="24"/>
        </w:rPr>
      </w:pPr>
    </w:p>
    <w:p w14:paraId="139DE742" w14:textId="77777777" w:rsidR="00E8336B" w:rsidRPr="00D56BEA" w:rsidRDefault="00E8336B" w:rsidP="00E8336B">
      <w:pPr>
        <w:spacing w:after="0" w:line="240" w:lineRule="auto"/>
        <w:rPr>
          <w:rFonts w:ascii="Times New Roman" w:hAnsi="Times New Roman" w:cs="Times New Roman"/>
          <w:sz w:val="24"/>
          <w:szCs w:val="24"/>
        </w:rPr>
      </w:pPr>
      <w:r w:rsidRPr="00D56BEA">
        <w:rPr>
          <w:rFonts w:ascii="Times New Roman" w:eastAsia="Arial" w:hAnsi="Times New Roman" w:cs="Times New Roman"/>
          <w:sz w:val="24"/>
          <w:szCs w:val="24"/>
        </w:rPr>
        <w:t xml:space="preserve">REIS, Maurício Cortez; MACHADO, Danielle </w:t>
      </w:r>
      <w:proofErr w:type="spellStart"/>
      <w:r w:rsidRPr="00D56BEA">
        <w:rPr>
          <w:rFonts w:ascii="Times New Roman" w:eastAsia="Arial" w:hAnsi="Times New Roman" w:cs="Times New Roman"/>
          <w:sz w:val="24"/>
          <w:szCs w:val="24"/>
        </w:rPr>
        <w:t>Carusi</w:t>
      </w:r>
      <w:proofErr w:type="spellEnd"/>
      <w:r w:rsidRPr="00D56BEA">
        <w:rPr>
          <w:rFonts w:ascii="Times New Roman" w:eastAsia="Arial" w:hAnsi="Times New Roman" w:cs="Times New Roman"/>
          <w:sz w:val="24"/>
          <w:szCs w:val="24"/>
        </w:rPr>
        <w:t>. Uma análise dos rendimentos do trabalho entre indivíduos com ensino superior no Brasil</w:t>
      </w:r>
      <w:r w:rsidRPr="00D56BEA">
        <w:rPr>
          <w:rFonts w:ascii="Times New Roman" w:hAnsi="Times New Roman" w:cs="Times New Roman"/>
          <w:sz w:val="24"/>
          <w:szCs w:val="24"/>
        </w:rPr>
        <w:t xml:space="preserve">. </w:t>
      </w:r>
      <w:r w:rsidRPr="00D56BEA">
        <w:rPr>
          <w:rFonts w:ascii="Times New Roman" w:hAnsi="Times New Roman" w:cs="Times New Roman"/>
          <w:b/>
          <w:sz w:val="24"/>
          <w:szCs w:val="24"/>
        </w:rPr>
        <w:t>Economia Aplicada</w:t>
      </w:r>
      <w:r w:rsidRPr="00D56BEA">
        <w:rPr>
          <w:rFonts w:ascii="Times New Roman" w:hAnsi="Times New Roman" w:cs="Times New Roman"/>
          <w:sz w:val="24"/>
          <w:szCs w:val="24"/>
        </w:rPr>
        <w:t>, v. 20, n. 4, 2016, pp. 415-437.</w:t>
      </w:r>
    </w:p>
    <w:p w14:paraId="2BBD9C74" w14:textId="77777777" w:rsidR="00E8336B" w:rsidRDefault="00E8336B" w:rsidP="00E8336B">
      <w:pPr>
        <w:spacing w:after="0" w:line="240" w:lineRule="auto"/>
        <w:rPr>
          <w:rFonts w:ascii="Times New Roman" w:eastAsia="Arial" w:hAnsi="Times New Roman" w:cs="Times New Roman"/>
          <w:sz w:val="24"/>
          <w:szCs w:val="24"/>
        </w:rPr>
      </w:pPr>
    </w:p>
    <w:p w14:paraId="2427E0F0" w14:textId="77777777" w:rsidR="00E8336B" w:rsidRPr="00F36338" w:rsidRDefault="00E8336B" w:rsidP="00E8336B">
      <w:pPr>
        <w:spacing w:after="0" w:line="240" w:lineRule="auto"/>
        <w:rPr>
          <w:rFonts w:ascii="Times New Roman" w:hAnsi="Times New Roman" w:cs="Times New Roman"/>
          <w:sz w:val="24"/>
          <w:szCs w:val="24"/>
        </w:rPr>
      </w:pPr>
      <w:r w:rsidRPr="00F36338">
        <w:rPr>
          <w:rFonts w:ascii="Times New Roman" w:hAnsi="Times New Roman" w:cs="Times New Roman"/>
          <w:iCs/>
          <w:sz w:val="24"/>
          <w:szCs w:val="24"/>
          <w:shd w:val="clear" w:color="auto" w:fill="FFFFFF"/>
        </w:rPr>
        <w:t>REIS, Maurício Cortez; MACHADO</w:t>
      </w:r>
      <w:r>
        <w:rPr>
          <w:rFonts w:ascii="Times New Roman" w:hAnsi="Times New Roman" w:cs="Times New Roman"/>
          <w:iCs/>
          <w:sz w:val="24"/>
          <w:szCs w:val="24"/>
          <w:shd w:val="clear" w:color="auto" w:fill="FFFFFF"/>
        </w:rPr>
        <w:t xml:space="preserve"> Danielle </w:t>
      </w:r>
      <w:proofErr w:type="spellStart"/>
      <w:r>
        <w:rPr>
          <w:rFonts w:ascii="Times New Roman" w:hAnsi="Times New Roman" w:cs="Times New Roman"/>
          <w:iCs/>
          <w:sz w:val="24"/>
          <w:szCs w:val="24"/>
          <w:shd w:val="clear" w:color="auto" w:fill="FFFFFF"/>
        </w:rPr>
        <w:t>Carusi</w:t>
      </w:r>
      <w:proofErr w:type="spellEnd"/>
      <w:r w:rsidRPr="00F36338">
        <w:rPr>
          <w:rFonts w:ascii="Times New Roman" w:hAnsi="Times New Roman" w:cs="Times New Roman"/>
          <w:iCs/>
          <w:sz w:val="24"/>
          <w:szCs w:val="24"/>
          <w:shd w:val="clear" w:color="auto" w:fill="FFFFFF"/>
        </w:rPr>
        <w:t xml:space="preserve">. </w:t>
      </w:r>
      <w:r w:rsidRPr="00CE6E10">
        <w:rPr>
          <w:rFonts w:ascii="Times New Roman" w:eastAsia="Arial" w:hAnsi="Times New Roman" w:cs="Times New Roman"/>
          <w:b/>
          <w:sz w:val="24"/>
          <w:szCs w:val="24"/>
        </w:rPr>
        <w:t>Uma análise dos rendimentos do trabalho entre indivíduos com ensino superior no Brasi</w:t>
      </w:r>
      <w:r w:rsidRPr="00F36338">
        <w:rPr>
          <w:rFonts w:ascii="Times New Roman" w:eastAsia="Arial" w:hAnsi="Times New Roman" w:cs="Times New Roman"/>
          <w:sz w:val="24"/>
          <w:szCs w:val="24"/>
        </w:rPr>
        <w:t xml:space="preserve">l. </w:t>
      </w:r>
      <w:r>
        <w:rPr>
          <w:rFonts w:ascii="Times New Roman" w:eastAsia="Arial" w:hAnsi="Times New Roman" w:cs="Times New Roman"/>
          <w:sz w:val="24"/>
          <w:szCs w:val="24"/>
        </w:rPr>
        <w:t xml:space="preserve">Brasília: </w:t>
      </w:r>
      <w:r w:rsidRPr="00F36338">
        <w:rPr>
          <w:rFonts w:ascii="Times New Roman" w:hAnsi="Times New Roman" w:cs="Times New Roman"/>
          <w:sz w:val="24"/>
          <w:szCs w:val="24"/>
        </w:rPr>
        <w:t xml:space="preserve">Instituto de Pesquisa Econômica Aplicada – </w:t>
      </w:r>
      <w:r>
        <w:rPr>
          <w:rFonts w:ascii="Times New Roman" w:hAnsi="Times New Roman" w:cs="Times New Roman"/>
          <w:sz w:val="24"/>
          <w:szCs w:val="24"/>
        </w:rPr>
        <w:t>IPEA 2015,</w:t>
      </w:r>
      <w:r w:rsidRPr="00F36338">
        <w:rPr>
          <w:rFonts w:ascii="Times New Roman" w:eastAsia="Arial" w:hAnsi="Times New Roman" w:cs="Times New Roman"/>
          <w:sz w:val="24"/>
          <w:szCs w:val="24"/>
        </w:rPr>
        <w:t xml:space="preserve"> jul</w:t>
      </w:r>
      <w:r>
        <w:rPr>
          <w:rFonts w:ascii="Times New Roman" w:eastAsia="Arial" w:hAnsi="Times New Roman" w:cs="Times New Roman"/>
          <w:sz w:val="24"/>
          <w:szCs w:val="24"/>
        </w:rPr>
        <w:t>.</w:t>
      </w:r>
      <w:r w:rsidRPr="00F36338">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Pr="00F36338">
        <w:rPr>
          <w:rFonts w:ascii="Times New Roman" w:eastAsia="Arial" w:hAnsi="Times New Roman" w:cs="Times New Roman"/>
          <w:sz w:val="24"/>
          <w:szCs w:val="24"/>
        </w:rPr>
        <w:t xml:space="preserve">2015. Disponível: </w:t>
      </w:r>
      <w:hyperlink r:id="rId22" w:history="1">
        <w:r w:rsidRPr="00F36338">
          <w:rPr>
            <w:rStyle w:val="Hyperlink"/>
            <w:rFonts w:ascii="Times New Roman" w:hAnsi="Times New Roman" w:cs="Times New Roman"/>
            <w:color w:val="auto"/>
            <w:sz w:val="24"/>
            <w:szCs w:val="24"/>
          </w:rPr>
          <w:t>http://www.ipea.gov.br/portal/images/stories/PDFs/TDs/td_2110.pdf</w:t>
        </w:r>
      </w:hyperlink>
      <w:r w:rsidRPr="00F36338">
        <w:rPr>
          <w:rFonts w:ascii="Times New Roman" w:hAnsi="Times New Roman" w:cs="Times New Roman"/>
          <w:sz w:val="24"/>
          <w:szCs w:val="24"/>
        </w:rPr>
        <w:t xml:space="preserve">. Acesso: 13. fev. 2019. </w:t>
      </w:r>
      <w:r w:rsidRPr="00F36338">
        <w:rPr>
          <w:rFonts w:ascii="Times New Roman" w:eastAsia="Arial" w:hAnsi="Times New Roman" w:cs="Times New Roman"/>
          <w:sz w:val="24"/>
          <w:szCs w:val="24"/>
        </w:rPr>
        <w:t>Texto para discussão: 2110</w:t>
      </w:r>
    </w:p>
    <w:p w14:paraId="28ED2604" w14:textId="77777777" w:rsidR="00E8336B" w:rsidRPr="00357FDD" w:rsidRDefault="00E8336B" w:rsidP="00E8336B">
      <w:pPr>
        <w:spacing w:after="0" w:line="240" w:lineRule="auto"/>
        <w:rPr>
          <w:rFonts w:ascii="Times New Roman" w:hAnsi="Times New Roman" w:cs="Times New Roman"/>
          <w:sz w:val="24"/>
          <w:szCs w:val="24"/>
        </w:rPr>
      </w:pPr>
    </w:p>
    <w:p w14:paraId="2CD81E3A" w14:textId="77777777" w:rsidR="00E8336B" w:rsidRDefault="00E8336B" w:rsidP="00E8336B">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GIUBERTI, </w:t>
      </w:r>
      <w:r w:rsidRPr="006544AB">
        <w:rPr>
          <w:rFonts w:ascii="Times New Roman" w:eastAsia="Arial" w:hAnsi="Times New Roman" w:cs="Times New Roman"/>
          <w:sz w:val="24"/>
          <w:szCs w:val="24"/>
        </w:rPr>
        <w:t xml:space="preserve">Ana Carolina </w:t>
      </w:r>
      <w:proofErr w:type="spellStart"/>
      <w:r w:rsidRPr="006544AB">
        <w:rPr>
          <w:rFonts w:ascii="Times New Roman" w:eastAsia="Arial" w:hAnsi="Times New Roman" w:cs="Times New Roman"/>
          <w:sz w:val="24"/>
          <w:szCs w:val="24"/>
        </w:rPr>
        <w:t>Giuberti</w:t>
      </w:r>
      <w:proofErr w:type="spellEnd"/>
      <w:r>
        <w:rPr>
          <w:rFonts w:ascii="Times New Roman" w:eastAsia="Arial" w:hAnsi="Times New Roman" w:cs="Times New Roman"/>
          <w:sz w:val="24"/>
          <w:szCs w:val="24"/>
        </w:rPr>
        <w:t>; MENEZES FLHO,</w:t>
      </w:r>
      <w:r w:rsidRPr="006544AB">
        <w:rPr>
          <w:rFonts w:ascii="Times New Roman" w:eastAsia="Arial" w:hAnsi="Times New Roman" w:cs="Times New Roman"/>
          <w:sz w:val="24"/>
          <w:szCs w:val="24"/>
        </w:rPr>
        <w:t xml:space="preserve"> </w:t>
      </w:r>
      <w:proofErr w:type="spellStart"/>
      <w:r w:rsidRPr="006544AB">
        <w:rPr>
          <w:rFonts w:ascii="Times New Roman" w:eastAsia="Arial" w:hAnsi="Times New Roman" w:cs="Times New Roman"/>
          <w:sz w:val="24"/>
          <w:szCs w:val="24"/>
        </w:rPr>
        <w:t>Naé</w:t>
      </w:r>
      <w:r>
        <w:rPr>
          <w:rFonts w:ascii="Times New Roman" w:eastAsia="Arial" w:hAnsi="Times New Roman" w:cs="Times New Roman"/>
          <w:sz w:val="24"/>
          <w:szCs w:val="24"/>
        </w:rPr>
        <w:t>rcio</w:t>
      </w:r>
      <w:proofErr w:type="spellEnd"/>
      <w:r>
        <w:rPr>
          <w:rFonts w:ascii="Times New Roman" w:eastAsia="Arial" w:hAnsi="Times New Roman" w:cs="Times New Roman"/>
          <w:sz w:val="24"/>
          <w:szCs w:val="24"/>
        </w:rPr>
        <w:t>. D</w:t>
      </w:r>
      <w:r w:rsidRPr="00357FDD">
        <w:rPr>
          <w:rFonts w:ascii="Times New Roman" w:eastAsia="Arial" w:hAnsi="Times New Roman" w:cs="Times New Roman"/>
          <w:sz w:val="24"/>
          <w:szCs w:val="24"/>
        </w:rPr>
        <w:t>iscriminação de rendimentos por gênero: uma comparação ent</w:t>
      </w:r>
      <w:r>
        <w:rPr>
          <w:rFonts w:ascii="Times New Roman" w:eastAsia="Arial" w:hAnsi="Times New Roman" w:cs="Times New Roman"/>
          <w:sz w:val="24"/>
          <w:szCs w:val="24"/>
        </w:rPr>
        <w:t xml:space="preserve">re o Brasil e os Estados Unidos. </w:t>
      </w:r>
      <w:r w:rsidRPr="006E3227">
        <w:rPr>
          <w:rFonts w:ascii="Times New Roman" w:eastAsia="Arial" w:hAnsi="Times New Roman" w:cs="Times New Roman"/>
          <w:b/>
          <w:sz w:val="24"/>
          <w:szCs w:val="24"/>
        </w:rPr>
        <w:t xml:space="preserve">Revista. Econ. </w:t>
      </w:r>
      <w:proofErr w:type="spellStart"/>
      <w:proofErr w:type="gramStart"/>
      <w:r w:rsidRPr="006E3227">
        <w:rPr>
          <w:rFonts w:ascii="Times New Roman" w:eastAsia="Arial" w:hAnsi="Times New Roman" w:cs="Times New Roman"/>
          <w:b/>
          <w:sz w:val="24"/>
          <w:szCs w:val="24"/>
        </w:rPr>
        <w:t>Aplic</w:t>
      </w:r>
      <w:proofErr w:type="spellEnd"/>
      <w:r w:rsidRPr="006E3227">
        <w:rPr>
          <w:rFonts w:ascii="Times New Roman" w:eastAsia="Arial" w:hAnsi="Times New Roman" w:cs="Times New Roman"/>
          <w:b/>
          <w:sz w:val="24"/>
          <w:szCs w:val="24"/>
        </w:rPr>
        <w:t>.,</w:t>
      </w:r>
      <w:proofErr w:type="gramEnd"/>
      <w:r w:rsidRPr="006E3227">
        <w:rPr>
          <w:rFonts w:ascii="Times New Roman" w:eastAsia="Arial" w:hAnsi="Times New Roman" w:cs="Times New Roman"/>
          <w:b/>
          <w:sz w:val="24"/>
          <w:szCs w:val="24"/>
        </w:rPr>
        <w:t xml:space="preserve"> </w:t>
      </w:r>
      <w:r w:rsidRPr="006E3227">
        <w:rPr>
          <w:rFonts w:ascii="Times New Roman" w:eastAsia="Arial" w:hAnsi="Times New Roman" w:cs="Times New Roman"/>
          <w:sz w:val="24"/>
          <w:szCs w:val="24"/>
        </w:rPr>
        <w:t xml:space="preserve">9(3): 369-383, </w:t>
      </w:r>
      <w:proofErr w:type="spellStart"/>
      <w:r w:rsidRPr="006E3227">
        <w:rPr>
          <w:rFonts w:ascii="Times New Roman" w:eastAsia="Arial" w:hAnsi="Times New Roman" w:cs="Times New Roman"/>
          <w:sz w:val="24"/>
          <w:szCs w:val="24"/>
        </w:rPr>
        <w:t>jul</w:t>
      </w:r>
      <w:proofErr w:type="spellEnd"/>
      <w:r w:rsidRPr="006E3227">
        <w:rPr>
          <w:rFonts w:ascii="Times New Roman" w:eastAsia="Arial" w:hAnsi="Times New Roman" w:cs="Times New Roman"/>
          <w:sz w:val="24"/>
          <w:szCs w:val="24"/>
        </w:rPr>
        <w:t>-set 2005</w:t>
      </w:r>
      <w:r>
        <w:rPr>
          <w:rFonts w:ascii="Times New Roman" w:eastAsia="Arial" w:hAnsi="Times New Roman" w:cs="Times New Roman"/>
          <w:sz w:val="24"/>
          <w:szCs w:val="24"/>
        </w:rPr>
        <w:t>.</w:t>
      </w:r>
    </w:p>
    <w:p w14:paraId="7A0C6870" w14:textId="77777777" w:rsidR="00E8336B" w:rsidRPr="00357FDD" w:rsidRDefault="00E8336B" w:rsidP="00E8336B">
      <w:pPr>
        <w:spacing w:after="0" w:line="240" w:lineRule="auto"/>
        <w:rPr>
          <w:rFonts w:ascii="Times New Roman" w:eastAsia="Arial" w:hAnsi="Times New Roman" w:cs="Times New Roman"/>
          <w:sz w:val="24"/>
          <w:szCs w:val="24"/>
        </w:rPr>
      </w:pPr>
    </w:p>
    <w:p w14:paraId="490F9AEE" w14:textId="77777777" w:rsidR="00E8336B" w:rsidRPr="00EE55EF" w:rsidRDefault="00E8336B" w:rsidP="00E8336B">
      <w:pPr>
        <w:spacing w:after="0" w:line="240" w:lineRule="auto"/>
        <w:rPr>
          <w:rFonts w:ascii="Times New Roman" w:hAnsi="Times New Roman" w:cs="Times New Roman"/>
          <w:sz w:val="24"/>
          <w:szCs w:val="24"/>
        </w:rPr>
      </w:pPr>
      <w:r w:rsidRPr="00EE55EF">
        <w:rPr>
          <w:rFonts w:ascii="Times New Roman" w:hAnsi="Times New Roman" w:cs="Times New Roman"/>
          <w:sz w:val="24"/>
          <w:szCs w:val="24"/>
        </w:rPr>
        <w:t xml:space="preserve">ARAÚJO, Verônica Fagundes; RIBEIRO, Eduardo Pontual. </w:t>
      </w:r>
      <w:r w:rsidRPr="00F36338">
        <w:rPr>
          <w:rFonts w:ascii="Times New Roman" w:eastAsia="Arial" w:hAnsi="Times New Roman" w:cs="Times New Roman"/>
          <w:b/>
          <w:sz w:val="24"/>
          <w:szCs w:val="24"/>
        </w:rPr>
        <w:t>Diferenciais de salários por gênero no Brasil</w:t>
      </w:r>
      <w:r w:rsidRPr="00EE55EF">
        <w:rPr>
          <w:rFonts w:ascii="Times New Roman" w:eastAsia="Arial" w:hAnsi="Times New Roman" w:cs="Times New Roman"/>
          <w:sz w:val="24"/>
          <w:szCs w:val="24"/>
        </w:rPr>
        <w:t>: Uma Análise Regional</w:t>
      </w:r>
      <w:r>
        <w:rPr>
          <w:rFonts w:ascii="Times New Roman" w:eastAsia="Arial" w:hAnsi="Times New Roman" w:cs="Times New Roman"/>
          <w:sz w:val="24"/>
          <w:szCs w:val="24"/>
        </w:rPr>
        <w:t>, 2001.</w:t>
      </w:r>
      <w:r w:rsidRPr="00EE55EF">
        <w:rPr>
          <w:rFonts w:ascii="Times New Roman" w:eastAsia="Arial" w:hAnsi="Times New Roman" w:cs="Times New Roman"/>
          <w:sz w:val="24"/>
          <w:szCs w:val="24"/>
        </w:rPr>
        <w:t xml:space="preserve"> Disponível em: </w:t>
      </w:r>
      <w:hyperlink r:id="rId23" w:history="1">
        <w:r w:rsidRPr="00EE55EF">
          <w:rPr>
            <w:rStyle w:val="Hyperlink"/>
            <w:rFonts w:ascii="Times New Roman" w:hAnsi="Times New Roman" w:cs="Times New Roman"/>
            <w:sz w:val="24"/>
            <w:szCs w:val="24"/>
          </w:rPr>
          <w:t>https://www.ufrgs.br/ppge/wp-content/themes/PPGE/page/textos-para-discussao/pcientifica/2001_11.pdf</w:t>
        </w:r>
      </w:hyperlink>
      <w:r w:rsidRPr="00EE55EF">
        <w:rPr>
          <w:rFonts w:ascii="Times New Roman" w:hAnsi="Times New Roman" w:cs="Times New Roman"/>
          <w:sz w:val="24"/>
          <w:szCs w:val="24"/>
        </w:rPr>
        <w:t>. Acesso: 14. Fev.2019</w:t>
      </w:r>
    </w:p>
    <w:p w14:paraId="76B77B3E" w14:textId="77777777" w:rsidR="00E8336B" w:rsidRPr="00357FDD" w:rsidRDefault="00E8336B" w:rsidP="00E8336B">
      <w:pPr>
        <w:spacing w:after="0" w:line="240" w:lineRule="auto"/>
        <w:rPr>
          <w:rFonts w:ascii="Times New Roman" w:eastAsia="Arial" w:hAnsi="Times New Roman" w:cs="Times New Roman"/>
          <w:sz w:val="24"/>
          <w:szCs w:val="24"/>
        </w:rPr>
      </w:pPr>
    </w:p>
    <w:p w14:paraId="77FFF11B" w14:textId="77777777" w:rsidR="00E8336B" w:rsidRDefault="00E8336B" w:rsidP="00E8336B">
      <w:pPr>
        <w:spacing w:after="0" w:line="240" w:lineRule="auto"/>
        <w:rPr>
          <w:rFonts w:ascii="Times New Roman" w:eastAsia="Arial" w:hAnsi="Times New Roman" w:cs="Times New Roman"/>
          <w:sz w:val="24"/>
          <w:szCs w:val="24"/>
        </w:rPr>
      </w:pPr>
      <w:r w:rsidRPr="00357FDD">
        <w:rPr>
          <w:rFonts w:ascii="Times New Roman" w:eastAsia="Arial" w:hAnsi="Times New Roman" w:cs="Times New Roman"/>
          <w:sz w:val="24"/>
          <w:szCs w:val="24"/>
        </w:rPr>
        <w:t xml:space="preserve">MATOS, R. S.; MACHADO, A. F.; Diferencial de rendimento por cor e sexo no Brasil (1987-2001), </w:t>
      </w:r>
      <w:r w:rsidRPr="009F7C5C">
        <w:rPr>
          <w:rFonts w:ascii="Times New Roman" w:eastAsia="Arial" w:hAnsi="Times New Roman" w:cs="Times New Roman"/>
          <w:b/>
          <w:sz w:val="24"/>
          <w:szCs w:val="24"/>
        </w:rPr>
        <w:t>Revista Econômica</w:t>
      </w:r>
      <w:r w:rsidRPr="00357FDD">
        <w:rPr>
          <w:rFonts w:ascii="Times New Roman" w:eastAsia="Arial" w:hAnsi="Times New Roman" w:cs="Times New Roman"/>
          <w:sz w:val="24"/>
          <w:szCs w:val="24"/>
        </w:rPr>
        <w:t>, Rio de Janeiro, v. 8, n. 1, p. 5-27, jun. 2006</w:t>
      </w:r>
      <w:r>
        <w:rPr>
          <w:rFonts w:ascii="Times New Roman" w:eastAsia="Arial" w:hAnsi="Times New Roman" w:cs="Times New Roman"/>
          <w:sz w:val="24"/>
          <w:szCs w:val="24"/>
        </w:rPr>
        <w:t>.</w:t>
      </w:r>
    </w:p>
    <w:p w14:paraId="30D1951E" w14:textId="77777777" w:rsidR="00E8336B" w:rsidRPr="009F7C5C" w:rsidRDefault="00E8336B" w:rsidP="00E8336B">
      <w:pPr>
        <w:spacing w:after="0" w:line="240" w:lineRule="auto"/>
        <w:rPr>
          <w:rFonts w:ascii="Times New Roman" w:hAnsi="Times New Roman" w:cs="Times New Roman"/>
          <w:color w:val="FF0000"/>
          <w:sz w:val="24"/>
          <w:szCs w:val="24"/>
        </w:rPr>
      </w:pPr>
    </w:p>
    <w:p w14:paraId="7352608F" w14:textId="77777777" w:rsidR="00E8336B" w:rsidRPr="007722C7" w:rsidRDefault="00E8336B" w:rsidP="00E8336B">
      <w:pPr>
        <w:spacing w:after="0" w:line="240" w:lineRule="auto"/>
        <w:rPr>
          <w:rFonts w:ascii="Times New Roman" w:hAnsi="Times New Roman" w:cs="Times New Roman"/>
          <w:sz w:val="24"/>
          <w:szCs w:val="24"/>
        </w:rPr>
      </w:pPr>
      <w:r w:rsidRPr="007722C7">
        <w:rPr>
          <w:rFonts w:ascii="Times New Roman" w:hAnsi="Times New Roman" w:cs="Times New Roman"/>
          <w:sz w:val="24"/>
          <w:szCs w:val="24"/>
          <w:shd w:val="clear" w:color="auto" w:fill="FFFFFF"/>
        </w:rPr>
        <w:t>SOARES, C.; OLIVEIRA, S. Gênero, estrutura ocupacional e diferenciais de rendimento. </w:t>
      </w:r>
      <w:r w:rsidRPr="007722C7">
        <w:rPr>
          <w:rStyle w:val="Forte"/>
          <w:rFonts w:ascii="Times New Roman" w:hAnsi="Times New Roman" w:cs="Times New Roman"/>
          <w:sz w:val="24"/>
          <w:szCs w:val="24"/>
          <w:shd w:val="clear" w:color="auto" w:fill="FFFFFF"/>
        </w:rPr>
        <w:t>Econômica</w:t>
      </w:r>
      <w:r w:rsidRPr="007722C7">
        <w:rPr>
          <w:rFonts w:ascii="Times New Roman" w:hAnsi="Times New Roman" w:cs="Times New Roman"/>
          <w:sz w:val="24"/>
          <w:szCs w:val="24"/>
          <w:shd w:val="clear" w:color="auto" w:fill="FFFFFF"/>
        </w:rPr>
        <w:t>, Rio de Janeiro, v.6, n.1, jun. 2004.</w:t>
      </w:r>
    </w:p>
    <w:p w14:paraId="3A4F44C9" w14:textId="77777777" w:rsidR="00E8336B" w:rsidRPr="00357FDD" w:rsidRDefault="00E8336B" w:rsidP="00E8336B">
      <w:pPr>
        <w:spacing w:after="0" w:line="240" w:lineRule="auto"/>
        <w:rPr>
          <w:rFonts w:ascii="Times New Roman" w:hAnsi="Times New Roman" w:cs="Times New Roman"/>
          <w:sz w:val="24"/>
          <w:szCs w:val="24"/>
        </w:rPr>
      </w:pPr>
    </w:p>
    <w:p w14:paraId="0E0EB029" w14:textId="77777777" w:rsidR="00E8336B" w:rsidRDefault="00E8336B" w:rsidP="00E8336B">
      <w:pPr>
        <w:spacing w:after="0" w:line="240" w:lineRule="auto"/>
        <w:rPr>
          <w:rFonts w:ascii="Times New Roman" w:eastAsia="Arial" w:hAnsi="Times New Roman" w:cs="Times New Roman"/>
          <w:sz w:val="24"/>
          <w:szCs w:val="24"/>
        </w:rPr>
      </w:pPr>
      <w:r w:rsidRPr="00357FDD">
        <w:rPr>
          <w:rFonts w:ascii="Times New Roman" w:eastAsia="Arial" w:hAnsi="Times New Roman" w:cs="Times New Roman"/>
          <w:sz w:val="24"/>
          <w:szCs w:val="24"/>
        </w:rPr>
        <w:t xml:space="preserve">MACHADO, A.F.; OLIVEIRA, A.M.H.C; </w:t>
      </w:r>
      <w:proofErr w:type="gramStart"/>
      <w:r w:rsidRPr="00357FDD">
        <w:rPr>
          <w:rFonts w:ascii="Times New Roman" w:eastAsia="Arial" w:hAnsi="Times New Roman" w:cs="Times New Roman"/>
          <w:sz w:val="24"/>
          <w:szCs w:val="24"/>
        </w:rPr>
        <w:t>WAJNMAN,S.</w:t>
      </w:r>
      <w:proofErr w:type="gramEnd"/>
      <w:r w:rsidRPr="00357FDD">
        <w:rPr>
          <w:rFonts w:ascii="Times New Roman" w:eastAsia="Arial" w:hAnsi="Times New Roman" w:cs="Times New Roman"/>
          <w:sz w:val="24"/>
          <w:szCs w:val="24"/>
        </w:rPr>
        <w:t xml:space="preserve"> Sexo Frágil? Evidências sobre a inserção da mulher no mercado de trabalho brasileiro. (Série Estudos do Trabalho – Coletânea Gelre, n. 3, ago. 2005).</w:t>
      </w:r>
    </w:p>
    <w:p w14:paraId="6488BFE7" w14:textId="77777777" w:rsidR="00E8336B" w:rsidRPr="00357FDD" w:rsidRDefault="00E8336B" w:rsidP="00E8336B">
      <w:pPr>
        <w:spacing w:after="0" w:line="240" w:lineRule="auto"/>
        <w:rPr>
          <w:rFonts w:ascii="Times New Roman" w:hAnsi="Times New Roman" w:cs="Times New Roman"/>
          <w:sz w:val="24"/>
          <w:szCs w:val="24"/>
        </w:rPr>
      </w:pPr>
    </w:p>
    <w:p w14:paraId="6D36E4CC" w14:textId="77777777" w:rsidR="00E8336B" w:rsidRPr="00562101" w:rsidRDefault="00E8336B" w:rsidP="00E8336B">
      <w:pPr>
        <w:spacing w:after="0" w:line="240" w:lineRule="auto"/>
        <w:rPr>
          <w:rFonts w:ascii="Times New Roman" w:eastAsia="Arial" w:hAnsi="Times New Roman" w:cs="Times New Roman"/>
          <w:sz w:val="24"/>
          <w:szCs w:val="24"/>
        </w:rPr>
      </w:pPr>
      <w:r w:rsidRPr="00562101">
        <w:rPr>
          <w:rFonts w:ascii="Times New Roman" w:hAnsi="Times New Roman" w:cs="Times New Roman"/>
          <w:sz w:val="24"/>
          <w:szCs w:val="24"/>
        </w:rPr>
        <w:t xml:space="preserve">GULARTE, </w:t>
      </w:r>
      <w:proofErr w:type="spellStart"/>
      <w:r w:rsidRPr="00562101">
        <w:rPr>
          <w:rFonts w:ascii="Times New Roman" w:hAnsi="Times New Roman" w:cs="Times New Roman"/>
          <w:sz w:val="24"/>
          <w:szCs w:val="24"/>
        </w:rPr>
        <w:t>Luis</w:t>
      </w:r>
      <w:proofErr w:type="spellEnd"/>
      <w:r w:rsidRPr="00562101">
        <w:rPr>
          <w:rFonts w:ascii="Times New Roman" w:hAnsi="Times New Roman" w:cs="Times New Roman"/>
          <w:sz w:val="24"/>
          <w:szCs w:val="24"/>
        </w:rPr>
        <w:t xml:space="preserve"> Carlos Pais; BEZERRA Fernanda Mendes, PINTO, </w:t>
      </w:r>
      <w:r>
        <w:rPr>
          <w:rFonts w:ascii="Times New Roman" w:hAnsi="Times New Roman" w:cs="Times New Roman"/>
          <w:sz w:val="24"/>
          <w:szCs w:val="24"/>
        </w:rPr>
        <w:t>Michele Aparecida Nepomuceno</w:t>
      </w:r>
      <w:r w:rsidRPr="00562101">
        <w:rPr>
          <w:rFonts w:ascii="Times New Roman" w:hAnsi="Times New Roman" w:cs="Times New Roman"/>
          <w:sz w:val="24"/>
          <w:szCs w:val="24"/>
        </w:rPr>
        <w:t>.</w:t>
      </w:r>
      <w:r>
        <w:rPr>
          <w:rFonts w:ascii="Times New Roman" w:hAnsi="Times New Roman" w:cs="Times New Roman"/>
          <w:sz w:val="24"/>
          <w:szCs w:val="24"/>
        </w:rPr>
        <w:t xml:space="preserve"> </w:t>
      </w:r>
      <w:r w:rsidRPr="00562101">
        <w:rPr>
          <w:rFonts w:ascii="Times New Roman" w:hAnsi="Times New Roman" w:cs="Times New Roman"/>
          <w:sz w:val="24"/>
          <w:szCs w:val="24"/>
        </w:rPr>
        <w:t xml:space="preserve">Discriminação salarial entre gêneros e raças no mercado de trabalho urbano brasileiro: evidências a partir dos dados da </w:t>
      </w:r>
      <w:proofErr w:type="spellStart"/>
      <w:r w:rsidRPr="00562101">
        <w:rPr>
          <w:rFonts w:ascii="Times New Roman" w:hAnsi="Times New Roman" w:cs="Times New Roman"/>
          <w:sz w:val="24"/>
          <w:szCs w:val="24"/>
        </w:rPr>
        <w:t>pnad</w:t>
      </w:r>
      <w:proofErr w:type="spellEnd"/>
      <w:r w:rsidRPr="00562101">
        <w:rPr>
          <w:rFonts w:ascii="Times New Roman" w:hAnsi="Times New Roman" w:cs="Times New Roman"/>
          <w:sz w:val="24"/>
          <w:szCs w:val="24"/>
        </w:rPr>
        <w:t xml:space="preserve"> para os anos de 1999 e 2009. In: II CONGRESSO NACIONAL DE PESQUISA EM CIÊNCIAS SOCIAIS APLICADAS, </w:t>
      </w:r>
      <w:proofErr w:type="gramStart"/>
      <w:r w:rsidRPr="00562101">
        <w:rPr>
          <w:rFonts w:ascii="Times New Roman" w:hAnsi="Times New Roman" w:cs="Times New Roman"/>
          <w:sz w:val="24"/>
          <w:szCs w:val="24"/>
        </w:rPr>
        <w:t>2.,</w:t>
      </w:r>
      <w:proofErr w:type="gramEnd"/>
      <w:r w:rsidRPr="00562101">
        <w:rPr>
          <w:rFonts w:ascii="Times New Roman" w:hAnsi="Times New Roman" w:cs="Times New Roman"/>
          <w:sz w:val="24"/>
          <w:szCs w:val="24"/>
        </w:rPr>
        <w:t xml:space="preserve"> 2013, Francisco Beltrão: Paraná. Disponível em: </w:t>
      </w:r>
      <w:hyperlink r:id="rId24" w:history="1">
        <w:r w:rsidRPr="00562101">
          <w:rPr>
            <w:rStyle w:val="Hyperlink"/>
            <w:rFonts w:ascii="Times New Roman" w:eastAsia="Arial" w:hAnsi="Times New Roman" w:cs="Times New Roman"/>
            <w:sz w:val="24"/>
            <w:szCs w:val="24"/>
          </w:rPr>
          <w:t>http://cac-php.unioeste.br/eventos/conape/anais/ii_conape/Arquivos/ciencias_economicas/Artigo15_6.pdf</w:t>
        </w:r>
      </w:hyperlink>
      <w:r>
        <w:rPr>
          <w:rFonts w:ascii="Times New Roman" w:eastAsia="Arial" w:hAnsi="Times New Roman" w:cs="Times New Roman"/>
          <w:sz w:val="24"/>
          <w:szCs w:val="24"/>
        </w:rPr>
        <w:t>. Acesso em: 20. fev. 2019.</w:t>
      </w:r>
    </w:p>
    <w:p w14:paraId="6DF444D1" w14:textId="77777777" w:rsidR="00E8336B" w:rsidRPr="00357FDD" w:rsidRDefault="00E8336B" w:rsidP="00E8336B">
      <w:pPr>
        <w:spacing w:after="0" w:line="240" w:lineRule="auto"/>
        <w:rPr>
          <w:rFonts w:ascii="Times New Roman" w:hAnsi="Times New Roman" w:cs="Times New Roman"/>
          <w:sz w:val="24"/>
          <w:szCs w:val="24"/>
        </w:rPr>
      </w:pPr>
    </w:p>
    <w:p w14:paraId="4F00F68B" w14:textId="77777777" w:rsidR="00E8336B" w:rsidRDefault="00E8336B" w:rsidP="00E8336B">
      <w:pPr>
        <w:spacing w:after="0" w:line="240" w:lineRule="auto"/>
        <w:rPr>
          <w:rFonts w:ascii="Times New Roman" w:eastAsia="Arial" w:hAnsi="Times New Roman" w:cs="Times New Roman"/>
          <w:sz w:val="24"/>
          <w:szCs w:val="24"/>
        </w:rPr>
      </w:pPr>
      <w:r w:rsidRPr="00357FDD">
        <w:rPr>
          <w:rFonts w:ascii="Times New Roman" w:eastAsia="Arial" w:hAnsi="Times New Roman" w:cs="Times New Roman"/>
          <w:sz w:val="24"/>
          <w:szCs w:val="24"/>
        </w:rPr>
        <w:t>CAVALIERI, C. H.; FERNANDES, R. Diferenciais de salários por gênero e cor: uma comparação entre as regiões brasileiras Revista de Economia Política, v. 18, n. 1(69), p. 158-175, janeiro-março/1998.</w:t>
      </w:r>
    </w:p>
    <w:p w14:paraId="72FF0CA2" w14:textId="77777777" w:rsidR="00E8336B" w:rsidRPr="00357FDD" w:rsidRDefault="00E8336B" w:rsidP="00E8336B">
      <w:pPr>
        <w:spacing w:after="0" w:line="240" w:lineRule="auto"/>
        <w:rPr>
          <w:rFonts w:ascii="Times New Roman" w:hAnsi="Times New Roman" w:cs="Times New Roman"/>
          <w:sz w:val="24"/>
          <w:szCs w:val="24"/>
        </w:rPr>
      </w:pPr>
    </w:p>
    <w:p w14:paraId="3D949066" w14:textId="77777777" w:rsidR="00E8336B" w:rsidRPr="00E8336B" w:rsidRDefault="00E8336B" w:rsidP="00E8336B">
      <w:pPr>
        <w:spacing w:after="0" w:line="240" w:lineRule="auto"/>
        <w:rPr>
          <w:rFonts w:ascii="Times New Roman" w:hAnsi="Times New Roman" w:cs="Times New Roman"/>
          <w:sz w:val="24"/>
          <w:szCs w:val="24"/>
          <w:lang w:val="en-US"/>
        </w:rPr>
      </w:pPr>
      <w:r w:rsidRPr="00E8336B">
        <w:rPr>
          <w:rStyle w:val="Hyperlink"/>
          <w:rFonts w:ascii="Times New Roman" w:eastAsia="Arial" w:hAnsi="Times New Roman" w:cs="Times New Roman"/>
          <w:color w:val="auto"/>
          <w:sz w:val="24"/>
          <w:szCs w:val="24"/>
          <w:u w:val="none"/>
          <w:lang w:val="en-US"/>
        </w:rPr>
        <w:t xml:space="preserve">INTERNATIONAL BANK FOR RECONSTRUCTION AND DEVEKIPMENT/ THE WORLD BANK GROUP. </w:t>
      </w:r>
      <w:r w:rsidRPr="00E8336B">
        <w:rPr>
          <w:rStyle w:val="Hyperlink"/>
          <w:rFonts w:ascii="Times New Roman" w:eastAsia="Arial" w:hAnsi="Times New Roman" w:cs="Times New Roman"/>
          <w:i/>
          <w:color w:val="auto"/>
          <w:sz w:val="24"/>
          <w:szCs w:val="24"/>
          <w:u w:val="none"/>
          <w:lang w:val="en-US"/>
        </w:rPr>
        <w:t>Women, Business and the Law,</w:t>
      </w:r>
      <w:r w:rsidRPr="00E8336B">
        <w:rPr>
          <w:rStyle w:val="Hyperlink"/>
          <w:rFonts w:ascii="Times New Roman" w:eastAsia="Arial" w:hAnsi="Times New Roman" w:cs="Times New Roman"/>
          <w:color w:val="auto"/>
          <w:sz w:val="24"/>
          <w:szCs w:val="24"/>
          <w:u w:val="none"/>
          <w:lang w:val="en-US"/>
        </w:rPr>
        <w:t xml:space="preserve"> 2019. </w:t>
      </w:r>
      <w:proofErr w:type="spellStart"/>
      <w:r w:rsidRPr="00E8336B">
        <w:rPr>
          <w:rStyle w:val="Hyperlink"/>
          <w:rFonts w:ascii="Times New Roman" w:eastAsia="Arial" w:hAnsi="Times New Roman" w:cs="Times New Roman"/>
          <w:color w:val="auto"/>
          <w:sz w:val="24"/>
          <w:szCs w:val="24"/>
          <w:u w:val="none"/>
          <w:lang w:val="en-US"/>
        </w:rPr>
        <w:t>Disponível</w:t>
      </w:r>
      <w:proofErr w:type="spellEnd"/>
      <w:r w:rsidRPr="00E8336B">
        <w:rPr>
          <w:rStyle w:val="Hyperlink"/>
          <w:rFonts w:ascii="Times New Roman" w:eastAsia="Arial" w:hAnsi="Times New Roman" w:cs="Times New Roman"/>
          <w:color w:val="auto"/>
          <w:sz w:val="24"/>
          <w:szCs w:val="24"/>
          <w:u w:val="none"/>
          <w:lang w:val="en-US"/>
        </w:rPr>
        <w:t xml:space="preserve"> </w:t>
      </w:r>
      <w:proofErr w:type="spellStart"/>
      <w:r w:rsidRPr="00E8336B">
        <w:rPr>
          <w:rStyle w:val="Hyperlink"/>
          <w:rFonts w:ascii="Times New Roman" w:eastAsia="Arial" w:hAnsi="Times New Roman" w:cs="Times New Roman"/>
          <w:color w:val="auto"/>
          <w:sz w:val="24"/>
          <w:szCs w:val="24"/>
          <w:u w:val="none"/>
          <w:lang w:val="en-US"/>
        </w:rPr>
        <w:t>em</w:t>
      </w:r>
      <w:proofErr w:type="spellEnd"/>
      <w:r w:rsidRPr="00E8336B">
        <w:rPr>
          <w:rStyle w:val="Hyperlink"/>
          <w:rFonts w:ascii="Times New Roman" w:eastAsia="Arial" w:hAnsi="Times New Roman" w:cs="Times New Roman"/>
          <w:color w:val="auto"/>
          <w:sz w:val="24"/>
          <w:szCs w:val="24"/>
          <w:u w:val="none"/>
          <w:lang w:val="en-US"/>
        </w:rPr>
        <w:t>:</w:t>
      </w:r>
    </w:p>
    <w:p w14:paraId="0774621D" w14:textId="77777777" w:rsidR="00E8336B" w:rsidRDefault="00E8336B" w:rsidP="00E8336B">
      <w:pPr>
        <w:spacing w:after="0" w:line="240" w:lineRule="auto"/>
        <w:rPr>
          <w:rFonts w:ascii="Times New Roman" w:eastAsia="Arial" w:hAnsi="Times New Roman" w:cs="Times New Roman"/>
          <w:sz w:val="24"/>
          <w:szCs w:val="24"/>
        </w:rPr>
      </w:pPr>
      <w:hyperlink r:id="rId25" w:history="1">
        <w:r w:rsidRPr="00E8336B">
          <w:rPr>
            <w:rStyle w:val="Hyperlink"/>
            <w:rFonts w:ascii="Times New Roman" w:eastAsia="Arial" w:hAnsi="Times New Roman" w:cs="Times New Roman"/>
            <w:sz w:val="24"/>
            <w:szCs w:val="24"/>
            <w:lang w:val="en-US"/>
          </w:rPr>
          <w:t>https://openknowledge.worldbank.org/bitstream/handle/10986/31327/WBL2019.pdf</w:t>
        </w:r>
      </w:hyperlink>
      <w:r w:rsidRPr="00E8336B">
        <w:rPr>
          <w:rFonts w:ascii="Times New Roman" w:eastAsia="Arial" w:hAnsi="Times New Roman" w:cs="Times New Roman"/>
          <w:sz w:val="24"/>
          <w:szCs w:val="24"/>
          <w:lang w:val="en-US"/>
        </w:rPr>
        <w:t xml:space="preserve">. </w:t>
      </w:r>
      <w:r>
        <w:rPr>
          <w:rFonts w:ascii="Times New Roman" w:eastAsia="Arial" w:hAnsi="Times New Roman" w:cs="Times New Roman"/>
          <w:sz w:val="24"/>
          <w:szCs w:val="24"/>
        </w:rPr>
        <w:t>Acesso em: 14. Mar. 2019.</w:t>
      </w:r>
    </w:p>
    <w:p w14:paraId="16E4A9D6" w14:textId="77777777" w:rsidR="00E8336B" w:rsidRPr="00357FDD" w:rsidRDefault="00E8336B" w:rsidP="00E8336B">
      <w:pPr>
        <w:spacing w:after="0" w:line="240" w:lineRule="auto"/>
        <w:rPr>
          <w:rFonts w:ascii="Times New Roman" w:hAnsi="Times New Roman" w:cs="Times New Roman"/>
          <w:sz w:val="24"/>
          <w:szCs w:val="24"/>
        </w:rPr>
      </w:pPr>
    </w:p>
    <w:p w14:paraId="5D542C2A" w14:textId="77777777" w:rsidR="00E8336B" w:rsidRDefault="00E8336B" w:rsidP="00E8336B">
      <w:pPr>
        <w:spacing w:after="0" w:line="240" w:lineRule="auto"/>
        <w:rPr>
          <w:rFonts w:ascii="Times New Roman" w:eastAsia="Arial" w:hAnsi="Times New Roman" w:cs="Times New Roman"/>
          <w:sz w:val="24"/>
          <w:szCs w:val="24"/>
        </w:rPr>
      </w:pPr>
      <w:r w:rsidRPr="00357FDD">
        <w:rPr>
          <w:rFonts w:ascii="Times New Roman" w:eastAsia="Arial" w:hAnsi="Times New Roman" w:cs="Times New Roman"/>
          <w:sz w:val="24"/>
          <w:szCs w:val="24"/>
        </w:rPr>
        <w:t>COSTA, R. S. S.; A mulher negra e o mercado de trabalho. 2007. Disponível em: &lt;http://www.itaporanga.net/genero/1/GT10/17.pdf&gt;. Acesso em: 16/02/2012.</w:t>
      </w:r>
    </w:p>
    <w:p w14:paraId="012F34A8" w14:textId="77777777" w:rsidR="00E8336B" w:rsidRPr="00357FDD" w:rsidRDefault="00E8336B" w:rsidP="00E8336B">
      <w:pPr>
        <w:spacing w:after="0" w:line="240" w:lineRule="auto"/>
        <w:rPr>
          <w:rFonts w:ascii="Times New Roman" w:hAnsi="Times New Roman" w:cs="Times New Roman"/>
          <w:sz w:val="24"/>
          <w:szCs w:val="24"/>
        </w:rPr>
      </w:pPr>
    </w:p>
    <w:p w14:paraId="0B03CC01" w14:textId="77777777" w:rsidR="00E8336B" w:rsidRPr="00357FDD" w:rsidRDefault="00E8336B" w:rsidP="00E8336B">
      <w:pPr>
        <w:spacing w:after="0" w:line="240" w:lineRule="auto"/>
        <w:rPr>
          <w:rFonts w:ascii="Times New Roman" w:hAnsi="Times New Roman" w:cs="Times New Roman"/>
          <w:sz w:val="24"/>
          <w:szCs w:val="24"/>
        </w:rPr>
      </w:pPr>
      <w:r w:rsidRPr="00357FDD">
        <w:rPr>
          <w:rFonts w:ascii="Times New Roman" w:eastAsia="Calibri" w:hAnsi="Times New Roman" w:cs="Times New Roman"/>
          <w:sz w:val="24"/>
          <w:szCs w:val="24"/>
        </w:rPr>
        <w:t>HENRIQUES, R. Desigualdade racial no Brasil: Evolução das condições de vida na década de 90. Rio de Janeiro: IPEA, 2001. (Texto para discussão, n. 807).</w:t>
      </w:r>
    </w:p>
    <w:p w14:paraId="2BB5F3F8" w14:textId="77777777" w:rsidR="00E8336B" w:rsidRPr="00357FDD" w:rsidRDefault="00E8336B" w:rsidP="00E8336B">
      <w:pPr>
        <w:spacing w:after="0" w:line="240" w:lineRule="auto"/>
        <w:rPr>
          <w:rFonts w:ascii="Times New Roman" w:hAnsi="Times New Roman" w:cs="Times New Roman"/>
          <w:sz w:val="24"/>
          <w:szCs w:val="24"/>
        </w:rPr>
      </w:pPr>
    </w:p>
    <w:p w14:paraId="7E5D3982" w14:textId="77777777" w:rsidR="00E8336B" w:rsidRDefault="00E8336B" w:rsidP="00E8336B">
      <w:pPr>
        <w:spacing w:after="0" w:line="240" w:lineRule="auto"/>
        <w:rPr>
          <w:rFonts w:ascii="Times New Roman" w:eastAsia="Arial" w:hAnsi="Times New Roman" w:cs="Times New Roman"/>
          <w:sz w:val="24"/>
          <w:szCs w:val="24"/>
        </w:rPr>
      </w:pPr>
      <w:r w:rsidRPr="00357FDD">
        <w:rPr>
          <w:rFonts w:ascii="Times New Roman" w:eastAsia="Arial" w:hAnsi="Times New Roman" w:cs="Times New Roman"/>
          <w:sz w:val="24"/>
          <w:szCs w:val="24"/>
        </w:rPr>
        <w:t>DIEESE. A situação do trabalho no Brasil. São Paulo: DIEESE, 2001. 354 p</w:t>
      </w:r>
    </w:p>
    <w:p w14:paraId="59743290" w14:textId="77777777" w:rsidR="00E8336B" w:rsidRPr="00357FDD" w:rsidRDefault="00E8336B" w:rsidP="00E8336B">
      <w:pPr>
        <w:spacing w:after="0" w:line="240" w:lineRule="auto"/>
        <w:rPr>
          <w:rFonts w:ascii="Times New Roman" w:hAnsi="Times New Roman" w:cs="Times New Roman"/>
          <w:sz w:val="24"/>
          <w:szCs w:val="24"/>
        </w:rPr>
      </w:pPr>
    </w:p>
    <w:p w14:paraId="59C4A9FC" w14:textId="77777777" w:rsidR="00E8336B" w:rsidRPr="00EE7EE9" w:rsidRDefault="00E8336B" w:rsidP="00E8336B">
      <w:pPr>
        <w:spacing w:after="0" w:line="240" w:lineRule="auto"/>
        <w:rPr>
          <w:rFonts w:ascii="Times New Roman" w:eastAsia="Arial" w:hAnsi="Times New Roman" w:cs="Times New Roman"/>
          <w:sz w:val="24"/>
          <w:szCs w:val="24"/>
        </w:rPr>
      </w:pPr>
      <w:r w:rsidRPr="00EE7EE9">
        <w:rPr>
          <w:rFonts w:ascii="Times New Roman" w:hAnsi="Times New Roman" w:cs="Times New Roman"/>
          <w:sz w:val="24"/>
          <w:szCs w:val="24"/>
        </w:rPr>
        <w:t>Centro de Estudos Avançados em Economia Aplicada (CEPEA). Mulheres no Agronegócio. Piracicaba</w:t>
      </w:r>
      <w:r>
        <w:rPr>
          <w:rFonts w:ascii="Times New Roman" w:hAnsi="Times New Roman" w:cs="Times New Roman"/>
          <w:sz w:val="24"/>
          <w:szCs w:val="24"/>
        </w:rPr>
        <w:t>: São Paulo</w:t>
      </w:r>
      <w:r w:rsidRPr="00EE7EE9">
        <w:rPr>
          <w:rFonts w:ascii="Times New Roman" w:hAnsi="Times New Roman" w:cs="Times New Roman"/>
          <w:sz w:val="24"/>
          <w:szCs w:val="24"/>
        </w:rPr>
        <w:t>, v. 3, Março, 2019. Disponível em:</w:t>
      </w:r>
    </w:p>
    <w:p w14:paraId="68BA030F" w14:textId="77777777" w:rsidR="00E8336B" w:rsidRPr="00EE7EE9" w:rsidRDefault="00E8336B" w:rsidP="00E8336B">
      <w:pPr>
        <w:spacing w:after="0" w:line="240" w:lineRule="auto"/>
        <w:rPr>
          <w:rStyle w:val="Hyperlink"/>
          <w:rFonts w:ascii="Times New Roman" w:eastAsia="Arial" w:hAnsi="Times New Roman" w:cs="Times New Roman"/>
          <w:sz w:val="24"/>
          <w:szCs w:val="24"/>
        </w:rPr>
      </w:pPr>
      <w:hyperlink r:id="rId26">
        <w:r w:rsidRPr="00EE7EE9">
          <w:rPr>
            <w:rStyle w:val="Hyperlink"/>
            <w:rFonts w:ascii="Times New Roman" w:eastAsia="Arial" w:hAnsi="Times New Roman" w:cs="Times New Roman"/>
            <w:sz w:val="24"/>
            <w:szCs w:val="24"/>
          </w:rPr>
          <w:t>https://www.cepea.esalq.usp.br/upload/kceditor/files/Mulheres%20no%20agro_VOLUME3(1).pdf</w:t>
        </w:r>
      </w:hyperlink>
      <w:r w:rsidRPr="00EE7EE9">
        <w:rPr>
          <w:rStyle w:val="Hyperlink"/>
          <w:rFonts w:ascii="Times New Roman" w:eastAsia="Arial" w:hAnsi="Times New Roman" w:cs="Times New Roman"/>
          <w:sz w:val="24"/>
          <w:szCs w:val="24"/>
        </w:rPr>
        <w:t>.</w:t>
      </w:r>
      <w:r w:rsidRPr="00EE7EE9">
        <w:rPr>
          <w:rStyle w:val="Hyperlink"/>
          <w:rFonts w:ascii="Times New Roman" w:eastAsia="Arial" w:hAnsi="Times New Roman" w:cs="Times New Roman"/>
          <w:color w:val="auto"/>
          <w:sz w:val="24"/>
          <w:szCs w:val="24"/>
          <w:u w:val="none"/>
        </w:rPr>
        <w:t xml:space="preserve"> Acesso: 10. </w:t>
      </w:r>
      <w:r>
        <w:rPr>
          <w:rStyle w:val="Hyperlink"/>
          <w:rFonts w:ascii="Times New Roman" w:eastAsia="Arial" w:hAnsi="Times New Roman" w:cs="Times New Roman"/>
          <w:color w:val="auto"/>
          <w:sz w:val="24"/>
          <w:szCs w:val="24"/>
          <w:u w:val="none"/>
        </w:rPr>
        <w:t>m</w:t>
      </w:r>
      <w:r w:rsidRPr="00EE7EE9">
        <w:rPr>
          <w:rStyle w:val="Hyperlink"/>
          <w:rFonts w:ascii="Times New Roman" w:eastAsia="Arial" w:hAnsi="Times New Roman" w:cs="Times New Roman"/>
          <w:color w:val="auto"/>
          <w:sz w:val="24"/>
          <w:szCs w:val="24"/>
          <w:u w:val="none"/>
        </w:rPr>
        <w:t>ar. 2019.</w:t>
      </w:r>
    </w:p>
    <w:p w14:paraId="43144079" w14:textId="77777777" w:rsidR="00E8336B" w:rsidRPr="009F7C5C" w:rsidRDefault="00E8336B" w:rsidP="00E8336B">
      <w:pPr>
        <w:spacing w:after="0" w:line="240" w:lineRule="auto"/>
        <w:rPr>
          <w:rFonts w:ascii="Times New Roman" w:eastAsia="Arial" w:hAnsi="Times New Roman" w:cs="Times New Roman"/>
          <w:color w:val="FF0000"/>
          <w:sz w:val="24"/>
          <w:szCs w:val="24"/>
        </w:rPr>
      </w:pPr>
    </w:p>
    <w:p w14:paraId="7AFA3C9E" w14:textId="77777777" w:rsidR="00E8336B" w:rsidRPr="009F7C5C" w:rsidRDefault="00E8336B" w:rsidP="00E8336B">
      <w:pPr>
        <w:spacing w:after="0" w:line="240" w:lineRule="auto"/>
        <w:rPr>
          <w:rFonts w:ascii="Times New Roman" w:eastAsia="Arial" w:hAnsi="Times New Roman" w:cs="Times New Roman"/>
          <w:color w:val="FF0000"/>
          <w:sz w:val="24"/>
          <w:szCs w:val="24"/>
        </w:rPr>
      </w:pPr>
      <w:r w:rsidRPr="009F7C5C">
        <w:rPr>
          <w:rFonts w:ascii="Times New Roman" w:eastAsia="Arial" w:hAnsi="Times New Roman" w:cs="Times New Roman"/>
          <w:color w:val="FF0000"/>
          <w:sz w:val="24"/>
          <w:szCs w:val="24"/>
        </w:rPr>
        <w:t>Centro de Estudos do Agronegócio da Fundação Getúlio Vargas</w:t>
      </w:r>
    </w:p>
    <w:p w14:paraId="6CF4715B" w14:textId="77777777" w:rsidR="00E8336B" w:rsidRPr="00357FDD" w:rsidRDefault="00E8336B" w:rsidP="00E8336B">
      <w:pPr>
        <w:spacing w:after="0" w:line="240" w:lineRule="auto"/>
        <w:rPr>
          <w:rFonts w:ascii="Times New Roman" w:hAnsi="Times New Roman" w:cs="Times New Roman"/>
          <w:sz w:val="24"/>
          <w:szCs w:val="24"/>
        </w:rPr>
      </w:pPr>
      <w:r w:rsidRPr="00357FDD">
        <w:rPr>
          <w:rFonts w:ascii="Times New Roman" w:hAnsi="Times New Roman" w:cs="Times New Roman"/>
          <w:sz w:val="24"/>
          <w:szCs w:val="24"/>
        </w:rPr>
        <w:br/>
      </w:r>
      <w:r w:rsidRPr="00357FDD">
        <w:rPr>
          <w:rFonts w:ascii="Times New Roman" w:eastAsia="Calibri" w:hAnsi="Times New Roman" w:cs="Times New Roman"/>
          <w:sz w:val="24"/>
          <w:szCs w:val="24"/>
        </w:rPr>
        <w:t>STEIN, Guilherme; SULZBACH, Vanessa Neumann; BARTELS, Mariana. Relatório sobre o mercado de trabalho do Rio Grande do Sul — 2001-13. Porto Alegre: FEE, 2015.</w:t>
      </w:r>
    </w:p>
    <w:p w14:paraId="78ADA8EA" w14:textId="77777777" w:rsidR="00E8336B" w:rsidRPr="00357FDD" w:rsidRDefault="00E8336B" w:rsidP="00E8336B">
      <w:pPr>
        <w:spacing w:after="0" w:line="240" w:lineRule="auto"/>
        <w:rPr>
          <w:rFonts w:ascii="Times New Roman" w:hAnsi="Times New Roman" w:cs="Times New Roman"/>
          <w:sz w:val="24"/>
          <w:szCs w:val="24"/>
        </w:rPr>
      </w:pPr>
      <w:bookmarkStart w:id="6" w:name="_GoBack"/>
      <w:bookmarkEnd w:id="6"/>
    </w:p>
    <w:p w14:paraId="393618C3" w14:textId="77777777" w:rsidR="00E8336B" w:rsidRDefault="00E8336B" w:rsidP="00E8336B">
      <w:pPr>
        <w:rPr>
          <w:rFonts w:ascii="Arial" w:eastAsia="Arial" w:hAnsi="Arial" w:cs="Arial"/>
          <w:b/>
          <w:bCs/>
          <w:sz w:val="24"/>
          <w:szCs w:val="24"/>
        </w:rPr>
      </w:pPr>
    </w:p>
    <w:p w14:paraId="35652D88" w14:textId="77777777" w:rsidR="00E8336B" w:rsidRDefault="00E8336B" w:rsidP="1F07AD4D">
      <w:pPr>
        <w:rPr>
          <w:rFonts w:ascii="Arial" w:eastAsia="Arial" w:hAnsi="Arial" w:cs="Arial"/>
          <w:b/>
          <w:bCs/>
          <w:sz w:val="24"/>
          <w:szCs w:val="24"/>
        </w:rPr>
      </w:pPr>
    </w:p>
    <w:sectPr w:rsidR="00E8336B">
      <w:headerReference w:type="default" r:id="rId27"/>
      <w:footerReference w:type="default" r:id="rId28"/>
      <w:pgSz w:w="11906" w:h="16838"/>
      <w:pgMar w:top="1701" w:right="1134" w:bottom="1134"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taiz Schmitz" w:date="2019-05-16T10:20:00Z" w:initials="AS">
    <w:p w14:paraId="2EDE543F" w14:textId="77777777" w:rsidR="00E8336B" w:rsidRDefault="00E8336B" w:rsidP="00E8336B">
      <w:pPr>
        <w:spacing w:after="0" w:line="240" w:lineRule="auto"/>
        <w:rPr>
          <w:rStyle w:val="Hyperlink"/>
          <w:rFonts w:ascii="Times New Roman" w:eastAsia="Arial" w:hAnsi="Times New Roman" w:cs="Times New Roman"/>
          <w:color w:val="1155CC"/>
          <w:sz w:val="24"/>
          <w:szCs w:val="24"/>
        </w:rPr>
      </w:pPr>
      <w:r>
        <w:rPr>
          <w:rStyle w:val="Refdecomentrio"/>
        </w:rPr>
        <w:annotationRef/>
      </w:r>
      <w:r>
        <w:t xml:space="preserve">Verificar com o Bruno se a citação está correta, do link </w:t>
      </w:r>
      <w:hyperlink r:id="rId1">
        <w:r w:rsidRPr="00357FDD">
          <w:rPr>
            <w:rStyle w:val="Hyperlink"/>
            <w:rFonts w:ascii="Times New Roman" w:eastAsia="Arial" w:hAnsi="Times New Roman" w:cs="Times New Roman"/>
            <w:color w:val="1155CC"/>
            <w:sz w:val="24"/>
            <w:szCs w:val="24"/>
          </w:rPr>
          <w:t>http://www.funag.gov.br/ipri/index.php/o-ipri/47-estatisticas/94-as-15-maiores-economias-do-mundo-em-pib-e-pib-ppp</w:t>
        </w:r>
      </w:hyperlink>
    </w:p>
    <w:p w14:paraId="2252C98F" w14:textId="77777777" w:rsidR="00E8336B" w:rsidRDefault="00E8336B" w:rsidP="00E8336B">
      <w:pPr>
        <w:pStyle w:val="Textodecomentrio"/>
      </w:pPr>
    </w:p>
    <w:p w14:paraId="5D0B302A" w14:textId="77777777" w:rsidR="00E8336B" w:rsidRDefault="00E8336B" w:rsidP="00E8336B">
      <w:pPr>
        <w:pStyle w:val="Textodecomentrio"/>
      </w:pPr>
    </w:p>
  </w:comment>
  <w:comment w:id="1" w:author="Ataiz Schmitz" w:date="2019-05-16T13:36:00Z" w:initials="AS">
    <w:p w14:paraId="1143A476" w14:textId="77777777" w:rsidR="00E8336B" w:rsidRDefault="00E8336B" w:rsidP="00E8336B">
      <w:pPr>
        <w:pStyle w:val="Textodecomentrio"/>
      </w:pPr>
      <w:r>
        <w:rPr>
          <w:rStyle w:val="Refdecomentrio"/>
        </w:rPr>
        <w:annotationRef/>
      </w:r>
      <w:r>
        <w:t>Acha interessante deixar essa parte que reafirma a anterior?</w:t>
      </w:r>
    </w:p>
  </w:comment>
  <w:comment w:id="2" w:author="Ataiz Schmitz" w:date="2019-05-16T14:53:00Z" w:initials="AS">
    <w:p w14:paraId="6B08F73D" w14:textId="77777777" w:rsidR="00E8336B" w:rsidRDefault="00E8336B" w:rsidP="00E8336B">
      <w:pPr>
        <w:pStyle w:val="Textodecomentrio"/>
      </w:pPr>
      <w:r>
        <w:rPr>
          <w:rStyle w:val="Refdecomentrio"/>
        </w:rPr>
        <w:annotationRef/>
      </w:r>
      <w:r>
        <w:t>Bruno, você julga importante essa parte? Não sei se está relacionada com o nosso trabalho. Se for preciso reescrever, é cópia de outro.</w:t>
      </w:r>
    </w:p>
  </w:comment>
  <w:comment w:id="3" w:author="Ataiz Schmitz" w:date="2019-05-16T15:02:00Z" w:initials="AS">
    <w:p w14:paraId="5201DE17" w14:textId="77777777" w:rsidR="00E8336B" w:rsidRDefault="00E8336B" w:rsidP="00E8336B">
      <w:pPr>
        <w:pStyle w:val="Textodecomentrio"/>
      </w:pPr>
      <w:r>
        <w:rPr>
          <w:rStyle w:val="Refdecomentrio"/>
        </w:rPr>
        <w:annotationRef/>
      </w:r>
      <w:r>
        <w:t xml:space="preserve">Bruno, acha pertinente procurar </w:t>
      </w:r>
      <w:proofErr w:type="gramStart"/>
      <w:r>
        <w:t>dados ,</w:t>
      </w:r>
      <w:proofErr w:type="gramEnd"/>
      <w:r>
        <w:t xml:space="preserve"> porcentagens?</w:t>
      </w:r>
    </w:p>
  </w:comment>
  <w:comment w:id="4" w:author="Ataiz Schmitz" w:date="2019-05-15T14:18:00Z" w:initials="AS">
    <w:p w14:paraId="2CB1E6CF" w14:textId="77777777" w:rsidR="00E8336B" w:rsidRDefault="00E8336B" w:rsidP="00E8336B">
      <w:pPr>
        <w:pStyle w:val="Textodecomentrio"/>
      </w:pPr>
      <w:r>
        <w:rPr>
          <w:rStyle w:val="Refdecomentrio"/>
        </w:rPr>
        <w:annotationRef/>
      </w:r>
      <w:r>
        <w:t>Detalhar mais?</w:t>
      </w:r>
    </w:p>
    <w:p w14:paraId="3FF04D7E" w14:textId="77777777" w:rsidR="00E8336B" w:rsidRDefault="00E8336B" w:rsidP="00E8336B">
      <w:pPr>
        <w:pStyle w:val="Textodecomentrio"/>
      </w:pPr>
    </w:p>
  </w:comment>
  <w:comment w:id="5" w:author="Ataiz Schmitz" w:date="2019-05-16T16:17:00Z" w:initials="AS">
    <w:p w14:paraId="00D9C0C1" w14:textId="77777777" w:rsidR="00E8336B" w:rsidRDefault="00E8336B" w:rsidP="00E8336B">
      <w:pPr>
        <w:autoSpaceDE w:val="0"/>
        <w:autoSpaceDN w:val="0"/>
        <w:adjustRightInd w:val="0"/>
        <w:spacing w:after="0" w:line="240" w:lineRule="auto"/>
        <w:rPr>
          <w:rFonts w:ascii="Arial" w:hAnsi="Arial" w:cs="Arial"/>
          <w:sz w:val="20"/>
          <w:szCs w:val="20"/>
        </w:rPr>
      </w:pPr>
      <w:r>
        <w:rPr>
          <w:rStyle w:val="Refdecomentrio"/>
        </w:rPr>
        <w:annotationRef/>
      </w:r>
      <w:r>
        <w:rPr>
          <w:rFonts w:ascii="Arial" w:hAnsi="Arial" w:cs="Arial"/>
          <w:sz w:val="20"/>
          <w:szCs w:val="20"/>
        </w:rPr>
        <w:t xml:space="preserve">A taxa de retorno da escolaridade dos trabalhadores observada no Brasil (8,8%) </w:t>
      </w:r>
      <w:proofErr w:type="spellStart"/>
      <w:r>
        <w:rPr>
          <w:rFonts w:ascii="Arial" w:hAnsi="Arial" w:cs="Arial"/>
          <w:sz w:val="20"/>
          <w:szCs w:val="20"/>
        </w:rPr>
        <w:t>assemelhase</w:t>
      </w:r>
      <w:proofErr w:type="spellEnd"/>
    </w:p>
    <w:p w14:paraId="3CC467C2" w14:textId="77777777" w:rsidR="00E8336B" w:rsidRDefault="00E8336B" w:rsidP="00E8336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à</w:t>
      </w:r>
      <w:proofErr w:type="gramEnd"/>
      <w:r>
        <w:rPr>
          <w:rFonts w:ascii="Arial" w:hAnsi="Arial" w:cs="Arial"/>
          <w:sz w:val="20"/>
          <w:szCs w:val="20"/>
        </w:rPr>
        <w:t xml:space="preserve"> da América Latina nos anos 2000 (9,2%); é superior à registrada na Europa (7,4%) e inferior à observada nos Estados Unidos (13,3% em 2010), de acordo com Estudo do Banco Mundial</w:t>
      </w:r>
      <w:r>
        <w:rPr>
          <w:rFonts w:ascii="Arial" w:hAnsi="Arial" w:cs="Arial"/>
          <w:sz w:val="13"/>
          <w:szCs w:val="13"/>
        </w:rPr>
        <w:t>1</w:t>
      </w:r>
      <w:r>
        <w:rPr>
          <w:rFonts w:ascii="Arial" w:hAnsi="Arial" w:cs="Arial"/>
          <w:sz w:val="20"/>
          <w:szCs w:val="20"/>
        </w:rPr>
        <w:t>.</w:t>
      </w:r>
    </w:p>
    <w:p w14:paraId="55CD476E" w14:textId="77777777" w:rsidR="00E8336B" w:rsidRDefault="00E8336B" w:rsidP="00E8336B">
      <w:pPr>
        <w:pStyle w:val="Textodecoment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0B302A" w15:done="0"/>
  <w15:commentEx w15:paraId="1143A476" w15:done="0"/>
  <w15:commentEx w15:paraId="6B08F73D" w15:done="0"/>
  <w15:commentEx w15:paraId="5201DE17" w15:done="0"/>
  <w15:commentEx w15:paraId="3FF04D7E" w15:done="0"/>
  <w15:commentEx w15:paraId="55CD47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2A9778" w14:textId="77777777" w:rsidR="007E57BC" w:rsidRDefault="007E57BC">
      <w:pPr>
        <w:spacing w:after="0" w:line="240" w:lineRule="auto"/>
      </w:pPr>
      <w:r>
        <w:separator/>
      </w:r>
    </w:p>
  </w:endnote>
  <w:endnote w:type="continuationSeparator" w:id="0">
    <w:p w14:paraId="6387ECCB" w14:textId="77777777" w:rsidR="007E57BC" w:rsidRDefault="007E5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9"/>
      <w:gridCol w:w="3009"/>
      <w:gridCol w:w="3009"/>
    </w:tblGrid>
    <w:tr w:rsidR="007E57BC" w14:paraId="57CE1837" w14:textId="77777777" w:rsidTr="22095562">
      <w:tc>
        <w:tcPr>
          <w:tcW w:w="3009" w:type="dxa"/>
        </w:tcPr>
        <w:p w14:paraId="659FA71E" w14:textId="31052207" w:rsidR="007E57BC" w:rsidRDefault="007E57BC" w:rsidP="22095562">
          <w:pPr>
            <w:pStyle w:val="Cabealho"/>
            <w:ind w:left="-115"/>
          </w:pPr>
        </w:p>
      </w:tc>
      <w:tc>
        <w:tcPr>
          <w:tcW w:w="3009" w:type="dxa"/>
        </w:tcPr>
        <w:p w14:paraId="1BB1E2F4" w14:textId="6B666A47" w:rsidR="007E57BC" w:rsidRDefault="007E57BC" w:rsidP="22095562">
          <w:pPr>
            <w:pStyle w:val="Cabealho"/>
            <w:jc w:val="center"/>
          </w:pPr>
        </w:p>
      </w:tc>
      <w:tc>
        <w:tcPr>
          <w:tcW w:w="3009" w:type="dxa"/>
        </w:tcPr>
        <w:p w14:paraId="45C4AE4A" w14:textId="6D491245" w:rsidR="007E57BC" w:rsidRDefault="007E57BC" w:rsidP="22095562">
          <w:pPr>
            <w:pStyle w:val="Cabealho"/>
            <w:ind w:right="-115"/>
            <w:jc w:val="right"/>
          </w:pPr>
        </w:p>
      </w:tc>
    </w:tr>
  </w:tbl>
  <w:p w14:paraId="1B3FD993" w14:textId="490344DA" w:rsidR="007E57BC" w:rsidRDefault="007E57BC" w:rsidP="2209556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7FC874" w14:textId="77777777" w:rsidR="007E57BC" w:rsidRDefault="007E57BC">
      <w:pPr>
        <w:spacing w:after="0" w:line="240" w:lineRule="auto"/>
      </w:pPr>
      <w:r>
        <w:separator/>
      </w:r>
    </w:p>
  </w:footnote>
  <w:footnote w:type="continuationSeparator" w:id="0">
    <w:p w14:paraId="0FD1DB83" w14:textId="77777777" w:rsidR="007E57BC" w:rsidRDefault="007E57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9"/>
      <w:gridCol w:w="3009"/>
      <w:gridCol w:w="3009"/>
    </w:tblGrid>
    <w:tr w:rsidR="007E57BC" w14:paraId="517EF522" w14:textId="77777777" w:rsidTr="22095562">
      <w:tc>
        <w:tcPr>
          <w:tcW w:w="3009" w:type="dxa"/>
        </w:tcPr>
        <w:p w14:paraId="0C863979" w14:textId="64EF7A72" w:rsidR="007E57BC" w:rsidRDefault="007E57BC" w:rsidP="22095562">
          <w:pPr>
            <w:pStyle w:val="Cabealho"/>
            <w:ind w:left="-115"/>
          </w:pPr>
        </w:p>
      </w:tc>
      <w:tc>
        <w:tcPr>
          <w:tcW w:w="3009" w:type="dxa"/>
        </w:tcPr>
        <w:p w14:paraId="43C320A5" w14:textId="5AADD9D9" w:rsidR="007E57BC" w:rsidRDefault="007E57BC" w:rsidP="22095562">
          <w:pPr>
            <w:pStyle w:val="Cabealho"/>
            <w:jc w:val="center"/>
          </w:pPr>
        </w:p>
      </w:tc>
      <w:tc>
        <w:tcPr>
          <w:tcW w:w="3009" w:type="dxa"/>
        </w:tcPr>
        <w:p w14:paraId="4866FC94" w14:textId="5F62C69F" w:rsidR="007E57BC" w:rsidRDefault="007E57BC" w:rsidP="22095562">
          <w:pPr>
            <w:pStyle w:val="Cabealho"/>
            <w:ind w:right="-115"/>
            <w:jc w:val="right"/>
          </w:pPr>
        </w:p>
      </w:tc>
    </w:tr>
  </w:tbl>
  <w:p w14:paraId="46DB07E1" w14:textId="718282BD" w:rsidR="007E57BC" w:rsidRDefault="007E57BC" w:rsidP="2209556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D0354"/>
    <w:multiLevelType w:val="hybridMultilevel"/>
    <w:tmpl w:val="5972FEB0"/>
    <w:lvl w:ilvl="0" w:tplc="78E675FA">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nsid w:val="163C37E3"/>
    <w:multiLevelType w:val="hybridMultilevel"/>
    <w:tmpl w:val="93B8A41E"/>
    <w:lvl w:ilvl="0" w:tplc="9A682F82">
      <w:start w:val="1"/>
      <w:numFmt w:val="lowerLetter"/>
      <w:lvlText w:val="(%1)"/>
      <w:lvlJc w:val="left"/>
      <w:pPr>
        <w:ind w:left="720" w:hanging="360"/>
      </w:pPr>
    </w:lvl>
    <w:lvl w:ilvl="1" w:tplc="15B07C98">
      <w:start w:val="1"/>
      <w:numFmt w:val="lowerLetter"/>
      <w:lvlText w:val="%2."/>
      <w:lvlJc w:val="left"/>
      <w:pPr>
        <w:ind w:left="1440" w:hanging="360"/>
      </w:pPr>
    </w:lvl>
    <w:lvl w:ilvl="2" w:tplc="6226C172">
      <w:start w:val="1"/>
      <w:numFmt w:val="lowerRoman"/>
      <w:lvlText w:val="%3."/>
      <w:lvlJc w:val="right"/>
      <w:pPr>
        <w:ind w:left="2160" w:hanging="180"/>
      </w:pPr>
    </w:lvl>
    <w:lvl w:ilvl="3" w:tplc="B498A4F0">
      <w:start w:val="1"/>
      <w:numFmt w:val="decimal"/>
      <w:lvlText w:val="%4."/>
      <w:lvlJc w:val="left"/>
      <w:pPr>
        <w:ind w:left="2880" w:hanging="360"/>
      </w:pPr>
    </w:lvl>
    <w:lvl w:ilvl="4" w:tplc="32649C08">
      <w:start w:val="1"/>
      <w:numFmt w:val="lowerLetter"/>
      <w:lvlText w:val="%5."/>
      <w:lvlJc w:val="left"/>
      <w:pPr>
        <w:ind w:left="3600" w:hanging="360"/>
      </w:pPr>
    </w:lvl>
    <w:lvl w:ilvl="5" w:tplc="542214CE">
      <w:start w:val="1"/>
      <w:numFmt w:val="lowerRoman"/>
      <w:lvlText w:val="%6."/>
      <w:lvlJc w:val="right"/>
      <w:pPr>
        <w:ind w:left="4320" w:hanging="180"/>
      </w:pPr>
    </w:lvl>
    <w:lvl w:ilvl="6" w:tplc="8EDE7248">
      <w:start w:val="1"/>
      <w:numFmt w:val="decimal"/>
      <w:lvlText w:val="%7."/>
      <w:lvlJc w:val="left"/>
      <w:pPr>
        <w:ind w:left="5040" w:hanging="360"/>
      </w:pPr>
    </w:lvl>
    <w:lvl w:ilvl="7" w:tplc="CA00156A">
      <w:start w:val="1"/>
      <w:numFmt w:val="lowerLetter"/>
      <w:lvlText w:val="%8."/>
      <w:lvlJc w:val="left"/>
      <w:pPr>
        <w:ind w:left="5760" w:hanging="360"/>
      </w:pPr>
    </w:lvl>
    <w:lvl w:ilvl="8" w:tplc="FA868B12">
      <w:start w:val="1"/>
      <w:numFmt w:val="lowerRoman"/>
      <w:lvlText w:val="%9."/>
      <w:lvlJc w:val="right"/>
      <w:pPr>
        <w:ind w:left="6480" w:hanging="180"/>
      </w:pPr>
    </w:lvl>
  </w:abstractNum>
  <w:abstractNum w:abstractNumId="2">
    <w:nsid w:val="16A443BC"/>
    <w:multiLevelType w:val="hybridMultilevel"/>
    <w:tmpl w:val="669A9948"/>
    <w:lvl w:ilvl="0" w:tplc="0BFAC5B0">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
    <w:nsid w:val="1E8A4D3F"/>
    <w:multiLevelType w:val="hybridMultilevel"/>
    <w:tmpl w:val="4F06EA88"/>
    <w:lvl w:ilvl="0" w:tplc="90E2CD7A">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
    <w:nsid w:val="26EC6775"/>
    <w:multiLevelType w:val="hybridMultilevel"/>
    <w:tmpl w:val="9C329C08"/>
    <w:lvl w:ilvl="0" w:tplc="7EAE7886">
      <w:start w:val="1"/>
      <w:numFmt w:val="lowerLetter"/>
      <w:lvlText w:val="(%1)"/>
      <w:lvlJc w:val="left"/>
      <w:pPr>
        <w:ind w:left="720" w:hanging="360"/>
      </w:pPr>
    </w:lvl>
    <w:lvl w:ilvl="1" w:tplc="33FA5EAE">
      <w:start w:val="1"/>
      <w:numFmt w:val="lowerLetter"/>
      <w:lvlText w:val="%2."/>
      <w:lvlJc w:val="left"/>
      <w:pPr>
        <w:ind w:left="1440" w:hanging="360"/>
      </w:pPr>
    </w:lvl>
    <w:lvl w:ilvl="2" w:tplc="A95A85DE">
      <w:start w:val="1"/>
      <w:numFmt w:val="lowerRoman"/>
      <w:lvlText w:val="%3."/>
      <w:lvlJc w:val="right"/>
      <w:pPr>
        <w:ind w:left="2160" w:hanging="180"/>
      </w:pPr>
    </w:lvl>
    <w:lvl w:ilvl="3" w:tplc="0C6283BE">
      <w:start w:val="1"/>
      <w:numFmt w:val="decimal"/>
      <w:lvlText w:val="%4."/>
      <w:lvlJc w:val="left"/>
      <w:pPr>
        <w:ind w:left="2880" w:hanging="360"/>
      </w:pPr>
    </w:lvl>
    <w:lvl w:ilvl="4" w:tplc="86CA8EBA">
      <w:start w:val="1"/>
      <w:numFmt w:val="lowerLetter"/>
      <w:lvlText w:val="%5."/>
      <w:lvlJc w:val="left"/>
      <w:pPr>
        <w:ind w:left="3600" w:hanging="360"/>
      </w:pPr>
    </w:lvl>
    <w:lvl w:ilvl="5" w:tplc="F07C7914">
      <w:start w:val="1"/>
      <w:numFmt w:val="lowerRoman"/>
      <w:lvlText w:val="%6."/>
      <w:lvlJc w:val="right"/>
      <w:pPr>
        <w:ind w:left="4320" w:hanging="180"/>
      </w:pPr>
    </w:lvl>
    <w:lvl w:ilvl="6" w:tplc="577EEEAA">
      <w:start w:val="1"/>
      <w:numFmt w:val="decimal"/>
      <w:lvlText w:val="%7."/>
      <w:lvlJc w:val="left"/>
      <w:pPr>
        <w:ind w:left="5040" w:hanging="360"/>
      </w:pPr>
    </w:lvl>
    <w:lvl w:ilvl="7" w:tplc="B91014C0">
      <w:start w:val="1"/>
      <w:numFmt w:val="lowerLetter"/>
      <w:lvlText w:val="%8."/>
      <w:lvlJc w:val="left"/>
      <w:pPr>
        <w:ind w:left="5760" w:hanging="360"/>
      </w:pPr>
    </w:lvl>
    <w:lvl w:ilvl="8" w:tplc="7070F7DA">
      <w:start w:val="1"/>
      <w:numFmt w:val="lowerRoman"/>
      <w:lvlText w:val="%9."/>
      <w:lvlJc w:val="right"/>
      <w:pPr>
        <w:ind w:left="6480" w:hanging="180"/>
      </w:pPr>
    </w:lvl>
  </w:abstractNum>
  <w:abstractNum w:abstractNumId="5">
    <w:nsid w:val="2EF9489B"/>
    <w:multiLevelType w:val="hybridMultilevel"/>
    <w:tmpl w:val="CFFEDA30"/>
    <w:lvl w:ilvl="0" w:tplc="D0500442">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6">
    <w:nsid w:val="3AD83A78"/>
    <w:multiLevelType w:val="hybridMultilevel"/>
    <w:tmpl w:val="AEF47746"/>
    <w:lvl w:ilvl="0" w:tplc="5672E43E">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7">
    <w:nsid w:val="5125400B"/>
    <w:multiLevelType w:val="hybridMultilevel"/>
    <w:tmpl w:val="4E745178"/>
    <w:lvl w:ilvl="0" w:tplc="EB98B3E2">
      <w:start w:val="1"/>
      <w:numFmt w:val="lowerLetter"/>
      <w:lvlText w:val="(%1)"/>
      <w:lvlJc w:val="left"/>
      <w:pPr>
        <w:ind w:left="720" w:hanging="360"/>
      </w:pPr>
    </w:lvl>
    <w:lvl w:ilvl="1" w:tplc="61DE0012">
      <w:start w:val="1"/>
      <w:numFmt w:val="lowerLetter"/>
      <w:lvlText w:val="%2."/>
      <w:lvlJc w:val="left"/>
      <w:pPr>
        <w:ind w:left="1440" w:hanging="360"/>
      </w:pPr>
    </w:lvl>
    <w:lvl w:ilvl="2" w:tplc="0422C8A4">
      <w:start w:val="1"/>
      <w:numFmt w:val="lowerRoman"/>
      <w:lvlText w:val="%3."/>
      <w:lvlJc w:val="right"/>
      <w:pPr>
        <w:ind w:left="2160" w:hanging="180"/>
      </w:pPr>
    </w:lvl>
    <w:lvl w:ilvl="3" w:tplc="E09C6E40">
      <w:start w:val="1"/>
      <w:numFmt w:val="decimal"/>
      <w:lvlText w:val="%4."/>
      <w:lvlJc w:val="left"/>
      <w:pPr>
        <w:ind w:left="2880" w:hanging="360"/>
      </w:pPr>
    </w:lvl>
    <w:lvl w:ilvl="4" w:tplc="0F047D36">
      <w:start w:val="1"/>
      <w:numFmt w:val="lowerLetter"/>
      <w:lvlText w:val="%5."/>
      <w:lvlJc w:val="left"/>
      <w:pPr>
        <w:ind w:left="3600" w:hanging="360"/>
      </w:pPr>
    </w:lvl>
    <w:lvl w:ilvl="5" w:tplc="05A282DE">
      <w:start w:val="1"/>
      <w:numFmt w:val="lowerRoman"/>
      <w:lvlText w:val="%6."/>
      <w:lvlJc w:val="right"/>
      <w:pPr>
        <w:ind w:left="4320" w:hanging="180"/>
      </w:pPr>
    </w:lvl>
    <w:lvl w:ilvl="6" w:tplc="F9500A4C">
      <w:start w:val="1"/>
      <w:numFmt w:val="decimal"/>
      <w:lvlText w:val="%7."/>
      <w:lvlJc w:val="left"/>
      <w:pPr>
        <w:ind w:left="5040" w:hanging="360"/>
      </w:pPr>
    </w:lvl>
    <w:lvl w:ilvl="7" w:tplc="6E5C41FA">
      <w:start w:val="1"/>
      <w:numFmt w:val="lowerLetter"/>
      <w:lvlText w:val="%8."/>
      <w:lvlJc w:val="left"/>
      <w:pPr>
        <w:ind w:left="5760" w:hanging="360"/>
      </w:pPr>
    </w:lvl>
    <w:lvl w:ilvl="8" w:tplc="7174F298">
      <w:start w:val="1"/>
      <w:numFmt w:val="lowerRoman"/>
      <w:lvlText w:val="%9."/>
      <w:lvlJc w:val="right"/>
      <w:pPr>
        <w:ind w:left="6480" w:hanging="180"/>
      </w:pPr>
    </w:lvl>
  </w:abstractNum>
  <w:abstractNum w:abstractNumId="8">
    <w:nsid w:val="5A244D90"/>
    <w:multiLevelType w:val="hybridMultilevel"/>
    <w:tmpl w:val="88A6B350"/>
    <w:lvl w:ilvl="0" w:tplc="A38012BC">
      <w:start w:val="1"/>
      <w:numFmt w:val="lowerLetter"/>
      <w:lvlText w:val="(%1)"/>
      <w:lvlJc w:val="left"/>
      <w:pPr>
        <w:ind w:left="720" w:hanging="360"/>
      </w:pPr>
    </w:lvl>
    <w:lvl w:ilvl="1" w:tplc="231AE054">
      <w:start w:val="1"/>
      <w:numFmt w:val="lowerLetter"/>
      <w:lvlText w:val="%2."/>
      <w:lvlJc w:val="left"/>
      <w:pPr>
        <w:ind w:left="1440" w:hanging="360"/>
      </w:pPr>
    </w:lvl>
    <w:lvl w:ilvl="2" w:tplc="79FC5F2A">
      <w:start w:val="1"/>
      <w:numFmt w:val="lowerRoman"/>
      <w:lvlText w:val="%3."/>
      <w:lvlJc w:val="right"/>
      <w:pPr>
        <w:ind w:left="2160" w:hanging="180"/>
      </w:pPr>
    </w:lvl>
    <w:lvl w:ilvl="3" w:tplc="24F8C82C">
      <w:start w:val="1"/>
      <w:numFmt w:val="decimal"/>
      <w:lvlText w:val="%4."/>
      <w:lvlJc w:val="left"/>
      <w:pPr>
        <w:ind w:left="2880" w:hanging="360"/>
      </w:pPr>
    </w:lvl>
    <w:lvl w:ilvl="4" w:tplc="C632E27A">
      <w:start w:val="1"/>
      <w:numFmt w:val="lowerLetter"/>
      <w:lvlText w:val="%5."/>
      <w:lvlJc w:val="left"/>
      <w:pPr>
        <w:ind w:left="3600" w:hanging="360"/>
      </w:pPr>
    </w:lvl>
    <w:lvl w:ilvl="5" w:tplc="F3824D5A">
      <w:start w:val="1"/>
      <w:numFmt w:val="lowerRoman"/>
      <w:lvlText w:val="%6."/>
      <w:lvlJc w:val="right"/>
      <w:pPr>
        <w:ind w:left="4320" w:hanging="180"/>
      </w:pPr>
    </w:lvl>
    <w:lvl w:ilvl="6" w:tplc="CE0ACBD8">
      <w:start w:val="1"/>
      <w:numFmt w:val="decimal"/>
      <w:lvlText w:val="%7."/>
      <w:lvlJc w:val="left"/>
      <w:pPr>
        <w:ind w:left="5040" w:hanging="360"/>
      </w:pPr>
    </w:lvl>
    <w:lvl w:ilvl="7" w:tplc="D0DADCD8">
      <w:start w:val="1"/>
      <w:numFmt w:val="lowerLetter"/>
      <w:lvlText w:val="%8."/>
      <w:lvlJc w:val="left"/>
      <w:pPr>
        <w:ind w:left="5760" w:hanging="360"/>
      </w:pPr>
    </w:lvl>
    <w:lvl w:ilvl="8" w:tplc="EAA2CF86">
      <w:start w:val="1"/>
      <w:numFmt w:val="lowerRoman"/>
      <w:lvlText w:val="%9."/>
      <w:lvlJc w:val="right"/>
      <w:pPr>
        <w:ind w:left="6480" w:hanging="180"/>
      </w:pPr>
    </w:lvl>
  </w:abstractNum>
  <w:abstractNum w:abstractNumId="9">
    <w:nsid w:val="79E81073"/>
    <w:multiLevelType w:val="hybridMultilevel"/>
    <w:tmpl w:val="88824798"/>
    <w:lvl w:ilvl="0" w:tplc="2B78FCB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7FA51EBC"/>
    <w:multiLevelType w:val="hybridMultilevel"/>
    <w:tmpl w:val="AAE470A0"/>
    <w:lvl w:ilvl="0" w:tplc="2EB67B02">
      <w:start w:val="1"/>
      <w:numFmt w:val="lowerLetter"/>
      <w:lvlText w:val="(%1)"/>
      <w:lvlJc w:val="left"/>
      <w:pPr>
        <w:ind w:left="720" w:hanging="360"/>
      </w:pPr>
    </w:lvl>
    <w:lvl w:ilvl="1" w:tplc="75106030">
      <w:start w:val="1"/>
      <w:numFmt w:val="lowerLetter"/>
      <w:lvlText w:val="%2."/>
      <w:lvlJc w:val="left"/>
      <w:pPr>
        <w:ind w:left="1440" w:hanging="360"/>
      </w:pPr>
    </w:lvl>
    <w:lvl w:ilvl="2" w:tplc="A25ABE9A">
      <w:start w:val="1"/>
      <w:numFmt w:val="lowerRoman"/>
      <w:lvlText w:val="%3."/>
      <w:lvlJc w:val="right"/>
      <w:pPr>
        <w:ind w:left="2160" w:hanging="180"/>
      </w:pPr>
    </w:lvl>
    <w:lvl w:ilvl="3" w:tplc="B1B05B92">
      <w:start w:val="1"/>
      <w:numFmt w:val="decimal"/>
      <w:lvlText w:val="%4."/>
      <w:lvlJc w:val="left"/>
      <w:pPr>
        <w:ind w:left="2880" w:hanging="360"/>
      </w:pPr>
    </w:lvl>
    <w:lvl w:ilvl="4" w:tplc="6C1A7E8A">
      <w:start w:val="1"/>
      <w:numFmt w:val="lowerLetter"/>
      <w:lvlText w:val="%5."/>
      <w:lvlJc w:val="left"/>
      <w:pPr>
        <w:ind w:left="3600" w:hanging="360"/>
      </w:pPr>
    </w:lvl>
    <w:lvl w:ilvl="5" w:tplc="DFBE3F64">
      <w:start w:val="1"/>
      <w:numFmt w:val="lowerRoman"/>
      <w:lvlText w:val="%6."/>
      <w:lvlJc w:val="right"/>
      <w:pPr>
        <w:ind w:left="4320" w:hanging="180"/>
      </w:pPr>
    </w:lvl>
    <w:lvl w:ilvl="6" w:tplc="69486AAC">
      <w:start w:val="1"/>
      <w:numFmt w:val="decimal"/>
      <w:lvlText w:val="%7."/>
      <w:lvlJc w:val="left"/>
      <w:pPr>
        <w:ind w:left="5040" w:hanging="360"/>
      </w:pPr>
    </w:lvl>
    <w:lvl w:ilvl="7" w:tplc="A09C2A28">
      <w:start w:val="1"/>
      <w:numFmt w:val="lowerLetter"/>
      <w:lvlText w:val="%8."/>
      <w:lvlJc w:val="left"/>
      <w:pPr>
        <w:ind w:left="5760" w:hanging="360"/>
      </w:pPr>
    </w:lvl>
    <w:lvl w:ilvl="8" w:tplc="A168ACAA">
      <w:start w:val="1"/>
      <w:numFmt w:val="lowerRoman"/>
      <w:lvlText w:val="%9."/>
      <w:lvlJc w:val="right"/>
      <w:pPr>
        <w:ind w:left="6480" w:hanging="180"/>
      </w:pPr>
    </w:lvl>
  </w:abstractNum>
  <w:num w:numId="1">
    <w:abstractNumId w:val="8"/>
  </w:num>
  <w:num w:numId="2">
    <w:abstractNumId w:val="10"/>
  </w:num>
  <w:num w:numId="3">
    <w:abstractNumId w:val="7"/>
  </w:num>
  <w:num w:numId="4">
    <w:abstractNumId w:val="4"/>
  </w:num>
  <w:num w:numId="5">
    <w:abstractNumId w:val="1"/>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5AA91C"/>
    <w:rsid w:val="0000097B"/>
    <w:rsid w:val="00014BCC"/>
    <w:rsid w:val="0001575F"/>
    <w:rsid w:val="0004534E"/>
    <w:rsid w:val="0004689C"/>
    <w:rsid w:val="00066687"/>
    <w:rsid w:val="00074B2D"/>
    <w:rsid w:val="00077384"/>
    <w:rsid w:val="00081C46"/>
    <w:rsid w:val="000A26CC"/>
    <w:rsid w:val="000B3499"/>
    <w:rsid w:val="000C78F2"/>
    <w:rsid w:val="000D4B7C"/>
    <w:rsid w:val="000F5C05"/>
    <w:rsid w:val="0011246A"/>
    <w:rsid w:val="00124503"/>
    <w:rsid w:val="001420A9"/>
    <w:rsid w:val="00142165"/>
    <w:rsid w:val="00177AA7"/>
    <w:rsid w:val="00183B9D"/>
    <w:rsid w:val="00185B4C"/>
    <w:rsid w:val="00196C64"/>
    <w:rsid w:val="001B59B0"/>
    <w:rsid w:val="001C0C90"/>
    <w:rsid w:val="001C2F87"/>
    <w:rsid w:val="001E468C"/>
    <w:rsid w:val="001F6029"/>
    <w:rsid w:val="00213D65"/>
    <w:rsid w:val="0022156F"/>
    <w:rsid w:val="00243D60"/>
    <w:rsid w:val="002517D4"/>
    <w:rsid w:val="00251C2C"/>
    <w:rsid w:val="00254D6B"/>
    <w:rsid w:val="0026166A"/>
    <w:rsid w:val="00270E64"/>
    <w:rsid w:val="002720A9"/>
    <w:rsid w:val="002871C8"/>
    <w:rsid w:val="002A5A73"/>
    <w:rsid w:val="002B1794"/>
    <w:rsid w:val="002B1F05"/>
    <w:rsid w:val="002D111A"/>
    <w:rsid w:val="002E2E36"/>
    <w:rsid w:val="002E79CE"/>
    <w:rsid w:val="00313C20"/>
    <w:rsid w:val="00321A27"/>
    <w:rsid w:val="003529A6"/>
    <w:rsid w:val="00356E6D"/>
    <w:rsid w:val="003611A0"/>
    <w:rsid w:val="00373950"/>
    <w:rsid w:val="00377EB0"/>
    <w:rsid w:val="00380881"/>
    <w:rsid w:val="003809E8"/>
    <w:rsid w:val="0039231B"/>
    <w:rsid w:val="003A1593"/>
    <w:rsid w:val="003B7B4F"/>
    <w:rsid w:val="003C074E"/>
    <w:rsid w:val="003E78CA"/>
    <w:rsid w:val="003F04A6"/>
    <w:rsid w:val="003F193A"/>
    <w:rsid w:val="00400AC6"/>
    <w:rsid w:val="004312DA"/>
    <w:rsid w:val="00434CCA"/>
    <w:rsid w:val="004605EF"/>
    <w:rsid w:val="004638BD"/>
    <w:rsid w:val="00472EE2"/>
    <w:rsid w:val="004925F0"/>
    <w:rsid w:val="004A224C"/>
    <w:rsid w:val="004A41A8"/>
    <w:rsid w:val="004A6397"/>
    <w:rsid w:val="004C657D"/>
    <w:rsid w:val="004E1089"/>
    <w:rsid w:val="004E256E"/>
    <w:rsid w:val="004E281B"/>
    <w:rsid w:val="004F6B50"/>
    <w:rsid w:val="00503FE5"/>
    <w:rsid w:val="00506FCA"/>
    <w:rsid w:val="00522C15"/>
    <w:rsid w:val="00530068"/>
    <w:rsid w:val="0054247B"/>
    <w:rsid w:val="00555D3F"/>
    <w:rsid w:val="00557771"/>
    <w:rsid w:val="00560F9D"/>
    <w:rsid w:val="00561B76"/>
    <w:rsid w:val="00562AA3"/>
    <w:rsid w:val="00566ED8"/>
    <w:rsid w:val="0057023E"/>
    <w:rsid w:val="0057027F"/>
    <w:rsid w:val="005728F1"/>
    <w:rsid w:val="00581211"/>
    <w:rsid w:val="00584EBA"/>
    <w:rsid w:val="005C0026"/>
    <w:rsid w:val="005C3694"/>
    <w:rsid w:val="005D41DF"/>
    <w:rsid w:val="005F7234"/>
    <w:rsid w:val="0060015B"/>
    <w:rsid w:val="00606E97"/>
    <w:rsid w:val="006128FB"/>
    <w:rsid w:val="00637FD5"/>
    <w:rsid w:val="0065312F"/>
    <w:rsid w:val="0065637D"/>
    <w:rsid w:val="00666DFD"/>
    <w:rsid w:val="00695F2A"/>
    <w:rsid w:val="00696894"/>
    <w:rsid w:val="00696C0D"/>
    <w:rsid w:val="006C3BD7"/>
    <w:rsid w:val="006D003F"/>
    <w:rsid w:val="006D2714"/>
    <w:rsid w:val="006E03B4"/>
    <w:rsid w:val="006E2C90"/>
    <w:rsid w:val="006E505D"/>
    <w:rsid w:val="00702C53"/>
    <w:rsid w:val="007210B0"/>
    <w:rsid w:val="00735F35"/>
    <w:rsid w:val="007538A8"/>
    <w:rsid w:val="00766470"/>
    <w:rsid w:val="0077327E"/>
    <w:rsid w:val="007737A4"/>
    <w:rsid w:val="00791ADC"/>
    <w:rsid w:val="00791CDF"/>
    <w:rsid w:val="007A1877"/>
    <w:rsid w:val="007C3329"/>
    <w:rsid w:val="007C55F0"/>
    <w:rsid w:val="007D666E"/>
    <w:rsid w:val="007E1A28"/>
    <w:rsid w:val="007E57BC"/>
    <w:rsid w:val="007F543B"/>
    <w:rsid w:val="00802DD6"/>
    <w:rsid w:val="008049E8"/>
    <w:rsid w:val="00835193"/>
    <w:rsid w:val="00836189"/>
    <w:rsid w:val="008372AE"/>
    <w:rsid w:val="00844AA9"/>
    <w:rsid w:val="00845125"/>
    <w:rsid w:val="00853E7D"/>
    <w:rsid w:val="00866B24"/>
    <w:rsid w:val="008821B7"/>
    <w:rsid w:val="008911AB"/>
    <w:rsid w:val="008D0C75"/>
    <w:rsid w:val="008F1E27"/>
    <w:rsid w:val="00903741"/>
    <w:rsid w:val="00906492"/>
    <w:rsid w:val="009101A3"/>
    <w:rsid w:val="0095160C"/>
    <w:rsid w:val="00954D62"/>
    <w:rsid w:val="0096198C"/>
    <w:rsid w:val="00976A94"/>
    <w:rsid w:val="00981E13"/>
    <w:rsid w:val="009853C5"/>
    <w:rsid w:val="00986AA9"/>
    <w:rsid w:val="00995084"/>
    <w:rsid w:val="009A7A21"/>
    <w:rsid w:val="009B38B6"/>
    <w:rsid w:val="009B44E5"/>
    <w:rsid w:val="009B7040"/>
    <w:rsid w:val="009C6CAA"/>
    <w:rsid w:val="009C75B1"/>
    <w:rsid w:val="00A049F6"/>
    <w:rsid w:val="00A37E4D"/>
    <w:rsid w:val="00A82508"/>
    <w:rsid w:val="00A83EFF"/>
    <w:rsid w:val="00A844D1"/>
    <w:rsid w:val="00A86CB6"/>
    <w:rsid w:val="00A9456A"/>
    <w:rsid w:val="00A94C19"/>
    <w:rsid w:val="00AA6B7D"/>
    <w:rsid w:val="00AB6A82"/>
    <w:rsid w:val="00AC5517"/>
    <w:rsid w:val="00AC7899"/>
    <w:rsid w:val="00AD37F7"/>
    <w:rsid w:val="00AD72BE"/>
    <w:rsid w:val="00AD790E"/>
    <w:rsid w:val="00B03454"/>
    <w:rsid w:val="00B03A2E"/>
    <w:rsid w:val="00B61008"/>
    <w:rsid w:val="00B61182"/>
    <w:rsid w:val="00B72F32"/>
    <w:rsid w:val="00B82B84"/>
    <w:rsid w:val="00B83974"/>
    <w:rsid w:val="00B97215"/>
    <w:rsid w:val="00BA1C44"/>
    <w:rsid w:val="00BA62F0"/>
    <w:rsid w:val="00BC2A86"/>
    <w:rsid w:val="00BC3EFB"/>
    <w:rsid w:val="00BD204D"/>
    <w:rsid w:val="00BE31D0"/>
    <w:rsid w:val="00BF76EE"/>
    <w:rsid w:val="00C03F52"/>
    <w:rsid w:val="00C06EFF"/>
    <w:rsid w:val="00C26CB2"/>
    <w:rsid w:val="00C4065C"/>
    <w:rsid w:val="00C476B3"/>
    <w:rsid w:val="00C510E6"/>
    <w:rsid w:val="00C54C40"/>
    <w:rsid w:val="00C55EFC"/>
    <w:rsid w:val="00C66304"/>
    <w:rsid w:val="00C70A30"/>
    <w:rsid w:val="00C720CD"/>
    <w:rsid w:val="00C74F7B"/>
    <w:rsid w:val="00C7705A"/>
    <w:rsid w:val="00C821DE"/>
    <w:rsid w:val="00C843C8"/>
    <w:rsid w:val="00C967F6"/>
    <w:rsid w:val="00CA0C9E"/>
    <w:rsid w:val="00CB2932"/>
    <w:rsid w:val="00CB318E"/>
    <w:rsid w:val="00CB7718"/>
    <w:rsid w:val="00CD3F7A"/>
    <w:rsid w:val="00CD41C2"/>
    <w:rsid w:val="00CE4876"/>
    <w:rsid w:val="00CF2E1B"/>
    <w:rsid w:val="00D0388C"/>
    <w:rsid w:val="00D04F18"/>
    <w:rsid w:val="00D155F2"/>
    <w:rsid w:val="00D15DB1"/>
    <w:rsid w:val="00D20FAB"/>
    <w:rsid w:val="00D31354"/>
    <w:rsid w:val="00D34AB9"/>
    <w:rsid w:val="00D3502F"/>
    <w:rsid w:val="00D353A4"/>
    <w:rsid w:val="00D35776"/>
    <w:rsid w:val="00D51867"/>
    <w:rsid w:val="00D73ABD"/>
    <w:rsid w:val="00D7746D"/>
    <w:rsid w:val="00DB54B9"/>
    <w:rsid w:val="00DC582D"/>
    <w:rsid w:val="00DD50EA"/>
    <w:rsid w:val="00DE7D6B"/>
    <w:rsid w:val="00E030D7"/>
    <w:rsid w:val="00E03F5B"/>
    <w:rsid w:val="00E16BDC"/>
    <w:rsid w:val="00E403F2"/>
    <w:rsid w:val="00E51872"/>
    <w:rsid w:val="00E82C7F"/>
    <w:rsid w:val="00E82FB8"/>
    <w:rsid w:val="00E8336B"/>
    <w:rsid w:val="00E86753"/>
    <w:rsid w:val="00E91009"/>
    <w:rsid w:val="00E91238"/>
    <w:rsid w:val="00EA5E71"/>
    <w:rsid w:val="00EC1080"/>
    <w:rsid w:val="00EC3EC9"/>
    <w:rsid w:val="00ED1C30"/>
    <w:rsid w:val="00ED6773"/>
    <w:rsid w:val="00EE3B05"/>
    <w:rsid w:val="00EF46AC"/>
    <w:rsid w:val="00F021E5"/>
    <w:rsid w:val="00F040BB"/>
    <w:rsid w:val="00F153EA"/>
    <w:rsid w:val="00F16B06"/>
    <w:rsid w:val="00F21FF1"/>
    <w:rsid w:val="00F42728"/>
    <w:rsid w:val="00F42D6F"/>
    <w:rsid w:val="00F43D51"/>
    <w:rsid w:val="00F443D2"/>
    <w:rsid w:val="00F452F4"/>
    <w:rsid w:val="00F51ACA"/>
    <w:rsid w:val="00F57D80"/>
    <w:rsid w:val="00F650F3"/>
    <w:rsid w:val="00F67A58"/>
    <w:rsid w:val="00F725B2"/>
    <w:rsid w:val="00F77BD4"/>
    <w:rsid w:val="00F81966"/>
    <w:rsid w:val="00FA59D9"/>
    <w:rsid w:val="00FA7C17"/>
    <w:rsid w:val="00FB3FF7"/>
    <w:rsid w:val="00FE7DEC"/>
    <w:rsid w:val="00FF6E23"/>
    <w:rsid w:val="14C9E4E3"/>
    <w:rsid w:val="1F07AD4D"/>
    <w:rsid w:val="22095562"/>
    <w:rsid w:val="3E6E1741"/>
    <w:rsid w:val="3F5AA91C"/>
    <w:rsid w:val="41DD2E9F"/>
    <w:rsid w:val="5E6BAA55"/>
    <w:rsid w:val="6D168B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A91C"/>
  <w15:chartTrackingRefBased/>
  <w15:docId w15:val="{0464643B-F818-46FD-9C19-33BB59E3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3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PargrafodaLista">
    <w:name w:val="List Paragraph"/>
    <w:basedOn w:val="Normal"/>
    <w:uiPriority w:val="34"/>
    <w:qFormat/>
    <w:pPr>
      <w:ind w:left="720"/>
      <w:contextualSpacing/>
    </w:pPr>
  </w:style>
  <w:style w:type="character" w:styleId="TextodoEspaoReservado">
    <w:name w:val="Placeholder Text"/>
    <w:basedOn w:val="Fontepargpadro"/>
    <w:uiPriority w:val="99"/>
    <w:semiHidden/>
    <w:rsid w:val="00A9456A"/>
    <w:rPr>
      <w:color w:val="808080"/>
    </w:rPr>
  </w:style>
  <w:style w:type="character" w:styleId="Refdecomentrio">
    <w:name w:val="annotation reference"/>
    <w:basedOn w:val="Fontepargpadro"/>
    <w:uiPriority w:val="99"/>
    <w:semiHidden/>
    <w:unhideWhenUsed/>
    <w:rsid w:val="00E8336B"/>
    <w:rPr>
      <w:sz w:val="16"/>
      <w:szCs w:val="16"/>
    </w:rPr>
  </w:style>
  <w:style w:type="paragraph" w:styleId="Textodecomentrio">
    <w:name w:val="annotation text"/>
    <w:basedOn w:val="Normal"/>
    <w:link w:val="TextodecomentrioChar"/>
    <w:uiPriority w:val="99"/>
    <w:semiHidden/>
    <w:unhideWhenUsed/>
    <w:rsid w:val="00E8336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8336B"/>
    <w:rPr>
      <w:sz w:val="20"/>
      <w:szCs w:val="20"/>
    </w:rPr>
  </w:style>
  <w:style w:type="paragraph" w:styleId="Textodebalo">
    <w:name w:val="Balloon Text"/>
    <w:basedOn w:val="Normal"/>
    <w:link w:val="TextodebaloChar"/>
    <w:uiPriority w:val="99"/>
    <w:semiHidden/>
    <w:unhideWhenUsed/>
    <w:rsid w:val="00E8336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8336B"/>
    <w:rPr>
      <w:rFonts w:ascii="Segoe UI" w:hAnsi="Segoe UI" w:cs="Segoe UI"/>
      <w:sz w:val="18"/>
      <w:szCs w:val="18"/>
    </w:rPr>
  </w:style>
  <w:style w:type="character" w:styleId="Forte">
    <w:name w:val="Strong"/>
    <w:basedOn w:val="Fontepargpadro"/>
    <w:uiPriority w:val="22"/>
    <w:qFormat/>
    <w:rsid w:val="00E833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447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funag.gov.br/ipri/index.php/o-ipri/47-estatisticas/94-as-15-maiores-economias-do-mundo-em-pib-e-pib-ppp"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miyamototup@gmail.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cepea.esalq.usp.br/upload/kceditor/files/Mulheres%20no%20agro_VOLUME3(1).pdf"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mailto:ataiz@ibest.com.br"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openknowledge.worldbank.org/bitstream/handle/10986/31327/WBL2019.pdf"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cac-php.unioeste.br/eventos/conape/anais/ii_conape/Arquivos/ciencias_economicas/Artigo15_6.pdf"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ufrgs.br/ppge/wp-content/themes/PPGE/page/textos-para-discussao/pcientifica/2001_11.pdf" TargetMode="External"/><Relationship Id="rId28"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cienciaecultura.bvs.br/scielo.php?script=sci_arttext&amp;pid=S0009-67252006000400020" TargetMode="External"/><Relationship Id="rId14" Type="http://schemas.openxmlformats.org/officeDocument/2006/relationships/image" Target="media/image3.png"/><Relationship Id="rId22" Type="http://schemas.openxmlformats.org/officeDocument/2006/relationships/hyperlink" Target="http://www.ipea.gov.br/portal/images/stories/PDFs/TDs/td_2110.pdf"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20</Pages>
  <Words>8835</Words>
  <Characters>47713</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Cesar Brito Miyamoto</dc:creator>
  <cp:keywords/>
  <dc:description/>
  <cp:lastModifiedBy>Thunder</cp:lastModifiedBy>
  <cp:revision>272</cp:revision>
  <dcterms:created xsi:type="dcterms:W3CDTF">2019-03-27T22:21:00Z</dcterms:created>
  <dcterms:modified xsi:type="dcterms:W3CDTF">2019-05-19T00:47:00Z</dcterms:modified>
</cp:coreProperties>
</file>