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horzAnchor="margin" w:tblpY="765"/>
        <w:tblW w:w="9061" w:type="dxa"/>
        <w:tblLook w:val="04A0" w:firstRow="1" w:lastRow="0" w:firstColumn="1" w:lastColumn="0" w:noHBand="0" w:noVBand="1"/>
      </w:tblPr>
      <w:tblGrid>
        <w:gridCol w:w="4108"/>
        <w:gridCol w:w="4953"/>
      </w:tblGrid>
      <w:tr w:rsidR="003B3A6B" w:rsidTr="008437E1">
        <w:trPr>
          <w:trHeight w:val="276"/>
        </w:trPr>
        <w:tc>
          <w:tcPr>
            <w:tcW w:w="4165" w:type="dxa"/>
          </w:tcPr>
          <w:p w:rsidR="00497497" w:rsidRDefault="008437E1" w:rsidP="008437E1">
            <w:pPr>
              <w:pStyle w:val="PargrafodaLista"/>
              <w:numPr>
                <w:ilvl w:val="0"/>
                <w:numId w:val="1"/>
              </w:numPr>
            </w:pPr>
            <w:r>
              <w:t>Quantidade de Empregos Formais</w:t>
            </w:r>
          </w:p>
        </w:tc>
        <w:tc>
          <w:tcPr>
            <w:tcW w:w="4896" w:type="dxa"/>
          </w:tcPr>
          <w:p w:rsidR="00497497" w:rsidRDefault="008437E1" w:rsidP="008437E1">
            <w:pPr>
              <w:pStyle w:val="PargrafodaLista"/>
              <w:numPr>
                <w:ilvl w:val="0"/>
                <w:numId w:val="1"/>
              </w:numPr>
            </w:pPr>
            <w:r>
              <w:t>Taxa de Crescimento dos Empregos Formais</w:t>
            </w:r>
          </w:p>
        </w:tc>
      </w:tr>
      <w:tr w:rsidR="003B3A6B" w:rsidTr="008437E1">
        <w:trPr>
          <w:trHeight w:val="2890"/>
        </w:trPr>
        <w:tc>
          <w:tcPr>
            <w:tcW w:w="4165" w:type="dxa"/>
          </w:tcPr>
          <w:p w:rsidR="00497497" w:rsidRDefault="00497497" w:rsidP="008437E1">
            <w:r>
              <w:rPr>
                <w:noProof/>
                <w:lang w:eastAsia="pt-B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285115</wp:posOffset>
                  </wp:positionV>
                  <wp:extent cx="2495550" cy="1704975"/>
                  <wp:effectExtent l="0" t="0" r="0" b="9525"/>
                  <wp:wrapSquare wrapText="bothSides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volução da quantidade de empregos formais no RS em milhões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96" w:type="dxa"/>
          </w:tcPr>
          <w:p w:rsidR="00497497" w:rsidRDefault="003B3A6B" w:rsidP="008437E1">
            <w:r>
              <w:rPr>
                <w:noProof/>
                <w:lang w:eastAsia="pt-BR"/>
              </w:rPr>
              <w:drawing>
                <wp:inline distT="0" distB="0" distL="0" distR="0">
                  <wp:extent cx="3038185" cy="2413474"/>
                  <wp:effectExtent l="0" t="0" r="0" b="635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axa de crescimento dos empregos formais no RS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452" cy="244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37E1" w:rsidRDefault="008437E1"/>
    <w:p w:rsidR="008437E1" w:rsidRDefault="00DC16B6">
      <w:r>
        <w:t xml:space="preserve">Figura x. </w:t>
      </w:r>
      <w:r w:rsidR="003D5A77">
        <w:t xml:space="preserve">Evolução dos Empregos formais do Rio Grande do </w:t>
      </w:r>
      <w:proofErr w:type="spellStart"/>
      <w:r w:rsidR="003D5A77">
        <w:t>Sull</w:t>
      </w:r>
      <w:proofErr w:type="spellEnd"/>
    </w:p>
    <w:p w:rsidR="008437E1" w:rsidRDefault="008437E1"/>
    <w:p w:rsidR="008437E1" w:rsidRDefault="003D5A77">
      <w:r>
        <w:t>Figura x. Evolução do Salário real no Rio Grande do Sul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79"/>
        <w:gridCol w:w="4982"/>
      </w:tblGrid>
      <w:tr w:rsidR="003B3A6B" w:rsidTr="00115563">
        <w:tc>
          <w:tcPr>
            <w:tcW w:w="4530" w:type="dxa"/>
          </w:tcPr>
          <w:p w:rsidR="00115563" w:rsidRDefault="003B3A6B" w:rsidP="00B712E6">
            <w:pPr>
              <w:pStyle w:val="PargrafodaLista"/>
              <w:numPr>
                <w:ilvl w:val="0"/>
                <w:numId w:val="2"/>
              </w:numPr>
            </w:pPr>
            <w:r>
              <w:t xml:space="preserve">Salário Real </w:t>
            </w:r>
            <w:r w:rsidR="00B712E6">
              <w:t>Médio</w:t>
            </w:r>
          </w:p>
        </w:tc>
        <w:tc>
          <w:tcPr>
            <w:tcW w:w="4531" w:type="dxa"/>
          </w:tcPr>
          <w:p w:rsidR="00115563" w:rsidRDefault="003B3A6B" w:rsidP="003B3A6B">
            <w:pPr>
              <w:pStyle w:val="PargrafodaLista"/>
              <w:numPr>
                <w:ilvl w:val="0"/>
                <w:numId w:val="2"/>
              </w:numPr>
            </w:pPr>
            <w:r>
              <w:t>Taxa de Crescimento do Salário Real</w:t>
            </w:r>
          </w:p>
        </w:tc>
      </w:tr>
      <w:tr w:rsidR="003B3A6B" w:rsidTr="00115563">
        <w:tc>
          <w:tcPr>
            <w:tcW w:w="4530" w:type="dxa"/>
          </w:tcPr>
          <w:p w:rsidR="00115563" w:rsidRDefault="00115563" w:rsidP="003B3A6B"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323850</wp:posOffset>
                  </wp:positionV>
                  <wp:extent cx="2466975" cy="1685290"/>
                  <wp:effectExtent l="0" t="0" r="9525" b="0"/>
                  <wp:wrapSquare wrapText="bothSides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volução do salário médio real no R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68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31" w:type="dxa"/>
          </w:tcPr>
          <w:p w:rsidR="00115563" w:rsidRDefault="003B3A6B">
            <w:r>
              <w:rPr>
                <w:noProof/>
                <w:lang w:eastAsia="pt-BR"/>
              </w:rPr>
              <w:drawing>
                <wp:inline distT="0" distB="0" distL="0" distR="0">
                  <wp:extent cx="3054985" cy="2409366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axa de crescimento do salário médio real no R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288" cy="242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5563" w:rsidRDefault="00115563"/>
    <w:p w:rsidR="00DA1948" w:rsidRDefault="00DA1948"/>
    <w:p w:rsidR="0057076F" w:rsidRDefault="0057076F"/>
    <w:p w:rsidR="0057076F" w:rsidRDefault="0057076F"/>
    <w:p w:rsidR="0057076F" w:rsidRDefault="0057076F"/>
    <w:p w:rsidR="0057076F" w:rsidRDefault="0057076F"/>
    <w:p w:rsidR="0057076F" w:rsidRDefault="0057076F"/>
    <w:p w:rsidR="0057076F" w:rsidRDefault="0057076F"/>
    <w:p w:rsidR="00DC16B6" w:rsidRDefault="00DC16B6"/>
    <w:p w:rsidR="0057076F" w:rsidRDefault="0057076F" w:rsidP="00DC16B6">
      <w:pPr>
        <w:spacing w:after="0"/>
      </w:pPr>
      <w:r>
        <w:lastRenderedPageBreak/>
        <w:t>Figura x. Proporção de empregados formais sem escolaridade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69"/>
        <w:gridCol w:w="4492"/>
      </w:tblGrid>
      <w:tr w:rsidR="0057076F" w:rsidTr="0057076F">
        <w:trPr>
          <w:trHeight w:val="262"/>
        </w:trPr>
        <w:tc>
          <w:tcPr>
            <w:tcW w:w="4203" w:type="dxa"/>
          </w:tcPr>
          <w:p w:rsidR="0057076F" w:rsidRDefault="0057076F" w:rsidP="0057076F">
            <w:pPr>
              <w:pStyle w:val="PargrafodaLista"/>
              <w:numPr>
                <w:ilvl w:val="0"/>
                <w:numId w:val="3"/>
              </w:numPr>
            </w:pPr>
            <w:r>
              <w:t>2000</w:t>
            </w:r>
          </w:p>
        </w:tc>
        <w:tc>
          <w:tcPr>
            <w:tcW w:w="4662" w:type="dxa"/>
          </w:tcPr>
          <w:p w:rsidR="0057076F" w:rsidRDefault="00760111" w:rsidP="0057076F">
            <w:pPr>
              <w:pStyle w:val="PargrafodaLista"/>
              <w:numPr>
                <w:ilvl w:val="0"/>
                <w:numId w:val="3"/>
              </w:numPr>
            </w:pPr>
            <w:r>
              <w:t>2017</w:t>
            </w:r>
          </w:p>
        </w:tc>
      </w:tr>
      <w:tr w:rsidR="0057076F" w:rsidTr="0057076F">
        <w:trPr>
          <w:trHeight w:val="3678"/>
        </w:trPr>
        <w:tc>
          <w:tcPr>
            <w:tcW w:w="4203" w:type="dxa"/>
          </w:tcPr>
          <w:p w:rsidR="0057076F" w:rsidRDefault="0057076F">
            <w:r>
              <w:rPr>
                <w:noProof/>
                <w:lang w:eastAsia="pt-BR"/>
              </w:rPr>
              <w:drawing>
                <wp:inline distT="0" distB="0" distL="0" distR="0" wp14:anchorId="6B697C98" wp14:editId="48DDB3BA">
                  <wp:extent cx="2775459" cy="2190750"/>
                  <wp:effectExtent l="0" t="0" r="635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roporção de analfabetos ocupados em 2000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045" cy="2291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2" w:type="dxa"/>
          </w:tcPr>
          <w:p w:rsidR="0057076F" w:rsidRDefault="0057076F">
            <w:r>
              <w:rPr>
                <w:noProof/>
                <w:lang w:eastAsia="pt-BR"/>
              </w:rPr>
              <w:drawing>
                <wp:inline distT="0" distB="0" distL="0" distR="0">
                  <wp:extent cx="2732770" cy="2162175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roporção de analfabetos ocupados em 2017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436" cy="2185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1948" w:rsidRDefault="00DA1948"/>
    <w:p w:rsidR="0057076F" w:rsidRDefault="0057076F" w:rsidP="00DC16B6">
      <w:pPr>
        <w:spacing w:after="0"/>
      </w:pPr>
      <w:r>
        <w:t>Figura x. Proporção de empregados formais com ensino superior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58"/>
        <w:gridCol w:w="4503"/>
      </w:tblGrid>
      <w:tr w:rsidR="007255AE" w:rsidTr="00C13079">
        <w:tc>
          <w:tcPr>
            <w:tcW w:w="4530" w:type="dxa"/>
          </w:tcPr>
          <w:p w:rsidR="00C13079" w:rsidRDefault="007255AE" w:rsidP="007255AE">
            <w:pPr>
              <w:pStyle w:val="PargrafodaLista"/>
              <w:numPr>
                <w:ilvl w:val="0"/>
                <w:numId w:val="4"/>
              </w:numPr>
            </w:pPr>
            <w:r>
              <w:t>2000</w:t>
            </w:r>
          </w:p>
        </w:tc>
        <w:tc>
          <w:tcPr>
            <w:tcW w:w="4531" w:type="dxa"/>
          </w:tcPr>
          <w:p w:rsidR="00C13079" w:rsidRDefault="007255AE" w:rsidP="007255AE">
            <w:pPr>
              <w:pStyle w:val="PargrafodaLista"/>
              <w:numPr>
                <w:ilvl w:val="0"/>
                <w:numId w:val="4"/>
              </w:numPr>
            </w:pPr>
            <w:r>
              <w:t>2017</w:t>
            </w:r>
          </w:p>
        </w:tc>
      </w:tr>
      <w:tr w:rsidR="007255AE" w:rsidTr="007255AE">
        <w:trPr>
          <w:trHeight w:val="3546"/>
        </w:trPr>
        <w:tc>
          <w:tcPr>
            <w:tcW w:w="4530" w:type="dxa"/>
          </w:tcPr>
          <w:p w:rsidR="00C13079" w:rsidRDefault="007255AE">
            <w:r>
              <w:rPr>
                <w:noProof/>
                <w:lang w:eastAsia="pt-BR"/>
              </w:rPr>
              <w:drawing>
                <wp:inline distT="0" distB="0" distL="0" distR="0">
                  <wp:extent cx="2785590" cy="2209800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roporção de ocupados com ensino superior 2000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874" cy="223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C13079" w:rsidRDefault="007255AE">
            <w:r>
              <w:rPr>
                <w:noProof/>
                <w:lang w:eastAsia="pt-BR"/>
              </w:rPr>
              <w:drawing>
                <wp:inline distT="0" distB="0" distL="0" distR="0">
                  <wp:extent cx="2750773" cy="2175510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roporção de ocupados com ensino superior 2017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967" cy="2193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76F" w:rsidRDefault="0057076F"/>
    <w:p w:rsidR="00EF3049" w:rsidRDefault="00EF3049" w:rsidP="00DC16B6">
      <w:pPr>
        <w:spacing w:after="0"/>
      </w:pPr>
      <w:r>
        <w:t>Figura x. Taxa de crescimento de empregados formais sem escolaridade e com ensino superior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4"/>
        <w:gridCol w:w="4547"/>
      </w:tblGrid>
      <w:tr w:rsidR="00DC16B6" w:rsidTr="00EF3049">
        <w:tc>
          <w:tcPr>
            <w:tcW w:w="4530" w:type="dxa"/>
          </w:tcPr>
          <w:p w:rsidR="00EF3049" w:rsidRDefault="00EF3049" w:rsidP="00EF3049">
            <w:pPr>
              <w:pStyle w:val="PargrafodaLista"/>
              <w:numPr>
                <w:ilvl w:val="0"/>
                <w:numId w:val="5"/>
              </w:numPr>
            </w:pPr>
            <w:r>
              <w:t>Sem escolaridade</w:t>
            </w:r>
          </w:p>
        </w:tc>
        <w:tc>
          <w:tcPr>
            <w:tcW w:w="4531" w:type="dxa"/>
          </w:tcPr>
          <w:p w:rsidR="00EF3049" w:rsidRDefault="00EF3049" w:rsidP="00EF3049">
            <w:pPr>
              <w:pStyle w:val="PargrafodaLista"/>
              <w:numPr>
                <w:ilvl w:val="0"/>
                <w:numId w:val="5"/>
              </w:numPr>
            </w:pPr>
            <w:r>
              <w:t>Com ensino superior</w:t>
            </w:r>
          </w:p>
        </w:tc>
      </w:tr>
      <w:tr w:rsidR="00DC16B6" w:rsidTr="00EF3049">
        <w:tc>
          <w:tcPr>
            <w:tcW w:w="4530" w:type="dxa"/>
          </w:tcPr>
          <w:p w:rsidR="00EF3049" w:rsidRDefault="00DC16B6">
            <w:r>
              <w:rPr>
                <w:noProof/>
                <w:lang w:eastAsia="pt-BR"/>
              </w:rPr>
              <w:drawing>
                <wp:inline distT="0" distB="0" distL="0" distR="0">
                  <wp:extent cx="2724150" cy="2149649"/>
                  <wp:effectExtent l="0" t="0" r="0" b="317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Taxa de crescimento dos analfabetos ocupado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249" cy="217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EF3049" w:rsidRDefault="00DC16B6">
            <w:r>
              <w:rPr>
                <w:noProof/>
                <w:lang w:eastAsia="pt-BR"/>
              </w:rPr>
              <w:drawing>
                <wp:inline distT="0" distB="0" distL="0" distR="0">
                  <wp:extent cx="2750238" cy="2152650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Taxa de crescimento da população ocupada com ensino superior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355" cy="2173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3049" w:rsidRDefault="00EF3049"/>
    <w:p w:rsidR="00ED6260" w:rsidRDefault="00ED6260"/>
    <w:p w:rsidR="00ED6260" w:rsidRPr="008D09BF" w:rsidRDefault="008D09BF">
      <w:pPr>
        <w:rPr>
          <w:rFonts w:ascii="Times New Roman" w:hAnsi="Times New Roman" w:cs="Times New Roman"/>
        </w:rPr>
      </w:pPr>
      <w:r w:rsidRPr="00D54C1C">
        <w:rPr>
          <w:rFonts w:ascii="Times New Roman" w:hAnsi="Times New Roman" w:cs="Times New Roman"/>
          <w:b/>
        </w:rPr>
        <w:lastRenderedPageBreak/>
        <w:t>Quadro 1.</w:t>
      </w:r>
      <w:r w:rsidRPr="008D09BF">
        <w:rPr>
          <w:rFonts w:ascii="Times New Roman" w:hAnsi="Times New Roman" w:cs="Times New Roman"/>
        </w:rPr>
        <w:t xml:space="preserve"> Determinantes socioeconômicos dos diferenciais de rendimento no mercado de trabalho formal do Rio Grande do Sul</w:t>
      </w:r>
      <w:r w:rsidR="00B1576A">
        <w:rPr>
          <w:rFonts w:ascii="Times New Roman" w:hAnsi="Times New Roman" w:cs="Times New Roma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7"/>
        <w:gridCol w:w="1007"/>
        <w:gridCol w:w="840"/>
        <w:gridCol w:w="840"/>
        <w:gridCol w:w="840"/>
        <w:gridCol w:w="840"/>
        <w:gridCol w:w="840"/>
        <w:gridCol w:w="840"/>
        <w:gridCol w:w="840"/>
      </w:tblGrid>
      <w:tr w:rsidR="00ED6260" w:rsidRPr="00ED6260" w:rsidTr="00ED6260">
        <w:trPr>
          <w:trHeight w:val="300"/>
        </w:trPr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Modelo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2000-2017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2000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2003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2006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2009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2017</w:t>
            </w:r>
          </w:p>
        </w:tc>
      </w:tr>
      <w:tr w:rsidR="00ED6260" w:rsidRPr="00ED6260" w:rsidTr="00ED6260">
        <w:trPr>
          <w:trHeight w:val="300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67376640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2699183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2982702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3294975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3788331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4588475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4406755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4035655</w:t>
            </w:r>
          </w:p>
        </w:tc>
      </w:tr>
      <w:tr w:rsidR="00ED6260" w:rsidRPr="00ED6260" w:rsidTr="00ED6260">
        <w:trPr>
          <w:trHeight w:val="300"/>
        </w:trPr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R^2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0,42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0,42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0,44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0,44</w:t>
            </w:r>
          </w:p>
        </w:tc>
      </w:tr>
      <w:tr w:rsidR="00ED6260" w:rsidRPr="00ED6260" w:rsidTr="00ED6260">
        <w:trPr>
          <w:trHeight w:val="30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  <w:t>Variáveis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D6260" w:rsidRPr="00ED6260" w:rsidTr="00ED626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Intercepto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5,884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5,681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5,646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5,72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5,985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6,129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6,201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6,237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ED6260" w:rsidRPr="00ED6260" w:rsidTr="00ED626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Idade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0,044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0,053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0,049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0,045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0,043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0,042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ED6260" w:rsidRPr="00ED6260" w:rsidTr="00ED626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Idade^2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-0,001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-0,001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-0,001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-0,001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-0,001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-0,001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-0,001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-0,001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ED6260" w:rsidRPr="00ED6260" w:rsidTr="00ED626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Feminino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-0,319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-0,366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-0,35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-0,341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-0,324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-0,308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-0,284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-0,271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ED6260" w:rsidRPr="00ED6260" w:rsidTr="00ED626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Branco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0,593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0,013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0,016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0,013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0,008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ED6260" w:rsidRPr="00ED6260" w:rsidTr="00ED6260">
        <w:trPr>
          <w:trHeight w:val="300"/>
        </w:trPr>
        <w:tc>
          <w:tcPr>
            <w:tcW w:w="0" w:type="auto"/>
            <w:gridSpan w:val="9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Mesorregião</w:t>
            </w:r>
          </w:p>
        </w:tc>
      </w:tr>
      <w:tr w:rsidR="00ED6260" w:rsidRPr="00ED6260" w:rsidTr="00ED626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  <w:r w:rsidR="008527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-RG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0,186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0,26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0,202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0,189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0,141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0,118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ED6260" w:rsidRPr="00ED6260" w:rsidTr="00ED626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Ocidental-RG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-0,03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-0,016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-0,042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-0,028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-0,027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-0,036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-0,026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-0,011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ED6260" w:rsidRPr="00ED6260" w:rsidTr="00ED626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Oriental-RG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0,074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0,055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0,029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0,015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0,017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0,015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ED6260" w:rsidRPr="00ED6260" w:rsidTr="00ED626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Metropolitana de PA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0,169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0,285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0,221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0,196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0,151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0,139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0,129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0,122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ED6260" w:rsidRPr="00ED6260" w:rsidTr="00ED626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Sudoeste-RG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-0,077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D54C1C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-0,057*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-0,098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-0,08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-0,09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-0,079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-0,06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-0,036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ED6260" w:rsidRPr="00ED6260" w:rsidTr="00ED626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Sudeste-RG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0,038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0,031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696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0,031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0,009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0,046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0,064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0,059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ED6260" w:rsidRPr="00ED6260" w:rsidTr="00ED6260">
        <w:trPr>
          <w:trHeight w:val="300"/>
        </w:trPr>
        <w:tc>
          <w:tcPr>
            <w:tcW w:w="0" w:type="auto"/>
            <w:gridSpan w:val="9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Ensino Formal</w:t>
            </w:r>
          </w:p>
        </w:tc>
      </w:tr>
      <w:tr w:rsidR="00ED6260" w:rsidRPr="00ED6260" w:rsidTr="00ED626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Fundamental 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0,077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-0,052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0,154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0,129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0,128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0,119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0,083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0,074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ED6260" w:rsidRPr="00ED6260" w:rsidTr="00ED626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Fundamental II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0,172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0,074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0,244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0,226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0,209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0,186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0,147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0,125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ED6260" w:rsidRPr="00ED6260" w:rsidTr="00ED626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 Incompleto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0,225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0,336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0,292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0,253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0,209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0,163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0,135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ED6260" w:rsidRPr="00ED6260" w:rsidTr="00ED626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 Completo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0,399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0,41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0,545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0,491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0,425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0,373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0,317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0,283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ED6260" w:rsidRPr="00ED6260" w:rsidTr="00ED626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Superior Incompleto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0,683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0,734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0,831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0,809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0,727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0,657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0,549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0,491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ED6260" w:rsidRPr="00ED6260" w:rsidTr="00ED626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Superior Completo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1,038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0,97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1,97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1,154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1,083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1,028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0,949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0,884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ED6260" w:rsidRPr="00ED6260" w:rsidTr="00ED626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Pós-Graduação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1,456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1,628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1,523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1,414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1,396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1,345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ED6260" w:rsidRPr="00ED6260" w:rsidTr="00ED6260">
        <w:trPr>
          <w:trHeight w:val="300"/>
        </w:trPr>
        <w:tc>
          <w:tcPr>
            <w:tcW w:w="0" w:type="auto"/>
            <w:gridSpan w:val="9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Tempo no emprego</w:t>
            </w:r>
          </w:p>
        </w:tc>
      </w:tr>
      <w:tr w:rsidR="00ED6260" w:rsidRPr="00ED6260" w:rsidTr="00ED626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 a 3 anos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0,106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0,137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0,111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0,099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0,109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0,113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0,101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0,062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ED6260" w:rsidRPr="00ED6260" w:rsidTr="00ED626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 a 5 anos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0,22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0,254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0,22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0,187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0,236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0,226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0,212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</w:tr>
      <w:tr w:rsidR="00ED6260" w:rsidRPr="00ED6260" w:rsidTr="00ED626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 a 10 ano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0,338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0,36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0,362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0,331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0,314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0,35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0,339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0,303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ED6260" w:rsidRPr="00ED6260" w:rsidTr="00ED626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 ou mais anos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0,634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0,657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0,653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0,615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0,645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0,634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0,634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D6260" w:rsidRPr="00ED6260" w:rsidRDefault="00ED6260" w:rsidP="00ED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D62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0,595</w:t>
            </w:r>
            <w:r w:rsidR="00D54C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</w:tbl>
    <w:p w:rsidR="00ED6260" w:rsidRDefault="008D09BF" w:rsidP="00470493">
      <w:pPr>
        <w:spacing w:after="0"/>
        <w:rPr>
          <w:rFonts w:ascii="Times New Roman" w:hAnsi="Times New Roman" w:cs="Times New Roman"/>
        </w:rPr>
      </w:pPr>
      <w:r w:rsidRPr="00D54C1C">
        <w:rPr>
          <w:rFonts w:ascii="Times New Roman" w:hAnsi="Times New Roman" w:cs="Times New Roman"/>
          <w:b/>
        </w:rPr>
        <w:t>Fonte</w:t>
      </w:r>
      <w:r w:rsidRPr="00D54C1C">
        <w:rPr>
          <w:rFonts w:ascii="Times New Roman" w:hAnsi="Times New Roman" w:cs="Times New Roman"/>
        </w:rPr>
        <w:t>: Elaborado pelos autores com base nos dados da RAIS-</w:t>
      </w:r>
      <w:r w:rsidR="00D54C1C">
        <w:rPr>
          <w:rFonts w:ascii="Times New Roman" w:hAnsi="Times New Roman" w:cs="Times New Roman"/>
        </w:rPr>
        <w:t>TEM</w:t>
      </w:r>
    </w:p>
    <w:p w:rsidR="00470493" w:rsidRDefault="00470493" w:rsidP="004704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(*) significante a 0,01%</w:t>
      </w:r>
    </w:p>
    <w:p w:rsidR="00D54C1C" w:rsidRDefault="00D54C1C">
      <w:pPr>
        <w:rPr>
          <w:rFonts w:ascii="Times New Roman" w:hAnsi="Times New Roman" w:cs="Times New Roman"/>
        </w:rPr>
      </w:pPr>
    </w:p>
    <w:p w:rsidR="00B1576A" w:rsidRDefault="00866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ajuste log-lin</w:t>
      </w:r>
    </w:p>
    <w:p w:rsidR="00DD3EC7" w:rsidRDefault="00B1576A" w:rsidP="00DD3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Modelo de dados empilhados na segunda coluna (2000 a 2017</w:t>
      </w:r>
      <w:proofErr w:type="gramStart"/>
      <w:r>
        <w:rPr>
          <w:rFonts w:ascii="Times New Roman" w:hAnsi="Times New Roman" w:cs="Times New Roman"/>
        </w:rPr>
        <w:t>)</w:t>
      </w:r>
      <w:r w:rsidR="00421800">
        <w:rPr>
          <w:rFonts w:ascii="Times New Roman" w:hAnsi="Times New Roman" w:cs="Times New Roman"/>
        </w:rPr>
        <w:t>.</w:t>
      </w:r>
      <w:r w:rsidR="00DD3EC7" w:rsidRPr="0071607A">
        <w:rPr>
          <w:rFonts w:ascii="Times New Roman" w:hAnsi="Times New Roman" w:cs="Times New Roman"/>
        </w:rPr>
        <w:t>Só</w:t>
      </w:r>
      <w:proofErr w:type="gramEnd"/>
      <w:r w:rsidR="00DD3EC7" w:rsidRPr="0071607A">
        <w:rPr>
          <w:rFonts w:ascii="Times New Roman" w:hAnsi="Times New Roman" w:cs="Times New Roman"/>
        </w:rPr>
        <w:t xml:space="preserve"> descrever os resultados das binárias para os anos no modelo </w:t>
      </w:r>
      <w:r w:rsidR="00421800">
        <w:rPr>
          <w:rFonts w:ascii="Times New Roman" w:hAnsi="Times New Roman" w:cs="Times New Roman"/>
        </w:rPr>
        <w:t>empilhado</w:t>
      </w:r>
      <w:r w:rsidR="00DD3EC7" w:rsidRPr="0071607A">
        <w:rPr>
          <w:rFonts w:ascii="Times New Roman" w:hAnsi="Times New Roman" w:cs="Times New Roman"/>
        </w:rPr>
        <w:t>. Deixar claro que foram</w:t>
      </w:r>
      <w:r w:rsidR="00DD3EC7">
        <w:rPr>
          <w:rFonts w:ascii="Times New Roman" w:hAnsi="Times New Roman" w:cs="Times New Roman"/>
        </w:rPr>
        <w:t xml:space="preserve"> </w:t>
      </w:r>
      <w:r w:rsidR="00DD3EC7" w:rsidRPr="0071607A">
        <w:rPr>
          <w:rFonts w:ascii="Times New Roman" w:hAnsi="Times New Roman" w:cs="Times New Roman"/>
        </w:rPr>
        <w:t>inseridas, que todas foram significativas, que o valor foi crescente, com exceção de alguns anos específicos</w:t>
      </w:r>
    </w:p>
    <w:p w:rsidR="00B1576A" w:rsidRDefault="00B157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MQO para anos selecionados nas outras colunas</w:t>
      </w:r>
    </w:p>
    <w:p w:rsidR="00D54C1C" w:rsidRDefault="00694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E1741B" w:rsidRPr="00E1741B">
        <w:rPr>
          <w:rFonts w:ascii="Times New Roman" w:hAnsi="Times New Roman" w:cs="Times New Roman"/>
        </w:rPr>
        <w:t>Obviamente todos os ajustes se mostraram significativos a 0,001</w:t>
      </w:r>
      <w:r w:rsidR="00E1741B">
        <w:rPr>
          <w:rFonts w:ascii="Times New Roman" w:hAnsi="Times New Roman" w:cs="Times New Roman"/>
        </w:rPr>
        <w:t xml:space="preserve"> (p-</w:t>
      </w:r>
      <w:proofErr w:type="spellStart"/>
      <w:r w:rsidR="00E1741B">
        <w:rPr>
          <w:rFonts w:ascii="Times New Roman" w:hAnsi="Times New Roman" w:cs="Times New Roman"/>
        </w:rPr>
        <w:t>value</w:t>
      </w:r>
      <w:proofErr w:type="spellEnd"/>
      <w:r w:rsidR="00E1741B">
        <w:rPr>
          <w:rFonts w:ascii="Times New Roman" w:hAnsi="Times New Roman" w:cs="Times New Roman"/>
        </w:rPr>
        <w:t>&lt;2.2e-16)</w:t>
      </w:r>
    </w:p>
    <w:p w:rsidR="006969AE" w:rsidRDefault="006969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Único coeficiente não significativo Sudeste-RG/2003 p-</w:t>
      </w:r>
      <w:proofErr w:type="spellStart"/>
      <w:r>
        <w:rPr>
          <w:rFonts w:ascii="Times New Roman" w:hAnsi="Times New Roman" w:cs="Times New Roman"/>
        </w:rPr>
        <w:t>value</w:t>
      </w:r>
      <w:proofErr w:type="spellEnd"/>
      <w:r>
        <w:rPr>
          <w:rFonts w:ascii="Times New Roman" w:hAnsi="Times New Roman" w:cs="Times New Roman"/>
        </w:rPr>
        <w:t>&lt;0,14</w:t>
      </w:r>
    </w:p>
    <w:p w:rsidR="00FF24DB" w:rsidRDefault="00FF24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 variável raça</w:t>
      </w:r>
      <w:r w:rsidR="00DD5EB5">
        <w:rPr>
          <w:rFonts w:ascii="Times New Roman" w:hAnsi="Times New Roman" w:cs="Times New Roman"/>
        </w:rPr>
        <w:t>/cor (branco)</w:t>
      </w:r>
      <w:r>
        <w:rPr>
          <w:rFonts w:ascii="Times New Roman" w:hAnsi="Times New Roman" w:cs="Times New Roman"/>
        </w:rPr>
        <w:t xml:space="preserve"> não existia na pesquisa até 2006</w:t>
      </w:r>
    </w:p>
    <w:p w:rsidR="00655301" w:rsidRDefault="00655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Algo similar a pesquisa feita para o Ceará. Ausência coeficiente para trabalhadores com pós-graduação. Hipótese mais provável é que era um número tão pequeno de pessoas a ponto do modelo não gerar coeficiente. Verificar.</w:t>
      </w:r>
    </w:p>
    <w:p w:rsidR="0042160E" w:rsidRDefault="009D47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1A2DEF">
        <w:rPr>
          <w:rFonts w:ascii="Times New Roman" w:hAnsi="Times New Roman" w:cs="Times New Roman"/>
        </w:rPr>
        <w:t>Em geral o</w:t>
      </w:r>
      <w:r>
        <w:rPr>
          <w:rFonts w:ascii="Times New Roman" w:hAnsi="Times New Roman" w:cs="Times New Roman"/>
        </w:rPr>
        <w:t xml:space="preserve"> sinal das variáveis se comportou como esperado. </w:t>
      </w:r>
      <w:r w:rsidR="002624F6">
        <w:rPr>
          <w:rFonts w:ascii="Times New Roman" w:hAnsi="Times New Roman" w:cs="Times New Roman"/>
        </w:rPr>
        <w:t xml:space="preserve">Idade ok. </w:t>
      </w:r>
      <w:r>
        <w:rPr>
          <w:rFonts w:ascii="Times New Roman" w:hAnsi="Times New Roman" w:cs="Times New Roman"/>
        </w:rPr>
        <w:t>Idade ao quadrado negativo ok.</w:t>
      </w:r>
      <w:r w:rsidR="0075025B">
        <w:rPr>
          <w:rFonts w:ascii="Times New Roman" w:hAnsi="Times New Roman" w:cs="Times New Roman"/>
        </w:rPr>
        <w:t xml:space="preserve"> Mulheres ganham menos do que homens ok. Brancos ganham mais do que </w:t>
      </w:r>
      <w:r w:rsidR="002624F6">
        <w:rPr>
          <w:rFonts w:ascii="Times New Roman" w:hAnsi="Times New Roman" w:cs="Times New Roman"/>
        </w:rPr>
        <w:t>as outras raças</w:t>
      </w:r>
      <w:r w:rsidR="0075025B">
        <w:rPr>
          <w:rFonts w:ascii="Times New Roman" w:hAnsi="Times New Roman" w:cs="Times New Roman"/>
        </w:rPr>
        <w:t xml:space="preserve"> ok. Quanto maior o tempo no emprego mais se ganha ok.</w:t>
      </w:r>
      <w:r w:rsidR="002624F6">
        <w:rPr>
          <w:rFonts w:ascii="Times New Roman" w:hAnsi="Times New Roman" w:cs="Times New Roman"/>
        </w:rPr>
        <w:t xml:space="preserve"> Quant maior a titulação acadêmica maior o salário ok. Região metropolitana de POA paga salários maiores, seguida de Nordeste e centro oriental, ok.</w:t>
      </w:r>
    </w:p>
    <w:p w:rsidR="00FF24DB" w:rsidRDefault="00FF24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2160E">
        <w:rPr>
          <w:rFonts w:ascii="Times New Roman" w:hAnsi="Times New Roman" w:cs="Times New Roman"/>
        </w:rPr>
        <w:t xml:space="preserve"> Tendência de redução da desigualdade de salário por gênero. Queda em todos os anos selecionados</w:t>
      </w:r>
    </w:p>
    <w:p w:rsidR="0042160E" w:rsidRDefault="004216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por raça não tão acentuado quanto gênero mas há queda da diferença de salário de quem se declara branco para outras raças/cores.</w:t>
      </w:r>
    </w:p>
    <w:p w:rsidR="0042160E" w:rsidRDefault="004216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-Mesorregião não se observa a primeira vista uma padrão.</w:t>
      </w:r>
    </w:p>
    <w:p w:rsidR="0042160E" w:rsidRDefault="004216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Queda dos diferencias de rendimentos em função da formação acadêmica. </w:t>
      </w:r>
      <w:r w:rsidR="009D2136">
        <w:rPr>
          <w:rFonts w:ascii="Times New Roman" w:hAnsi="Times New Roman" w:cs="Times New Roman"/>
        </w:rPr>
        <w:t xml:space="preserve">Remuneração </w:t>
      </w:r>
      <w:r>
        <w:rPr>
          <w:rFonts w:ascii="Times New Roman" w:hAnsi="Times New Roman" w:cs="Times New Roman"/>
        </w:rPr>
        <w:t>Tornou-se mais igualitária com o tempo.</w:t>
      </w:r>
    </w:p>
    <w:p w:rsidR="009D4745" w:rsidRDefault="00C6341E" w:rsidP="00C6341E">
      <w:pPr>
        <w:spacing w:after="0"/>
        <w:rPr>
          <w:rFonts w:ascii="Times New Roman" w:hAnsi="Times New Roman" w:cs="Times New Roman"/>
        </w:rPr>
      </w:pPr>
      <w:r w:rsidRPr="00C6341E">
        <w:rPr>
          <w:rFonts w:ascii="Times New Roman" w:hAnsi="Times New Roman" w:cs="Times New Roman"/>
          <w:b/>
        </w:rPr>
        <w:t>Tabela X.</w:t>
      </w:r>
      <w:r>
        <w:rPr>
          <w:rFonts w:ascii="Times New Roman" w:hAnsi="Times New Roman" w:cs="Times New Roman"/>
        </w:rPr>
        <w:t xml:space="preserve"> </w:t>
      </w:r>
      <w:r w:rsidRPr="008D09BF">
        <w:rPr>
          <w:rFonts w:ascii="Times New Roman" w:hAnsi="Times New Roman" w:cs="Times New Roman"/>
        </w:rPr>
        <w:t xml:space="preserve"> Determinantes socioeconômicos dos diferenciais de rendimento no mercado de trabalho formal do Rio Grande do Sul</w:t>
      </w:r>
      <w:r>
        <w:rPr>
          <w:rFonts w:ascii="Times New Roman" w:hAnsi="Times New Roman" w:cs="Times New Roman"/>
        </w:rPr>
        <w:t xml:space="preserve"> – Regressão Quantílicas (Q25)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7"/>
        <w:gridCol w:w="857"/>
        <w:gridCol w:w="857"/>
        <w:gridCol w:w="857"/>
        <w:gridCol w:w="857"/>
        <w:gridCol w:w="857"/>
        <w:gridCol w:w="857"/>
        <w:gridCol w:w="857"/>
      </w:tblGrid>
      <w:tr w:rsidR="00131887" w:rsidRPr="00131887" w:rsidTr="00D60656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131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Variáveis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2017</w:t>
            </w:r>
          </w:p>
        </w:tc>
      </w:tr>
      <w:tr w:rsidR="00131887" w:rsidRPr="00131887" w:rsidTr="00D60656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131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Intercepto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5,5224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5,7664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5,9100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6,0963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6,1870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6,2106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6,2468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31887" w:rsidRPr="00131887" w:rsidTr="00131887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131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0,0457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0,0370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0,0330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0,0308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0,0341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0,0396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0,0384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31887" w:rsidRPr="00131887" w:rsidTr="00131887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131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Idade^2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-0,0005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  <w:r w:rsidRP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0,0004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-0,0003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-0,0003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-0,0004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-0,0004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-0,0004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31887" w:rsidRPr="00131887" w:rsidTr="00131887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131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Feminino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-0,2738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-0,237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-0,2167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-0,2024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-0,2002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-0,2052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-0,1915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31887" w:rsidRPr="00131887" w:rsidTr="00131887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131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Branco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0,0492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0,0243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0,0272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0,0277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0,0226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AB192B" w:rsidRPr="00AB192B" w:rsidTr="00744A2C">
        <w:trPr>
          <w:trHeight w:val="300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92B" w:rsidRPr="00131887" w:rsidRDefault="00AB192B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Mesorregião</w:t>
            </w:r>
          </w:p>
        </w:tc>
      </w:tr>
      <w:tr w:rsidR="00131887" w:rsidRPr="00131887" w:rsidTr="00131887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131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0,2666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0,1654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0,1590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0,1443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0,1384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0,1197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0,0947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31887" w:rsidRPr="00131887" w:rsidTr="00131887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131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Ocidental-RG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-0,0162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-0,049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-0,0410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-0,0477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-0,0484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-0,0458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-0,0333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31887" w:rsidRPr="00131887" w:rsidTr="00131887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131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Oriental-RG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0,1030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0,051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0,0469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0,0265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0,0150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0,0186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0,0164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31887" w:rsidRPr="00131887" w:rsidTr="00131887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131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Metropolitana de 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0,2637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0,1613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0,1221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0,0846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0,0703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0,0635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0,0565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31887" w:rsidRPr="00131887" w:rsidTr="00131887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131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Sudoeste-RG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-0,0204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-0,089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-0,0648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-0,0700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-0,0680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-0,0590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-0,0358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31887" w:rsidRPr="00131887" w:rsidTr="00131887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131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Sudeste-RG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0,0148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-0,031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-0,0133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-0,0239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-0,0146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0,0038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0,0082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AB192B" w:rsidRPr="00AB192B" w:rsidTr="00B00983">
        <w:trPr>
          <w:trHeight w:val="300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92B" w:rsidRPr="00131887" w:rsidRDefault="00AB192B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Ensino Formal</w:t>
            </w:r>
          </w:p>
        </w:tc>
      </w:tr>
      <w:tr w:rsidR="00131887" w:rsidRPr="00131887" w:rsidTr="00131887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131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Fundamental 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0,0282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0,1064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0,0748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0,0845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0,0844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0,0574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0,0393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31887" w:rsidRPr="00131887" w:rsidTr="00131887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131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Fundamental 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0,1245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0,1723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0,1321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0,1332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0,1191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0,0888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0,0624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31887" w:rsidRPr="00131887" w:rsidTr="00131887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131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 Incompleto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0,2035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0,2197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0,1551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0,1401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0,1082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0,0627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0,0326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31887" w:rsidRPr="00131887" w:rsidTr="00131887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131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 Completo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0,3635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0,3554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0,2773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0,2485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0,2203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0,1907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0,1530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31887" w:rsidRPr="00131887" w:rsidTr="00131887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131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Superior Incompleto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0,5867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0,5322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0,4620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0,4255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0,3908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0,3373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0,2664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31887" w:rsidRPr="00131887" w:rsidTr="00131887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131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Superior Completo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0,7701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0,8352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0,6703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0,6267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0,6086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0,5844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0,5066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31887" w:rsidRPr="00131887" w:rsidTr="00131887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131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Pós-Graduação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1,1429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1,1083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1,0241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1,0441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0,9561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AB192B" w:rsidRPr="00AB192B" w:rsidTr="00E750EB">
        <w:trPr>
          <w:trHeight w:val="300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92B" w:rsidRPr="00131887" w:rsidRDefault="00AB192B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Tempo no emprego</w:t>
            </w:r>
          </w:p>
        </w:tc>
      </w:tr>
      <w:tr w:rsidR="00131887" w:rsidRPr="00131887" w:rsidTr="00131887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131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 a 3 anos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0,1197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0,0963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0,0912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0,0914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0,0961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0,0936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0,0622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31887" w:rsidRPr="00131887" w:rsidTr="00131887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131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 a 5 anos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0,2312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0,1883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0,1606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0,1773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0,1794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0,1794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0,1559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31887" w:rsidRPr="00131887" w:rsidTr="00D6065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131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 a 10 ano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0,3459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0,3146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0,2788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0,2556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0,2770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0,2726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0,2415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31887" w:rsidRPr="00131887" w:rsidTr="00D6065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131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 ou mais anos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0,6234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0,5671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0,5313</w:t>
            </w:r>
            <w:r w:rsidR="00AB1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0,5434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0,5256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0,5221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1887" w:rsidRPr="00131887" w:rsidRDefault="00131887" w:rsidP="00602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318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0,4730</w:t>
            </w:r>
            <w:r w:rsidR="009F4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</w:tbl>
    <w:p w:rsidR="00174521" w:rsidRDefault="00174521" w:rsidP="00174521">
      <w:pPr>
        <w:spacing w:after="0"/>
        <w:rPr>
          <w:rFonts w:ascii="Times New Roman" w:hAnsi="Times New Roman" w:cs="Times New Roman"/>
        </w:rPr>
      </w:pPr>
      <w:r w:rsidRPr="00D54C1C">
        <w:rPr>
          <w:rFonts w:ascii="Times New Roman" w:hAnsi="Times New Roman" w:cs="Times New Roman"/>
          <w:b/>
        </w:rPr>
        <w:t>Fonte</w:t>
      </w:r>
      <w:r w:rsidRPr="00D54C1C">
        <w:rPr>
          <w:rFonts w:ascii="Times New Roman" w:hAnsi="Times New Roman" w:cs="Times New Roman"/>
        </w:rPr>
        <w:t>: Elaborado pelos autores com base nos dados da RAIS-</w:t>
      </w:r>
      <w:r>
        <w:rPr>
          <w:rFonts w:ascii="Times New Roman" w:hAnsi="Times New Roman" w:cs="Times New Roman"/>
        </w:rPr>
        <w:t>TEM</w:t>
      </w:r>
    </w:p>
    <w:p w:rsidR="00174521" w:rsidRDefault="00174521" w:rsidP="001745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(*) significante a 0,01%</w:t>
      </w:r>
    </w:p>
    <w:p w:rsidR="009D4745" w:rsidRDefault="009D4745">
      <w:pPr>
        <w:rPr>
          <w:rFonts w:ascii="Times New Roman" w:hAnsi="Times New Roman" w:cs="Times New Roman"/>
        </w:rPr>
      </w:pPr>
    </w:p>
    <w:p w:rsidR="005F2F4E" w:rsidRDefault="005F2F4E" w:rsidP="005F2F4E">
      <w:pPr>
        <w:spacing w:after="0"/>
        <w:rPr>
          <w:rFonts w:ascii="Times New Roman" w:hAnsi="Times New Roman" w:cs="Times New Roman"/>
        </w:rPr>
      </w:pPr>
      <w:r w:rsidRPr="00C6341E">
        <w:rPr>
          <w:rFonts w:ascii="Times New Roman" w:hAnsi="Times New Roman" w:cs="Times New Roman"/>
          <w:b/>
        </w:rPr>
        <w:lastRenderedPageBreak/>
        <w:t>Tabela X.</w:t>
      </w:r>
      <w:r>
        <w:rPr>
          <w:rFonts w:ascii="Times New Roman" w:hAnsi="Times New Roman" w:cs="Times New Roman"/>
        </w:rPr>
        <w:t xml:space="preserve"> </w:t>
      </w:r>
      <w:r w:rsidRPr="008D09BF">
        <w:rPr>
          <w:rFonts w:ascii="Times New Roman" w:hAnsi="Times New Roman" w:cs="Times New Roman"/>
        </w:rPr>
        <w:t xml:space="preserve"> Determinantes socioeconômicos dos diferenciais de rendimento no mercado de trabalho formal do Rio Grande do Sul</w:t>
      </w:r>
      <w:r>
        <w:rPr>
          <w:rFonts w:ascii="Times New Roman" w:hAnsi="Times New Roman" w:cs="Times New Roman"/>
        </w:rPr>
        <w:t xml:space="preserve"> – Regressão Quantílicas (Q50)</w:t>
      </w:r>
    </w:p>
    <w:tbl>
      <w:tblPr>
        <w:tblW w:w="86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3"/>
        <w:gridCol w:w="960"/>
        <w:gridCol w:w="960"/>
        <w:gridCol w:w="960"/>
        <w:gridCol w:w="960"/>
        <w:gridCol w:w="960"/>
        <w:gridCol w:w="960"/>
        <w:gridCol w:w="960"/>
      </w:tblGrid>
      <w:tr w:rsidR="00F05757" w:rsidRPr="00F05757" w:rsidTr="00F05757">
        <w:trPr>
          <w:trHeight w:val="300"/>
        </w:trPr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Variáveis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2003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2009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2017</w:t>
            </w:r>
          </w:p>
        </w:tc>
      </w:tr>
      <w:tr w:rsidR="00F05757" w:rsidRPr="00F05757" w:rsidTr="00F05757">
        <w:trPr>
          <w:trHeight w:val="300"/>
        </w:trPr>
        <w:tc>
          <w:tcPr>
            <w:tcW w:w="18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Intercepto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5,7163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5,834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5,9204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6,1623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6,3159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6,4428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6,4921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F05757" w:rsidRPr="00F05757" w:rsidTr="00F05757">
        <w:trPr>
          <w:trHeight w:val="300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Idade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0,049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0,0413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0,0379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0,0339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0,0346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0,0357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0,0346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F05757" w:rsidRPr="00F05757" w:rsidTr="00F05757">
        <w:trPr>
          <w:trHeight w:val="300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Idade^2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-0,0005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-0,0004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-0,0004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-0,0003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-0,0004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-0,0004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-0,0003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F05757" w:rsidRPr="00F05757" w:rsidTr="00F05757">
        <w:trPr>
          <w:trHeight w:val="300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Feminino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-0,3360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-0,309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-0,2952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-0,2799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-0,2692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-0,2458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-0,2310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F05757" w:rsidRPr="00F05757" w:rsidTr="00F05757">
        <w:trPr>
          <w:trHeight w:val="300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Branco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0,0591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0,0258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0,0282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0,0306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0,0232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F05757" w:rsidRPr="00F05757" w:rsidTr="000E7111">
        <w:trPr>
          <w:trHeight w:val="300"/>
        </w:trPr>
        <w:tc>
          <w:tcPr>
            <w:tcW w:w="86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Mesorregião</w:t>
            </w:r>
          </w:p>
        </w:tc>
      </w:tr>
      <w:tr w:rsidR="00F05757" w:rsidRPr="00F05757" w:rsidTr="00F05757">
        <w:trPr>
          <w:trHeight w:val="300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0,2804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0,1906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0,2010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0,1815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0,1742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0,1292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0,1045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F05757" w:rsidRPr="00F05757" w:rsidTr="00F05757">
        <w:trPr>
          <w:trHeight w:val="300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Ocidental-RG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-0,0182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-0,0551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-0,0445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-0,0541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-0,0566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-0,0461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-0,0319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F05757" w:rsidRPr="00F05757" w:rsidTr="00F05757">
        <w:trPr>
          <w:trHeight w:val="300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Oriental-RG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0,0660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0,0336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0,0348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0,0121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C5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-0,0028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-0,0018</w:t>
            </w:r>
            <w:r w:rsidR="00EC4E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</w:t>
            </w:r>
          </w:p>
        </w:tc>
      </w:tr>
      <w:tr w:rsidR="00F05757" w:rsidRPr="00F05757" w:rsidTr="00F05757">
        <w:trPr>
          <w:trHeight w:val="300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Metropolitana de PA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0,2597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0,1792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0,1547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0,1076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0,0929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0,0711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0,0682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F05757" w:rsidRPr="00F05757" w:rsidTr="00F05757">
        <w:trPr>
          <w:trHeight w:val="300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Sudoeste-RG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-0,0562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-0,1027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-0,0796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-0,0893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-0,0836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-0,0652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-0,0409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F05757" w:rsidRPr="00F05757" w:rsidTr="00F05757">
        <w:trPr>
          <w:trHeight w:val="300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Sudeste-RG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0,0219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-0,0178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0,0032</w:t>
            </w:r>
            <w:r w:rsidR="00675B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-0,0182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0,0022</w:t>
            </w:r>
            <w:r w:rsidR="00EC4E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0,0223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0,0246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F05757" w:rsidRPr="00F05757" w:rsidTr="001F4719">
        <w:trPr>
          <w:trHeight w:val="300"/>
        </w:trPr>
        <w:tc>
          <w:tcPr>
            <w:tcW w:w="86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Ensino Formal</w:t>
            </w:r>
          </w:p>
        </w:tc>
      </w:tr>
      <w:tr w:rsidR="00F05757" w:rsidRPr="00F05757" w:rsidTr="00F05757">
        <w:trPr>
          <w:trHeight w:val="300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Fundamental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0,1322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0,1044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0,1044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0,1035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0,0608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0,0456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F05757" w:rsidRPr="00F05757" w:rsidTr="00F05757">
        <w:trPr>
          <w:trHeight w:val="300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Fundamental 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0,1037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0,2134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0,1845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0,1722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0,1540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0,1037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0,0830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F05757" w:rsidRPr="00F05757" w:rsidTr="00F05757">
        <w:trPr>
          <w:trHeight w:val="300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 Incompleto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0,2139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0,2876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0,2347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0,2076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0,1760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0,1201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0,0923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F05757" w:rsidRPr="00F05757" w:rsidTr="00F05757">
        <w:trPr>
          <w:trHeight w:val="300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 Completo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0,4238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0,4641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0,3892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0,3341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0,2902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0,2285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0,1933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F05757" w:rsidRPr="00F05757" w:rsidTr="00F05757">
        <w:trPr>
          <w:trHeight w:val="300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Superior Incompleto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0,7569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0,7549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0,7005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0,6120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0,5533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0,4295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0,3600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F05757" w:rsidRPr="00F05757" w:rsidTr="00F05757">
        <w:trPr>
          <w:trHeight w:val="300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Superior Completo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1,0143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1,1608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1,0880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1,0050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0,9497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0,8449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0,7830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F05757" w:rsidRPr="00F05757" w:rsidTr="00F05757">
        <w:trPr>
          <w:trHeight w:val="300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Pós-Graduação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1,8007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1,6112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1,5164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1,5057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1,4512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F05757" w:rsidRPr="00F05757" w:rsidTr="00471D5F">
        <w:trPr>
          <w:trHeight w:val="300"/>
        </w:trPr>
        <w:tc>
          <w:tcPr>
            <w:tcW w:w="86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Tempo no emprego</w:t>
            </w:r>
          </w:p>
        </w:tc>
      </w:tr>
      <w:tr w:rsidR="00F05757" w:rsidRPr="00F05757" w:rsidTr="00F05757">
        <w:trPr>
          <w:trHeight w:val="300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 a 3 anos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0,1335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0,1068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0,1003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0,1025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0,1053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0,1003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0,0654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F05757" w:rsidRPr="00F05757" w:rsidTr="00F05757">
        <w:trPr>
          <w:trHeight w:val="300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 a 5 anos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0,2659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0,2198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0,1937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0,2204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0,2212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0,2030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0,1716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F05757" w:rsidRPr="00F05757" w:rsidTr="005F2F4E">
        <w:trPr>
          <w:trHeight w:val="300"/>
        </w:trPr>
        <w:tc>
          <w:tcPr>
            <w:tcW w:w="18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 a 10 ano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0,3939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0,3755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0,3428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0,3230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0,3521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0,3300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0,2985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F05757" w:rsidRPr="00F05757" w:rsidTr="005F2F4E">
        <w:trPr>
          <w:trHeight w:val="300"/>
        </w:trPr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 ou mais anos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0,6885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0,6535</w:t>
            </w:r>
            <w:r w:rsidR="006D5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0,6448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0,6640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0,6547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0,6313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5757" w:rsidRPr="00F05757" w:rsidRDefault="00F05757" w:rsidP="00F05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057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0,5963</w:t>
            </w:r>
            <w:r w:rsidR="0027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</w:tbl>
    <w:p w:rsidR="005F2F4E" w:rsidRDefault="005F2F4E" w:rsidP="005F2F4E">
      <w:pPr>
        <w:spacing w:after="0"/>
        <w:rPr>
          <w:rFonts w:ascii="Times New Roman" w:hAnsi="Times New Roman" w:cs="Times New Roman"/>
        </w:rPr>
      </w:pPr>
      <w:r w:rsidRPr="00D54C1C">
        <w:rPr>
          <w:rFonts w:ascii="Times New Roman" w:hAnsi="Times New Roman" w:cs="Times New Roman"/>
          <w:b/>
        </w:rPr>
        <w:t>Fonte</w:t>
      </w:r>
      <w:r w:rsidRPr="00D54C1C">
        <w:rPr>
          <w:rFonts w:ascii="Times New Roman" w:hAnsi="Times New Roman" w:cs="Times New Roman"/>
        </w:rPr>
        <w:t>: Elaborado pelos autores com base nos dados da RAIS-</w:t>
      </w:r>
      <w:r>
        <w:rPr>
          <w:rFonts w:ascii="Times New Roman" w:hAnsi="Times New Roman" w:cs="Times New Roman"/>
        </w:rPr>
        <w:t>TEM</w:t>
      </w:r>
    </w:p>
    <w:p w:rsidR="005F2F4E" w:rsidRDefault="005F2F4E" w:rsidP="005F2F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(*) significante a 0,01%</w:t>
      </w:r>
    </w:p>
    <w:p w:rsidR="00F05757" w:rsidRDefault="00EC4E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</w:t>
      </w:r>
      <w:r w:rsidR="00FC5D8B">
        <w:rPr>
          <w:rFonts w:ascii="Times New Roman" w:hAnsi="Times New Roman" w:cs="Times New Roman"/>
        </w:rPr>
        <w:t>*)</w:t>
      </w:r>
      <w:r w:rsidR="00511546">
        <w:rPr>
          <w:rFonts w:ascii="Times New Roman" w:hAnsi="Times New Roman" w:cs="Times New Roman"/>
        </w:rPr>
        <w:t xml:space="preserve"> </w:t>
      </w:r>
      <w:r w:rsidR="00FC5D8B">
        <w:rPr>
          <w:rFonts w:ascii="Times New Roman" w:hAnsi="Times New Roman" w:cs="Times New Roman"/>
        </w:rPr>
        <w:t>significante a 5%</w:t>
      </w:r>
    </w:p>
    <w:p w:rsidR="00FC5D8B" w:rsidRDefault="00FC5D8B">
      <w:pPr>
        <w:rPr>
          <w:rFonts w:ascii="Times New Roman" w:hAnsi="Times New Roman" w:cs="Times New Roman"/>
        </w:rPr>
      </w:pPr>
    </w:p>
    <w:p w:rsidR="008E657B" w:rsidRDefault="008E657B">
      <w:pPr>
        <w:rPr>
          <w:rFonts w:ascii="Times New Roman" w:hAnsi="Times New Roman" w:cs="Times New Roman"/>
        </w:rPr>
      </w:pPr>
    </w:p>
    <w:p w:rsidR="008E657B" w:rsidRDefault="008E657B">
      <w:pPr>
        <w:rPr>
          <w:rFonts w:ascii="Times New Roman" w:hAnsi="Times New Roman" w:cs="Times New Roman"/>
        </w:rPr>
      </w:pPr>
    </w:p>
    <w:p w:rsidR="008E657B" w:rsidRDefault="008E657B">
      <w:pPr>
        <w:rPr>
          <w:rFonts w:ascii="Times New Roman" w:hAnsi="Times New Roman" w:cs="Times New Roman"/>
        </w:rPr>
      </w:pPr>
    </w:p>
    <w:p w:rsidR="008E657B" w:rsidRDefault="008E657B">
      <w:pPr>
        <w:rPr>
          <w:rFonts w:ascii="Times New Roman" w:hAnsi="Times New Roman" w:cs="Times New Roman"/>
        </w:rPr>
      </w:pPr>
    </w:p>
    <w:p w:rsidR="008E657B" w:rsidRDefault="008E657B">
      <w:pPr>
        <w:rPr>
          <w:rFonts w:ascii="Times New Roman" w:hAnsi="Times New Roman" w:cs="Times New Roman"/>
        </w:rPr>
      </w:pPr>
    </w:p>
    <w:p w:rsidR="008E657B" w:rsidRDefault="008E657B">
      <w:pPr>
        <w:rPr>
          <w:rFonts w:ascii="Times New Roman" w:hAnsi="Times New Roman" w:cs="Times New Roman"/>
        </w:rPr>
      </w:pPr>
    </w:p>
    <w:p w:rsidR="008E657B" w:rsidRDefault="008E657B">
      <w:pPr>
        <w:rPr>
          <w:rFonts w:ascii="Times New Roman" w:hAnsi="Times New Roman" w:cs="Times New Roman"/>
        </w:rPr>
      </w:pPr>
    </w:p>
    <w:p w:rsidR="008E657B" w:rsidRDefault="008E657B">
      <w:pPr>
        <w:rPr>
          <w:rFonts w:ascii="Times New Roman" w:hAnsi="Times New Roman" w:cs="Times New Roman"/>
        </w:rPr>
      </w:pPr>
    </w:p>
    <w:p w:rsidR="008E657B" w:rsidRDefault="008E657B">
      <w:pPr>
        <w:rPr>
          <w:rFonts w:ascii="Times New Roman" w:hAnsi="Times New Roman" w:cs="Times New Roman"/>
        </w:rPr>
      </w:pPr>
    </w:p>
    <w:p w:rsidR="00101EE3" w:rsidRDefault="00101EE3" w:rsidP="00101EE3">
      <w:pPr>
        <w:spacing w:after="0"/>
        <w:rPr>
          <w:rFonts w:ascii="Times New Roman" w:hAnsi="Times New Roman" w:cs="Times New Roman"/>
        </w:rPr>
      </w:pPr>
      <w:r w:rsidRPr="00C6341E">
        <w:rPr>
          <w:rFonts w:ascii="Times New Roman" w:hAnsi="Times New Roman" w:cs="Times New Roman"/>
          <w:b/>
        </w:rPr>
        <w:lastRenderedPageBreak/>
        <w:t>Tabela X.</w:t>
      </w:r>
      <w:r>
        <w:rPr>
          <w:rFonts w:ascii="Times New Roman" w:hAnsi="Times New Roman" w:cs="Times New Roman"/>
        </w:rPr>
        <w:t xml:space="preserve"> </w:t>
      </w:r>
      <w:r w:rsidRPr="008D09BF">
        <w:rPr>
          <w:rFonts w:ascii="Times New Roman" w:hAnsi="Times New Roman" w:cs="Times New Roman"/>
        </w:rPr>
        <w:t xml:space="preserve"> Determinantes socioeconômicos dos diferenciais de rendimento no mercado de trabalho formal do Rio Grande do Sul</w:t>
      </w:r>
      <w:r>
        <w:rPr>
          <w:rFonts w:ascii="Times New Roman" w:hAnsi="Times New Roman" w:cs="Times New Roman"/>
        </w:rPr>
        <w:t xml:space="preserve"> – Regressão Quantílicas (Q75</w:t>
      </w:r>
      <w:r>
        <w:rPr>
          <w:rFonts w:ascii="Times New Roman" w:hAnsi="Times New Roman" w:cs="Times New Roman"/>
        </w:rPr>
        <w:t>)</w:t>
      </w:r>
    </w:p>
    <w:tbl>
      <w:tblPr>
        <w:tblW w:w="85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948"/>
        <w:gridCol w:w="948"/>
        <w:gridCol w:w="948"/>
        <w:gridCol w:w="948"/>
        <w:gridCol w:w="948"/>
        <w:gridCol w:w="948"/>
        <w:gridCol w:w="948"/>
      </w:tblGrid>
      <w:tr w:rsidR="00101EE3" w:rsidRPr="00101EE3" w:rsidTr="0079640B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Variáveis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2000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2003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2006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2009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2017</w:t>
            </w:r>
          </w:p>
        </w:tc>
      </w:tr>
      <w:tr w:rsidR="00101EE3" w:rsidRPr="00101EE3" w:rsidTr="0079640B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Intercepto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5,9134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5,86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00*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5,9403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6,2078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6,3894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6,5066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6,5438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01EE3" w:rsidRPr="00101EE3" w:rsidTr="00101EE3">
        <w:trPr>
          <w:trHeight w:val="300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Idade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0,0549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0,0484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0,0445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0,0391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0,0388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0,0392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0,0374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01EE3" w:rsidRPr="00101EE3" w:rsidTr="00101EE3">
        <w:trPr>
          <w:trHeight w:val="300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Idade^2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-0,0005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-0,0005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-0,0004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-0,0004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-0,0004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-0,0004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-0,0003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01EE3" w:rsidRPr="00101EE3" w:rsidTr="00101EE3">
        <w:trPr>
          <w:trHeight w:val="300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Feminino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-0,4023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-0,3894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-0,3725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-0,3535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-0,3415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-0,3043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-0,2821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01EE3" w:rsidRPr="00101EE3" w:rsidTr="00101EE3">
        <w:trPr>
          <w:trHeight w:val="300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Branco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0,0384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0,0031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0,0045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0,0130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0,0116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01EE3" w:rsidRPr="00101EE3" w:rsidTr="00062703">
        <w:trPr>
          <w:trHeight w:val="300"/>
        </w:trPr>
        <w:tc>
          <w:tcPr>
            <w:tcW w:w="85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Mesorregião</w:t>
            </w:r>
          </w:p>
        </w:tc>
      </w:tr>
      <w:tr w:rsidR="00101EE3" w:rsidRPr="00101EE3" w:rsidTr="00101EE3">
        <w:trPr>
          <w:trHeight w:val="300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0,2764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0,2093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0,2304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0,1880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0,1916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0,1322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0,1052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01EE3" w:rsidRPr="00101EE3" w:rsidTr="00101EE3">
        <w:trPr>
          <w:trHeight w:val="300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Ocidental-RG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-0,0249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-0,052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-0,0394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-0,0401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-0,0576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-0,0423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-0,0299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01EE3" w:rsidRPr="00101EE3" w:rsidTr="00101EE3">
        <w:trPr>
          <w:trHeight w:val="300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 Oriental-RG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0,0411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0,0251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0,0315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0,0073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-0,0050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-0,0054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-0,0082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01EE3" w:rsidRPr="00101EE3" w:rsidTr="00101EE3">
        <w:trPr>
          <w:trHeight w:val="300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Metropolitana de PA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0,2830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0,2189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0,2024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0,1438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0,1325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0,1090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0,1022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01EE3" w:rsidRPr="00101EE3" w:rsidTr="00101EE3">
        <w:trPr>
          <w:trHeight w:val="300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Sudoeste-RG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-0,0732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-0,1049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-0,0828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-0,0937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-0,0874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-0,0685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-0,0437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01EE3" w:rsidRPr="00101EE3" w:rsidTr="00101EE3">
        <w:trPr>
          <w:trHeight w:val="300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Sudeste-RG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0,0438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0,0124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0,0411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0,0075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0,0449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0,0699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0,0572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01EE3" w:rsidRPr="00101EE3" w:rsidTr="003600EC">
        <w:trPr>
          <w:trHeight w:val="300"/>
        </w:trPr>
        <w:tc>
          <w:tcPr>
            <w:tcW w:w="85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Ensino Formal</w:t>
            </w:r>
          </w:p>
        </w:tc>
      </w:tr>
      <w:tr w:rsidR="00101EE3" w:rsidRPr="00101EE3" w:rsidTr="00101EE3">
        <w:trPr>
          <w:trHeight w:val="300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Fundamental I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-0,0811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0,1607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0,1242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0,1270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0,1171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0,0789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0,0729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01EE3" w:rsidRPr="00101EE3" w:rsidTr="00101EE3">
        <w:trPr>
          <w:trHeight w:val="300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Fundamental II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0,055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0,2583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0,2348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0,2163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0,1912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0,1444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0,1286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01EE3" w:rsidRPr="00101EE3" w:rsidTr="00101EE3">
        <w:trPr>
          <w:trHeight w:val="300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 Incompleto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0,2112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0,3717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0,3195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0,2796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0,2431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0,1920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0,1697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01EE3" w:rsidRPr="00101EE3" w:rsidTr="00101EE3">
        <w:trPr>
          <w:trHeight w:val="300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 Completo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0,4574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0,6022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0,5269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0,4497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0,3931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0,3224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0,2914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01EE3" w:rsidRPr="00101EE3" w:rsidTr="00101EE3">
        <w:trPr>
          <w:trHeight w:val="300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Superior Incompleto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0,8831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0,9857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0,9570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0,8472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0,7511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0,6066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0,5452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01EE3" w:rsidRPr="00101EE3" w:rsidTr="00101EE3">
        <w:trPr>
          <w:trHeight w:val="300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Superior Completo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1,2433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1,4925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1,4817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1,3978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1,3276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1,1972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1,1288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01EE3" w:rsidRPr="00101EE3" w:rsidTr="00101EE3">
        <w:trPr>
          <w:trHeight w:val="300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Pós-Graduação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2,0409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1,9020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1,7792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1,7590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1,7327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01EE3" w:rsidRPr="00101EE3" w:rsidTr="00DA510B">
        <w:trPr>
          <w:trHeight w:val="300"/>
        </w:trPr>
        <w:tc>
          <w:tcPr>
            <w:tcW w:w="85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Tempo no emprego</w:t>
            </w:r>
          </w:p>
        </w:tc>
      </w:tr>
      <w:tr w:rsidR="00101EE3" w:rsidRPr="00101EE3" w:rsidTr="00101EE3">
        <w:trPr>
          <w:trHeight w:val="300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 a 3 anos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0,1476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0,115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0,1081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0,1144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0,1188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0,1109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0,0695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01EE3" w:rsidRPr="00101EE3" w:rsidTr="00101EE3">
        <w:trPr>
          <w:trHeight w:val="300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 a 5 anos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0,2864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0,2452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0,2227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0,2642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0,2590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0,2331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0,1927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01EE3" w:rsidRPr="00101EE3" w:rsidTr="0079640B">
        <w:trPr>
          <w:trHeight w:val="300"/>
        </w:trPr>
        <w:tc>
          <w:tcPr>
            <w:tcW w:w="18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 a 10 ano</w:t>
            </w:r>
          </w:p>
        </w:tc>
        <w:tc>
          <w:tcPr>
            <w:tcW w:w="9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0,4111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0,4131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0,3877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0,3741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0,4063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0,3861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0,3457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101EE3" w:rsidRPr="00101EE3" w:rsidTr="0079640B">
        <w:trPr>
          <w:trHeight w:val="300"/>
        </w:trPr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 ou mais anos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0,7416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0,7271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0,7188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0,7527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0,7623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0,7490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1EE3" w:rsidRPr="00101EE3" w:rsidRDefault="00101EE3" w:rsidP="00101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01E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0,7030</w:t>
            </w:r>
            <w:r w:rsidR="00B5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  <w:bookmarkStart w:id="0" w:name="_GoBack"/>
            <w:bookmarkEnd w:id="0"/>
          </w:p>
        </w:tc>
      </w:tr>
    </w:tbl>
    <w:p w:rsidR="0079640B" w:rsidRDefault="0079640B" w:rsidP="0079640B">
      <w:pPr>
        <w:spacing w:after="0"/>
        <w:rPr>
          <w:rFonts w:ascii="Times New Roman" w:hAnsi="Times New Roman" w:cs="Times New Roman"/>
        </w:rPr>
      </w:pPr>
      <w:r w:rsidRPr="00D54C1C">
        <w:rPr>
          <w:rFonts w:ascii="Times New Roman" w:hAnsi="Times New Roman" w:cs="Times New Roman"/>
          <w:b/>
        </w:rPr>
        <w:t>Fonte</w:t>
      </w:r>
      <w:r w:rsidRPr="00D54C1C">
        <w:rPr>
          <w:rFonts w:ascii="Times New Roman" w:hAnsi="Times New Roman" w:cs="Times New Roman"/>
        </w:rPr>
        <w:t>: Elaborado pelos autores com base nos dados da RAIS-</w:t>
      </w:r>
      <w:r>
        <w:rPr>
          <w:rFonts w:ascii="Times New Roman" w:hAnsi="Times New Roman" w:cs="Times New Roman"/>
        </w:rPr>
        <w:t>TEM</w:t>
      </w:r>
    </w:p>
    <w:p w:rsidR="0079640B" w:rsidRDefault="0079640B" w:rsidP="0079640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(*) significante a 0,01%</w:t>
      </w:r>
    </w:p>
    <w:p w:rsidR="00101EE3" w:rsidRPr="00D54C1C" w:rsidRDefault="00101EE3">
      <w:pPr>
        <w:rPr>
          <w:rFonts w:ascii="Times New Roman" w:hAnsi="Times New Roman" w:cs="Times New Roman"/>
        </w:rPr>
      </w:pPr>
    </w:p>
    <w:sectPr w:rsidR="00101EE3" w:rsidRPr="00D54C1C" w:rsidSect="0049749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D0354"/>
    <w:multiLevelType w:val="hybridMultilevel"/>
    <w:tmpl w:val="5972FEB0"/>
    <w:lvl w:ilvl="0" w:tplc="78E675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443BC"/>
    <w:multiLevelType w:val="hybridMultilevel"/>
    <w:tmpl w:val="669A9948"/>
    <w:lvl w:ilvl="0" w:tplc="0BFAC5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A4D3F"/>
    <w:multiLevelType w:val="hybridMultilevel"/>
    <w:tmpl w:val="4F06EA88"/>
    <w:lvl w:ilvl="0" w:tplc="90E2CD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9489B"/>
    <w:multiLevelType w:val="hybridMultilevel"/>
    <w:tmpl w:val="CFFEDA30"/>
    <w:lvl w:ilvl="0" w:tplc="D05004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83A78"/>
    <w:multiLevelType w:val="hybridMultilevel"/>
    <w:tmpl w:val="AEF47746"/>
    <w:lvl w:ilvl="0" w:tplc="5672E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97"/>
    <w:rsid w:val="00101EE3"/>
    <w:rsid w:val="00115563"/>
    <w:rsid w:val="00131887"/>
    <w:rsid w:val="00155805"/>
    <w:rsid w:val="00174521"/>
    <w:rsid w:val="001A2DEF"/>
    <w:rsid w:val="002530CF"/>
    <w:rsid w:val="002624F6"/>
    <w:rsid w:val="00276602"/>
    <w:rsid w:val="003B3A6B"/>
    <w:rsid w:val="003D5A77"/>
    <w:rsid w:val="0042160E"/>
    <w:rsid w:val="00421800"/>
    <w:rsid w:val="00470493"/>
    <w:rsid w:val="00497497"/>
    <w:rsid w:val="004A4662"/>
    <w:rsid w:val="00511546"/>
    <w:rsid w:val="0057076F"/>
    <w:rsid w:val="005F2F4E"/>
    <w:rsid w:val="0060251E"/>
    <w:rsid w:val="00655301"/>
    <w:rsid w:val="00675B2E"/>
    <w:rsid w:val="006947A1"/>
    <w:rsid w:val="006969AE"/>
    <w:rsid w:val="006D5BB8"/>
    <w:rsid w:val="0071607A"/>
    <w:rsid w:val="007255AE"/>
    <w:rsid w:val="0075025B"/>
    <w:rsid w:val="00760111"/>
    <w:rsid w:val="0079640B"/>
    <w:rsid w:val="008437E1"/>
    <w:rsid w:val="008527B3"/>
    <w:rsid w:val="008666CD"/>
    <w:rsid w:val="008D09BF"/>
    <w:rsid w:val="008E657B"/>
    <w:rsid w:val="009D2136"/>
    <w:rsid w:val="009D4745"/>
    <w:rsid w:val="009F4CA5"/>
    <w:rsid w:val="00A04B5C"/>
    <w:rsid w:val="00AB192B"/>
    <w:rsid w:val="00B1576A"/>
    <w:rsid w:val="00B54553"/>
    <w:rsid w:val="00B712E6"/>
    <w:rsid w:val="00C13079"/>
    <w:rsid w:val="00C6341E"/>
    <w:rsid w:val="00D54C1C"/>
    <w:rsid w:val="00D60656"/>
    <w:rsid w:val="00DA1948"/>
    <w:rsid w:val="00DC16B6"/>
    <w:rsid w:val="00DD1DB4"/>
    <w:rsid w:val="00DD3EC7"/>
    <w:rsid w:val="00DD5EB5"/>
    <w:rsid w:val="00E1741B"/>
    <w:rsid w:val="00EC4ED8"/>
    <w:rsid w:val="00ED6260"/>
    <w:rsid w:val="00EF3049"/>
    <w:rsid w:val="00F05757"/>
    <w:rsid w:val="00F100DC"/>
    <w:rsid w:val="00FC5D8B"/>
    <w:rsid w:val="00FF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48456-2B0F-4DE4-9412-4F201828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97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43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6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1536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Thunder</dc:creator>
  <cp:keywords/>
  <dc:description/>
  <cp:lastModifiedBy>Thunder</cp:lastModifiedBy>
  <cp:revision>58</cp:revision>
  <dcterms:created xsi:type="dcterms:W3CDTF">2019-04-16T13:35:00Z</dcterms:created>
  <dcterms:modified xsi:type="dcterms:W3CDTF">2019-04-18T21:27:00Z</dcterms:modified>
</cp:coreProperties>
</file>