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ProofBridge</w:t>
      </w:r>
    </w:p>
    <w:p>
      <w:pPr>
        <w:pStyle w:val="Subtitle"/>
      </w:pPr>
      <w:r>
        <w:t>Academia–industry collaboration through reviewed skill evidence</w:t>
      </w:r>
    </w:p>
    <w:p>
      <w:pPr>
        <w:pStyle w:val="Subtitle"/>
      </w:pPr>
      <w:r>
        <w:t>Brainstorming • Product • Architecture • Implementation</w:t>
      </w:r>
    </w:p>
    <w:p>
      <w:r>
        <w:t>Prepared for Akshar Miyani and team</w:t>
        <w:br/>
        <w:t>IIC 3.0 MUJ final · 8 September 2026</w:t>
      </w:r>
    </w:p>
    <w:p>
      <w:pPr>
        <w:pStyle w:val="Caption"/>
      </w:pPr>
      <w:r>
        <w:t>Working concept and specification — not an implemented product</w:t>
      </w:r>
    </w:p>
    <w:p>
      <w:pPr>
        <w:pStyle w:val="Heading1"/>
      </w:pPr>
      <w:r>
        <w:t>The core idea</w:t>
      </w:r>
    </w:p>
    <w:p>
      <w:r>
        <w:t>Connect an industry requirement to student work, a human review and an informed opportunity decision. Make each skill gap understandable, and give colleges a practical view of where support is needed.</w:t>
      </w:r>
    </w:p>
    <w:p>
      <w:r>
        <w:drawing>
          <wp:inline xmlns:a="http://schemas.openxmlformats.org/drawingml/2006/main" xmlns:pic="http://schemas.openxmlformats.org/drawingml/2006/picture">
            <wp:extent cx="5943600" cy="38303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830320"/>
                    </a:xfrm>
                    <a:prstGeom prst="rect"/>
                  </pic:spPr>
                </pic:pic>
              </a:graphicData>
            </a:graphic>
          </wp:inline>
        </w:drawing>
      </w:r>
    </w:p>
    <w:p>
      <w:pPr>
        <w:pStyle w:val="Caption"/>
      </w:pPr>
      <w:r>
        <w:t>P0 uses text/link evidence and deterministic matching. AI drafting and file uploads are later extensions.</w:t>
      </w:r>
    </w:p>
    <w:p>
      <w:r>
        <w:br w:type="page"/>
      </w:r>
    </w:p>
    <w:p>
      <w:pPr>
        <w:pStyle w:val="Heading1"/>
      </w:pPr>
      <w:r>
        <w:t>ProofBridge — Documentation index</w:t>
      </w:r>
    </w:p>
    <w:p>
      <w:pPr/>
      <w:r>
        <w:t>Version 1.0 • 8 September 2026 • Proposed product and implementation specification</w:t>
      </w:r>
    </w:p>
    <w:p>
      <w:pPr/>
      <w:r>
        <w:t>Prepared for Akshar Miyani and team for the IIC 3.0 MUJ final, using the problem statement supplied by the team: “Portal for Academia-industry collaboration for skill mapping, internships and placement.” Competition classification, final deadline, presentation duration and permitted integrations should be confirmed from the team's official instructions. This pack does not claim organizer endorsement.</w:t>
      </w:r>
    </w:p>
    <w:p>
      <w:pPr>
        <w:pStyle w:val="Heading2"/>
      </w:pPr>
      <w:r>
        <w:t>The project in one paragraph</w:t>
      </w:r>
    </w:p>
    <w:p>
      <w:pPr/>
      <w:r>
        <w:t>ProofBridge connects industry requirements to evidence of student ability. Employers publish opportunities and short, clearly scoped challenges; students see what they can already demonstrate and what evidence is missing; assigned reviewers assess submissions against visible rubrics; recruiters inspect the evidence before deciding whom to interview. Colleges see aggregated gaps and can propose training in response. Internships and placements are the destination; a traceable learning-to-opportunity workflow is the product's distinguishing idea.</w:t>
      </w:r>
    </w:p>
    <w:p>
      <w:pPr>
        <w:pStyle w:val="Heading2"/>
      </w:pPr>
      <w:r>
        <w:t>Read in this order</w:t>
      </w:r>
    </w:p>
    <w:p>
      <w:pPr>
        <w:pStyle w:val="ListNumber"/>
        <w:numPr>
          <w:ilvl w:val="0"/>
          <w:numId w:val="81"/>
        </w:numPr>
      </w:pPr>
      <w:r>
        <w:t>01_BRAINSTORMING.md — problem discovery, alternatives, differentiation and experiments.</w:t>
      </w:r>
    </w:p>
    <w:p>
      <w:pPr>
        <w:pStyle w:val="ListNumber"/>
        <w:numPr>
          <w:ilvl w:val="0"/>
          <w:numId w:val="81"/>
        </w:numPr>
      </w:pPr>
      <w:r>
        <w:t>02_PROJECT_INFO.md — nontechnical project explanation and pitch.</w:t>
      </w:r>
    </w:p>
    <w:p>
      <w:pPr>
        <w:pStyle w:val="ListNumber"/>
        <w:numPr>
          <w:ilvl w:val="0"/>
          <w:numId w:val="81"/>
        </w:numPr>
      </w:pPr>
      <w:r>
        <w:t>03_PRD.md — scope, requirements, acceptance criteria and product rules.</w:t>
      </w:r>
    </w:p>
    <w:p>
      <w:pPr>
        <w:pStyle w:val="ListNumber"/>
        <w:numPr>
          <w:ilvl w:val="0"/>
          <w:numId w:val="81"/>
        </w:numPr>
      </w:pPr>
      <w:r>
        <w:t>04_ARCHITECTURE.md — boundaries, data flows, deployment and decisions.</w:t>
      </w:r>
    </w:p>
    <w:p>
      <w:pPr>
        <w:pStyle w:val="ListNumber"/>
        <w:numPr>
          <w:ilvl w:val="0"/>
          <w:numId w:val="81"/>
        </w:numPr>
      </w:pPr>
      <w:r>
        <w:t>05_TECH_STACK.md — selected technologies, alternatives and setup needs.</w:t>
      </w:r>
    </w:p>
    <w:p>
      <w:pPr>
        <w:pStyle w:val="ListNumber"/>
        <w:numPr>
          <w:ilvl w:val="0"/>
          <w:numId w:val="81"/>
        </w:numPr>
      </w:pPr>
      <w:r>
        <w:t>06_FRONTEND_DOC.md — routes, screens, components, state and interactions.</w:t>
      </w:r>
    </w:p>
    <w:p>
      <w:pPr>
        <w:pStyle w:val="ListNumber"/>
        <w:numPr>
          <w:ilvl w:val="0"/>
          <w:numId w:val="81"/>
        </w:numPr>
      </w:pPr>
      <w:r>
        <w:t>07_BACKEND_DOC.md — services, authorization, transactions and background work.</w:t>
      </w:r>
    </w:p>
    <w:p>
      <w:pPr>
        <w:pStyle w:val="ListNumber"/>
        <w:numPr>
          <w:ilvl w:val="0"/>
          <w:numId w:val="81"/>
        </w:numPr>
      </w:pPr>
      <w:r>
        <w:t>08_DATABASE_DOC.md — entities, constraints, indexes and access policy design.</w:t>
      </w:r>
    </w:p>
    <w:p>
      <w:pPr>
        <w:pStyle w:val="ListNumber"/>
        <w:numPr>
          <w:ilvl w:val="0"/>
          <w:numId w:val="81"/>
        </w:numPr>
      </w:pPr>
      <w:r>
        <w:t>09_API_DOC.md — endpoint contracts, payloads, errors and concurrency.</w:t>
      </w:r>
    </w:p>
    <w:p>
      <w:pPr>
        <w:pStyle w:val="ListNumber"/>
        <w:numPr>
          <w:ilvl w:val="0"/>
          <w:numId w:val="81"/>
        </w:numPr>
      </w:pPr>
      <w:r>
        <w:t>10_DESIGN_DOC.md — visual direction, tokens, responsive and accessible behavior.</w:t>
      </w:r>
    </w:p>
    <w:p>
      <w:pPr>
        <w:pStyle w:val="ListNumber"/>
        <w:numPr>
          <w:ilvl w:val="0"/>
          <w:numId w:val="81"/>
        </w:numPr>
      </w:pPr>
      <w:r>
        <w:t>11_SKILL_MAPPING_AND_AI.md — scoring rules, worked example and AI boundaries.</w:t>
      </w:r>
    </w:p>
    <w:p>
      <w:pPr>
        <w:pStyle w:val="ListNumber"/>
        <w:numPr>
          <w:ilvl w:val="0"/>
          <w:numId w:val="81"/>
        </w:numPr>
      </w:pPr>
      <w:r>
        <w:t>12_SECURITY_PRIVACY.md — threat model, consent and operational safeguards.</w:t>
      </w:r>
    </w:p>
    <w:p>
      <w:pPr>
        <w:pStyle w:val="ListNumber"/>
        <w:numPr>
          <w:ilvl w:val="0"/>
          <w:numId w:val="81"/>
        </w:numPr>
      </w:pPr>
      <w:r>
        <w:t>13_TESTING_AND_ACCEPTANCE.md — release gates and test scenarios.</w:t>
      </w:r>
    </w:p>
    <w:p>
      <w:pPr>
        <w:pStyle w:val="ListNumber"/>
        <w:numPr>
          <w:ilvl w:val="0"/>
          <w:numId w:val="81"/>
        </w:numPr>
      </w:pPr>
      <w:r>
        <w:t>14_ROADMAP_TEAM_AND_AGENT_GUIDE.md — phases, four-person split and AI development prompts.</w:t>
      </w:r>
    </w:p>
    <w:p>
      <w:pPr>
        <w:pStyle w:val="ListNumber"/>
        <w:numPr>
          <w:ilvl w:val="0"/>
          <w:numId w:val="81"/>
        </w:numPr>
      </w:pPr>
      <w:r>
        <w:t>15_DEMO_AND_PITCH.md — demo script, fixtures and judge questions.</w:t>
      </w:r>
    </w:p>
    <w:p>
      <w:pPr>
        <w:pStyle w:val="ListNumber"/>
        <w:numPr>
          <w:ilvl w:val="0"/>
          <w:numId w:val="81"/>
        </w:numPr>
      </w:pPr>
      <w:r>
        <w:t>16_VALIDATION_BUSINESS_AND_METRICS.md — interviews, pilot, adoption and economics.</w:t>
      </w:r>
    </w:p>
    <w:p>
      <w:pPr>
        <w:pStyle w:val="ListNumber"/>
        <w:numPr>
          <w:ilvl w:val="0"/>
          <w:numId w:val="81"/>
        </w:numPr>
      </w:pPr>
      <w:r>
        <w:t>17_RISKS_DECISIONS_AND_SOURCES.md — assumptions, decisions, risks and sources.</w:t>
      </w:r>
    </w:p>
    <w:p>
      <w:pPr/>
      <w:r>
        <w:t>The master Word document combines all chapters for reading and sharing. The Markdown documents are the editable source of truth for development with Antigravity or another coding assistant. These are design specifications, not a finished application, tested implementation, signed partner agreement or verified market study.</w:t>
      </w:r>
    </w:p>
    <w:p>
      <w:pPr>
        <w:pStyle w:val="Heading2"/>
      </w:pPr>
      <w:r>
        <w:t>Scope language</w:t>
      </w:r>
    </w:p>
    <w:p>
      <w:pPr/>
      <w:r>
        <w:t>P0 = required hackathon vertical slice. P1 = pilot feature after the core works. P2 = longer-term exploration. A seeded demo record is explicitly synthetic. A target is a proposed measure, never an achieved result. “Reviewed” means a named human assessed specified evidence; it does not mean universal certification, identity verification or guaranteed employability.</w:t>
      </w:r>
    </w:p>
    <w:p>
      <w:pPr>
        <w:pStyle w:val="Heading2"/>
      </w:pPr>
      <w:r>
        <w:t>Stable product decisions</w:t>
      </w:r>
    </w:p>
    <w:p>
      <w:pPr/>
      <w:r>
        <w:t>One Next.js application, TypeScript and Supabase Postgres/Auth/Storage. No separate Python or NestJS backend for P0. REST route handlers own business mutations; PostgreSQL functions enforce atomic sensitive transitions. Matching is deterministic and explainable. AI drafting is optional and never grants a skill or rejects an applicant. All evidence is private by default. Public portfolio sharing, automatic resume parsing, chat, payments and external job-feed integrations are outside P0.</w:t>
      </w:r>
    </w:p>
    <w:p>
      <w:pPr>
        <w:pStyle w:val="Heading2"/>
      </w:pPr>
      <w:r>
        <w:t>Build completion definition</w:t>
      </w:r>
    </w:p>
    <w:p>
      <w:pPr/>
      <w:r>
        <w:t>Complete one real loop: publish a challenge and linked internship, submit student evidence, review it, update role-specific skill coverage, apply, shortlist and record a simulated outcome. Refreshes must preserve data. Two different organizations must not see one another's private candidates. AI failure must not interrupt the loop. Save measured results and honest limitations for the presentation.</w:t>
      </w:r>
    </w:p>
    <w:p>
      <w:r>
        <w:br w:type="page"/>
      </w:r>
    </w:p>
    <w:p>
      <w:pPr>
        <w:pStyle w:val="Heading1"/>
      </w:pPr>
      <w:r>
        <w:t>Brainstorming — from a portal to a useful collaboration system</w:t>
      </w:r>
    </w:p>
    <w:p>
      <w:pPr>
        <w:pStyle w:val="Heading2"/>
      </w:pPr>
      <w:r>
        <w:t>1. Reframe the problem</w:t>
      </w:r>
    </w:p>
    <w:p>
      <w:pPr/>
      <w:r>
        <w:t>The statement names three activities: skill mapping, internships and placement. A literal implementation would have student profiles, job posts, filters and an application button. Those functions are necessary, but they do not explain why a student should be trusted, how a student becomes ready, or what a college should change after observing hiring outcomes.</w:t>
      </w:r>
    </w:p>
    <w:p>
      <w:pPr/>
      <w:r>
        <w:t>The deeper question is: how can a college, a student and an employer agree on what a student can do, using understandable evidence, and then turn that agreement into an opportunity? Our working hypothesis is that disconnected evidence and slow feedback matter as much as opportunity discovery. This hypothesis requires interviews; it is not established by the problem statement alone.</w:t>
      </w:r>
    </w:p>
    <w:p>
      <w:pPr>
        <w:pStyle w:val="Heading2"/>
      </w:pPr>
      <w:r>
        <w:t>2. Stakeholder problems and incentives</w:t>
      </w:r>
    </w:p>
    <w:p>
      <w:pPr/>
      <w:r>
        <w:t>Students may know course names but struggle to explain workplace ability. A first project may be valuable yet poorly presented. An application rejection often gives no useful next action. Students need small achievable steps, visible expectations and a chance to show improvement without paying for access.</w:t>
      </w:r>
    </w:p>
    <w:p>
      <w:pPr/>
      <w:r>
        <w:t>Recruiters need to narrow a large pool without treating every keyword as equally credible. Smaller employers may not have assessment designers or campus relationships. They need reusable challenge templates, a manageable review queue and concise evidence summaries. The platform fails if reviewing takes longer than their current process.</w:t>
      </w:r>
    </w:p>
    <w:p>
      <w:pPr/>
      <w:r>
        <w:t>Faculty need a practical connection between learning outcomes and industry requests. A department cannot redesign a course every time a company lists a fashionable tool. Faculty need aggregated, contextual signals, examples of weak performance and room to decide which gaps deserve intervention.</w:t>
      </w:r>
    </w:p>
    <w:p>
      <w:pPr/>
      <w:r>
        <w:t>Placement teams need an accurate pipeline, clear eligibility rules and reliable outcome reporting. Their incentive is an organized process and better student support, not another dashboard that duplicates spreadsheets. Company and student approvals must be lightweight enough to maintain.</w:t>
      </w:r>
    </w:p>
    <w:p>
      <w:pPr>
        <w:pStyle w:val="Heading2"/>
      </w:pPr>
      <w:r>
        <w:t>3. Jobs to be done</w:t>
      </w:r>
    </w:p>
    <w:p>
      <w:pPr/>
      <w:r>
        <w:t>When I see an internship I want, show me what I can demonstrate, what is missing and the smallest useful action I can take. When I screen applicants, let me inspect comparable evidence and the reasoning behind a match. When I plan a workshop, show me whether a gap appears across a meaningful group rather than in one isolated rejection. When I collaborate with a college, help me describe a concrete task and receive usable student work without a lengthy partnership setup.</w:t>
      </w:r>
    </w:p>
    <w:p>
      <w:pPr>
        <w:pStyle w:val="Heading2"/>
      </w:pPr>
      <w:r>
        <w:t>4. Root-cause hypotheses</w:t>
      </w:r>
    </w:p>
    <w:p>
      <w:pPr/>
      <w:r>
        <w:t>H1: Skill labels are inconsistent. “Database,” “SQL” and “PostgreSQL” can mean different levels of ability. Test with five real role descriptions and two faculty members; record disagreements before designing the taxonomy.</w:t>
      </w:r>
    </w:p>
    <w:p>
      <w:pPr/>
      <w:r>
        <w:t>H2: Self-reported skills do not give enough evidence for shortlisting. Ask recruiters to compare a normal profile and a profile with reviewed artifacts, measuring time and the reasons for their decision.</w:t>
      </w:r>
    </w:p>
    <w:p>
      <w:pPr/>
      <w:r>
        <w:t>H3: Students act more often when a gap has one specific task attached. Compare “improve SQL” with a two-hour data task and a published rubric.</w:t>
      </w:r>
    </w:p>
    <w:p>
      <w:pPr/>
      <w:r>
        <w:t>H4: Colleges will use aggregated gaps to plan training if the sample and underlying opportunities are visible. Test whether a placement officer can choose one intervention from a prototype report.</w:t>
      </w:r>
    </w:p>
    <w:p>
      <w:pPr/>
      <w:r>
        <w:t>H5: A short challenge is acceptable only when it is bounded, relevant and not disguised unpaid production work. Ask students and employers separately about time, ownership and expected feedback.</w:t>
      </w:r>
    </w:p>
    <w:p>
      <w:pPr>
        <w:pStyle w:val="Heading2"/>
      </w:pPr>
      <w:r>
        <w:t>5. Existing landscape and honest positioning</w:t>
      </w:r>
    </w:p>
    <w:p>
      <w:pPr/>
      <w:r>
        <w:t>Handshake offers early-career opportunities and employer connections. Forage offers work-like job simulations. AICTE operates an internship portal in India. These public descriptions establish that opportunity discovery and simulation-based learning already exist; they do not prove any competitor lacks our proposed features. [S1–S3]</w:t>
      </w:r>
    </w:p>
    <w:p>
      <w:pPr/>
      <w:r>
        <w:t>Our positioning hypothesis is a local academia–industry workflow connecting role requirements, reviewed work, explainable gaps and faculty action. We should demonstrate that connection and its usefulness instead of claiming a new category or “the first AI placement platform.” A later competitor study should inspect actual workflows and customer interviews, not only landing pages.</w:t>
      </w:r>
    </w:p>
    <w:p>
      <w:pPr>
        <w:pStyle w:val="Heading2"/>
      </w:pPr>
      <w:r>
        <w:t>6. Concept alternatives</w:t>
      </w:r>
    </w:p>
    <w:p>
      <w:pPr/>
      <w:r>
        <w:t>Scores below are team design judgments on a 1–5 scale, not research findings. Higher is better; build feasibility means easier to implement reliably.</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1872"/>
        <w:gridCol w:w="1872"/>
        <w:gridCol w:w="1872"/>
        <w:gridCol w:w="1872"/>
        <w:gridCol w:w="1872"/>
      </w:tblGrid>
      <w:tr>
        <w:trPr>
          <w:cantSplit/>
          <w:tblHeader/>
        </w:trPr>
        <w:tc>
          <w:tcPr>
            <w:tcW w:type="dxa" w:w="1872"/>
            <w:shd w:fill="E8EEF5"/>
          </w:tcPr>
          <w:p>
            <w:pPr>
              <w:pStyle w:val="TableText"/>
            </w:pPr>
            <w:r>
              <w:rPr>
                <w:b/>
              </w:rPr>
              <w:t>Concept</w:t>
            </w:r>
          </w:p>
        </w:tc>
        <w:tc>
          <w:tcPr>
            <w:tcW w:type="dxa" w:w="1872"/>
            <w:shd w:fill="E8EEF5"/>
          </w:tcPr>
          <w:p>
            <w:pPr>
              <w:pStyle w:val="TableText"/>
            </w:pPr>
            <w:r>
              <w:rPr>
                <w:b/>
              </w:rPr>
              <w:t>User value</w:t>
            </w:r>
          </w:p>
        </w:tc>
        <w:tc>
          <w:tcPr>
            <w:tcW w:type="dxa" w:w="1872"/>
            <w:shd w:fill="E8EEF5"/>
          </w:tcPr>
          <w:p>
            <w:pPr>
              <w:pStyle w:val="TableText"/>
            </w:pPr>
            <w:r>
              <w:rPr>
                <w:b/>
              </w:rPr>
              <w:t>Distinction</w:t>
            </w:r>
          </w:p>
        </w:tc>
        <w:tc>
          <w:tcPr>
            <w:tcW w:type="dxa" w:w="1872"/>
            <w:shd w:fill="E8EEF5"/>
          </w:tcPr>
          <w:p>
            <w:pPr>
              <w:pStyle w:val="TableText"/>
            </w:pPr>
            <w:r>
              <w:rPr>
                <w:b/>
              </w:rPr>
              <w:t>Build feasibility</w:t>
            </w:r>
          </w:p>
        </w:tc>
        <w:tc>
          <w:tcPr>
            <w:tcW w:type="dxa" w:w="1872"/>
            <w:shd w:fill="E8EEF5"/>
          </w:tcPr>
          <w:p>
            <w:pPr>
              <w:pStyle w:val="TableText"/>
            </w:pPr>
            <w:r>
              <w:rPr>
                <w:b/>
              </w:rPr>
              <w:t>Demo clarity</w:t>
            </w:r>
          </w:p>
        </w:tc>
      </w:tr>
      <w:tr>
        <w:trPr>
          <w:cantSplit/>
        </w:trPr>
        <w:tc>
          <w:tcPr>
            <w:tcW w:type="dxa" w:w="1872"/>
          </w:tcPr>
          <w:p>
            <w:pPr>
              <w:pStyle w:val="TableText"/>
            </w:pPr>
            <w:r>
              <w:t>AI resume matcher</w:t>
            </w:r>
          </w:p>
        </w:tc>
        <w:tc>
          <w:tcPr>
            <w:tcW w:type="dxa" w:w="1872"/>
          </w:tcPr>
          <w:p>
            <w:pPr>
              <w:pStyle w:val="TableText"/>
            </w:pPr>
            <w:r>
              <w:t>3</w:t>
            </w:r>
          </w:p>
        </w:tc>
        <w:tc>
          <w:tcPr>
            <w:tcW w:type="dxa" w:w="1872"/>
          </w:tcPr>
          <w:p>
            <w:pPr>
              <w:pStyle w:val="TableText"/>
            </w:pPr>
            <w:r>
              <w:t>2</w:t>
            </w:r>
          </w:p>
        </w:tc>
        <w:tc>
          <w:tcPr>
            <w:tcW w:type="dxa" w:w="1872"/>
          </w:tcPr>
          <w:p>
            <w:pPr>
              <w:pStyle w:val="TableText"/>
            </w:pPr>
            <w:r>
              <w:t>4</w:t>
            </w:r>
          </w:p>
        </w:tc>
        <w:tc>
          <w:tcPr>
            <w:tcW w:type="dxa" w:w="1872"/>
          </w:tcPr>
          <w:p>
            <w:pPr>
              <w:pStyle w:val="TableText"/>
            </w:pPr>
            <w:r>
              <w:t>3</w:t>
            </w:r>
          </w:p>
        </w:tc>
      </w:tr>
      <w:tr>
        <w:trPr>
          <w:cantSplit/>
        </w:trPr>
        <w:tc>
          <w:tcPr>
            <w:tcW w:type="dxa" w:w="1872"/>
          </w:tcPr>
          <w:p>
            <w:pPr>
              <w:pStyle w:val="TableText"/>
            </w:pPr>
            <w:r>
              <w:t>Student social network</w:t>
            </w:r>
          </w:p>
        </w:tc>
        <w:tc>
          <w:tcPr>
            <w:tcW w:type="dxa" w:w="1872"/>
          </w:tcPr>
          <w:p>
            <w:pPr>
              <w:pStyle w:val="TableText"/>
            </w:pPr>
            <w:r>
              <w:t>2</w:t>
            </w:r>
          </w:p>
        </w:tc>
        <w:tc>
          <w:tcPr>
            <w:tcW w:type="dxa" w:w="1872"/>
          </w:tcPr>
          <w:p>
            <w:pPr>
              <w:pStyle w:val="TableText"/>
            </w:pPr>
            <w:r>
              <w:t>2</w:t>
            </w:r>
          </w:p>
        </w:tc>
        <w:tc>
          <w:tcPr>
            <w:tcW w:type="dxa" w:w="1872"/>
          </w:tcPr>
          <w:p>
            <w:pPr>
              <w:pStyle w:val="TableText"/>
            </w:pPr>
            <w:r>
              <w:t>2</w:t>
            </w:r>
          </w:p>
        </w:tc>
        <w:tc>
          <w:tcPr>
            <w:tcW w:type="dxa" w:w="1872"/>
          </w:tcPr>
          <w:p>
            <w:pPr>
              <w:pStyle w:val="TableText"/>
            </w:pPr>
            <w:r>
              <w:t>2</w:t>
            </w:r>
          </w:p>
        </w:tc>
      </w:tr>
      <w:tr>
        <w:trPr>
          <w:cantSplit/>
        </w:trPr>
        <w:tc>
          <w:tcPr>
            <w:tcW w:type="dxa" w:w="1872"/>
          </w:tcPr>
          <w:p>
            <w:pPr>
              <w:pStyle w:val="TableText"/>
            </w:pPr>
            <w:r>
              <w:t>Immersive virtual campus hiring fair</w:t>
            </w:r>
          </w:p>
        </w:tc>
        <w:tc>
          <w:tcPr>
            <w:tcW w:type="dxa" w:w="1872"/>
          </w:tcPr>
          <w:p>
            <w:pPr>
              <w:pStyle w:val="TableText"/>
            </w:pPr>
            <w:r>
              <w:t>2</w:t>
            </w:r>
          </w:p>
        </w:tc>
        <w:tc>
          <w:tcPr>
            <w:tcW w:type="dxa" w:w="1872"/>
          </w:tcPr>
          <w:p>
            <w:pPr>
              <w:pStyle w:val="TableText"/>
            </w:pPr>
            <w:r>
              <w:t>3</w:t>
            </w:r>
          </w:p>
        </w:tc>
        <w:tc>
          <w:tcPr>
            <w:tcW w:type="dxa" w:w="1872"/>
          </w:tcPr>
          <w:p>
            <w:pPr>
              <w:pStyle w:val="TableText"/>
            </w:pPr>
            <w:r>
              <w:t>1</w:t>
            </w:r>
          </w:p>
        </w:tc>
        <w:tc>
          <w:tcPr>
            <w:tcW w:type="dxa" w:w="1872"/>
          </w:tcPr>
          <w:p>
            <w:pPr>
              <w:pStyle w:val="TableText"/>
            </w:pPr>
            <w:r>
              <w:t>4</w:t>
            </w:r>
          </w:p>
        </w:tc>
      </w:tr>
      <w:tr>
        <w:trPr>
          <w:cantSplit/>
        </w:trPr>
        <w:tc>
          <w:tcPr>
            <w:tcW w:type="dxa" w:w="1872"/>
          </w:tcPr>
          <w:p>
            <w:pPr>
              <w:pStyle w:val="TableText"/>
            </w:pPr>
            <w:r>
              <w:t>Industry challenge marketplace</w:t>
            </w:r>
          </w:p>
        </w:tc>
        <w:tc>
          <w:tcPr>
            <w:tcW w:type="dxa" w:w="1872"/>
          </w:tcPr>
          <w:p>
            <w:pPr>
              <w:pStyle w:val="TableText"/>
            </w:pPr>
            <w:r>
              <w:t>4</w:t>
            </w:r>
          </w:p>
        </w:tc>
        <w:tc>
          <w:tcPr>
            <w:tcW w:type="dxa" w:w="1872"/>
          </w:tcPr>
          <w:p>
            <w:pPr>
              <w:pStyle w:val="TableText"/>
            </w:pPr>
            <w:r>
              <w:t>4</w:t>
            </w:r>
          </w:p>
        </w:tc>
        <w:tc>
          <w:tcPr>
            <w:tcW w:type="dxa" w:w="1872"/>
          </w:tcPr>
          <w:p>
            <w:pPr>
              <w:pStyle w:val="TableText"/>
            </w:pPr>
            <w:r>
              <w:t>3</w:t>
            </w:r>
          </w:p>
        </w:tc>
        <w:tc>
          <w:tcPr>
            <w:tcW w:type="dxa" w:w="1872"/>
          </w:tcPr>
          <w:p>
            <w:pPr>
              <w:pStyle w:val="TableText"/>
            </w:pPr>
            <w:r>
              <w:t>4</w:t>
            </w:r>
          </w:p>
        </w:tc>
      </w:tr>
      <w:tr>
        <w:trPr>
          <w:cantSplit/>
        </w:trPr>
        <w:tc>
          <w:tcPr>
            <w:tcW w:type="dxa" w:w="1872"/>
          </w:tcPr>
          <w:p>
            <w:pPr>
              <w:pStyle w:val="TableText"/>
            </w:pPr>
            <w:r>
              <w:t>Evidence-to-opportunity collaboration loop</w:t>
            </w:r>
          </w:p>
        </w:tc>
        <w:tc>
          <w:tcPr>
            <w:tcW w:type="dxa" w:w="1872"/>
          </w:tcPr>
          <w:p>
            <w:pPr>
              <w:pStyle w:val="TableText"/>
            </w:pPr>
            <w:r>
              <w:t>5</w:t>
            </w:r>
          </w:p>
        </w:tc>
        <w:tc>
          <w:tcPr>
            <w:tcW w:type="dxa" w:w="1872"/>
          </w:tcPr>
          <w:p>
            <w:pPr>
              <w:pStyle w:val="TableText"/>
            </w:pPr>
            <w:r>
              <w:t>4</w:t>
            </w:r>
          </w:p>
        </w:tc>
        <w:tc>
          <w:tcPr>
            <w:tcW w:type="dxa" w:w="1872"/>
          </w:tcPr>
          <w:p>
            <w:pPr>
              <w:pStyle w:val="TableText"/>
            </w:pPr>
            <w:r>
              <w:t>4</w:t>
            </w:r>
          </w:p>
        </w:tc>
        <w:tc>
          <w:tcPr>
            <w:tcW w:type="dxa" w:w="1872"/>
          </w:tcPr>
          <w:p>
            <w:pPr>
              <w:pStyle w:val="TableText"/>
            </w:pPr>
            <w:r>
              <w:t>5</w:t>
            </w:r>
          </w:p>
        </w:tc>
      </w:tr>
      <w:tr>
        <w:trPr>
          <w:cantSplit/>
        </w:trPr>
        <w:tc>
          <w:tcPr>
            <w:tcW w:type="dxa" w:w="1872"/>
          </w:tcPr>
          <w:p>
            <w:pPr>
              <w:pStyle w:val="TableText"/>
            </w:pPr>
            <w:r>
              <w:t>University-wide curriculum intelligence</w:t>
            </w:r>
          </w:p>
        </w:tc>
        <w:tc>
          <w:tcPr>
            <w:tcW w:type="dxa" w:w="1872"/>
          </w:tcPr>
          <w:p>
            <w:pPr>
              <w:pStyle w:val="TableText"/>
            </w:pPr>
            <w:r>
              <w:t>4</w:t>
            </w:r>
          </w:p>
        </w:tc>
        <w:tc>
          <w:tcPr>
            <w:tcW w:type="dxa" w:w="1872"/>
          </w:tcPr>
          <w:p>
            <w:pPr>
              <w:pStyle w:val="TableText"/>
            </w:pPr>
            <w:r>
              <w:t>4</w:t>
            </w:r>
          </w:p>
        </w:tc>
        <w:tc>
          <w:tcPr>
            <w:tcW w:type="dxa" w:w="1872"/>
          </w:tcPr>
          <w:p>
            <w:pPr>
              <w:pStyle w:val="TableText"/>
            </w:pPr>
            <w:r>
              <w:t>2</w:t>
            </w:r>
          </w:p>
        </w:tc>
        <w:tc>
          <w:tcPr>
            <w:tcW w:type="dxa" w:w="1872"/>
          </w:tcPr>
          <w:p>
            <w:pPr>
              <w:pStyle w:val="TableText"/>
            </w:pPr>
            <w:r>
              <w:t>3</w:t>
            </w:r>
          </w:p>
        </w:tc>
      </w:tr>
    </w:tbl>
    <w:p>
      <w:pPr>
        <w:pStyle w:val="TableSource"/>
      </w:pPr>
    </w:p>
    <w:p>
      <w:pPr/>
      <w:r>
        <w:t>Select the evidence-to-opportunity loop. Incorporate a narrow challenge marketplace and a basic cohort-gap view. Defer a general social network, immersive environment and university-wide forecasting.</w:t>
      </w:r>
    </w:p>
    <w:p>
      <w:pPr>
        <w:pStyle w:val="Heading2"/>
      </w:pPr>
      <w:r>
        <w:t>7. Signature features</w:t>
      </w:r>
    </w:p>
    <w:p>
      <w:pPr>
        <w:pStyle w:val="Heading3"/>
      </w:pPr>
      <w:r>
        <w:t>Evidence Passport — P0</w:t>
      </w:r>
    </w:p>
    <w:p>
      <w:pPr/>
      <w:r>
        <w:t>A student profile lists skills with supporting artifacts, reviewer identity, rubric, review date and evidence status. Self-declared skills remain visible with a different label. A recruiter can answer “what did the student actually do?” in one click. Avoid treating a uploaded certificate, GitHub link or AI-generated summary as verification by itself.</w:t>
      </w:r>
    </w:p>
    <w:p>
      <w:pPr>
        <w:pStyle w:val="Heading3"/>
      </w:pPr>
      <w:r>
        <w:t>Gap-to-Challenge — P0</w:t>
      </w:r>
    </w:p>
    <w:p>
      <w:pPr/>
      <w:r>
        <w:t>An opportunity shows coverage by required skill. Each unmet skill links to an available challenge or an honest “no matching challenge yet” state. Finishing a challenge alone does not increase a score; a published human review does. This creates a meaningful reason to return.</w:t>
      </w:r>
    </w:p>
    <w:p>
      <w:pPr>
        <w:pStyle w:val="Heading3"/>
      </w:pPr>
      <w:r>
        <w:t>Review-to-Match — P0</w:t>
      </w:r>
    </w:p>
    <w:p>
      <w:pPr/>
      <w:r>
        <w:t>After a reviewer publishes an assessment, the role match updates using a versioned rule. The UI identifies which skill changed and lets the student inspect the evidence. The score supports exploration; a recruiter retains the hiring decision.</w:t>
      </w:r>
    </w:p>
    <w:p>
      <w:pPr>
        <w:pStyle w:val="Heading3"/>
      </w:pPr>
      <w:r>
        <w:t>Faculty Gap Lens — P0 basic, P1 interventions</w:t>
      </w:r>
    </w:p>
    <w:p>
      <w:pPr/>
      <w:r>
        <w:t>The college sees which role requirements are not yet supported by evidence across participating students. Show denominator, date window and employer sample. A later intervention record links a workshop or assignment to a gap and compares reviewed evidence before and after. A small demo cohort is labeled synthetic and cannot justify claims about a real university.</w:t>
      </w:r>
    </w:p>
    <w:p>
      <w:pPr>
        <w:pStyle w:val="Heading3"/>
      </w:pPr>
      <w:r>
        <w:t>Blind First Look — P1</w:t>
      </w:r>
    </w:p>
    <w:p>
      <w:pPr/>
      <w:r>
        <w:t>An optional applicant view initially minimizes name, photograph and college branding while retaining task evidence. This can reduce certain cues, but it does not eliminate bias: writing, repositories and artifacts may reveal identity. Evaluate with recruiters before adopting it.</w:t>
      </w:r>
    </w:p>
    <w:p>
      <w:pPr>
        <w:pStyle w:val="Heading3"/>
      </w:pPr>
      <w:r>
        <w:t>Industry Problem Studio — P1</w:t>
      </w:r>
    </w:p>
    <w:p>
      <w:pPr/>
      <w:r>
        <w:t>An employer describes a task in ordinary language; a template suggests deliverables, expected effort and a rubric. Faculty can propose a curriculum-aligned version. Publishing always requires a human check for feasibility, confidential data and unfair unpaid work.</w:t>
      </w:r>
    </w:p>
    <w:p>
      <w:pPr>
        <w:pStyle w:val="Heading3"/>
      </w:pPr>
      <w:r>
        <w:t>Opportunity Simulator — P1</w:t>
      </w:r>
    </w:p>
    <w:p>
      <w:pPr/>
      <w:r>
        <w:t>Students can explore “if I demonstrate SQL at level 3, which gaps shrink?” Simulated scores are visibly hypothetical and never saved as actual attainment. Do not imply a predicted chance of selection.</w:t>
      </w:r>
    </w:p>
    <w:p>
      <w:pPr>
        <w:pStyle w:val="Heading3"/>
      </w:pPr>
      <w:r>
        <w:t>Team Skill Coverage — P2</w:t>
      </w:r>
    </w:p>
    <w:p>
      <w:pPr/>
      <w:r>
        <w:t>Suggest teams with complementary skills for longer industry projects, respecting availability and student consent. It requires contribution attribution and dispute handling, so it is unsuitable for the initial build.</w:t>
      </w:r>
    </w:p>
    <w:p>
      <w:pPr>
        <w:pStyle w:val="Heading2"/>
      </w:pPr>
      <w:r>
        <w:t>8. The memorable demo moment</w:t>
      </w:r>
    </w:p>
    <w:p>
      <w:pPr/>
      <w:r>
        <w:t>A student has 61% reviewed coverage for a sample internship. The gap view explains that SQL is not yet demonstrated. The student submits a scoped SQL task; a reviewer awards level 3. Coverage rises to 96%, with the same formula shown before and after. The recruiter opens the actual review and shortlists the student. The college sees one fewer participant with an SQL gap in the selected cohort. This is a synthetic illustration, not proof that 96% coverage produces a job.</w:t>
      </w:r>
    </w:p>
    <w:p>
      <w:pPr>
        <w:pStyle w:val="Heading2"/>
      </w:pPr>
      <w:r>
        <w:t>9. What would make it boring</w:t>
      </w:r>
    </w:p>
    <w:p>
      <w:pPr/>
      <w:r>
        <w:t>A giant dashboard of invented numbers, a chatbot as the main experience, certificates issued without assessment, a mysterious “employability score,” dozens of empty menu items, and animations covering an incomplete workflow. Prevent this by spending effort on evidence inspection, credible state changes, useful feedback and consistent permissions.</w:t>
      </w:r>
    </w:p>
    <w:p>
      <w:pPr>
        <w:pStyle w:val="Heading2"/>
      </w:pPr>
      <w:r>
        <w:t>10. Open innovation in practice</w:t>
      </w:r>
    </w:p>
    <w:p>
      <w:pPr/>
      <w:r>
        <w:t>Let employers and faculty co-create challenge templates. Allow departments to contribute skill aliases and rubric improvements through a moderated process. Export a student's own evidence records in a portable format. Publish non-sensitive template examples after permission. Open collaboration does not require exposing student records or proprietary company data.</w:t>
      </w:r>
    </w:p>
    <w:p>
      <w:pPr>
        <w:pStyle w:val="Heading2"/>
      </w:pPr>
      <w:r>
        <w:t>11. Boundary cases worth designing early</w:t>
      </w:r>
    </w:p>
    <w:p>
      <w:pPr/>
      <w:r>
        <w:t>A beginner with no evidence should receive an achievable first challenge, not a low-worth label. A student who uses AI should disclose their contribution and explain decisions; permit AI where the challenge rules allow it. A failed assessment should include feedback and an appeal path. A company requesting a complete production feature for free should fail moderation. A student without GitHub should be able to provide a document or text explanation. A faculty member reviewing their own preferred students should declare conflicts and be subject to moderation.</w:t>
      </w:r>
    </w:p>
    <w:p>
      <w:pPr>
        <w:pStyle w:val="Heading2"/>
      </w:pPr>
      <w:r>
        <w:t>12. Validation sequence</w:t>
      </w:r>
    </w:p>
    <w:p>
      <w:pPr/>
      <w:r>
        <w:t>First, conduct five student, three employer and two faculty/placement interviews. Then test paper or clickable screens with one task per role. Next, run a manually coordinated challenge with a small consenting group. Only then evaluate whether automated matching and dashboards save effort. Suggested stop conditions: recruiters cannot agree on the rubric, review effort exceeds their willingness, or students see no improvement in actionable feedback. In those cases simplify the workflow before adding AI.</w:t>
      </w:r>
    </w:p>
    <w:p>
      <w:pPr>
        <w:pStyle w:val="Heading2"/>
      </w:pPr>
      <w:r>
        <w:t>13. Naming and narrative</w:t>
      </w:r>
    </w:p>
    <w:p>
      <w:pPr/>
      <w:r>
        <w:t>ProofBridge is a working name, not a checked trademark or registered domain. Tagline: “Show your skills. Find your next opportunity.” Technical pitch: “An evidence-based collaboration portal linking student work, industry requirements and college action.” The judge should remember the evidence loop, not a complicated acronym.</w:t>
      </w:r>
    </w:p>
    <w:p>
      <w:r>
        <w:br w:type="page"/>
      </w:r>
    </w:p>
    <w:p>
      <w:pPr>
        <w:pStyle w:val="Heading1"/>
      </w:pPr>
      <w:r>
        <w:t>Project information</w:t>
      </w:r>
    </w:p>
    <w:p>
      <w:pPr>
        <w:pStyle w:val="Heading2"/>
      </w:pPr>
      <w:r>
        <w:t>Overview</w:t>
      </w:r>
    </w:p>
    <w:p>
      <w:pPr>
        <w:pStyle w:val="CompactBody"/>
      </w:pPr>
      <w:r>
        <w:t>ProofBridge is a proposed academia–industry collaboration portal for skill mapping, internships and placements. It helps students demonstrate ability, employers review relevant work and colleges respond to gaps in practical preparation. It is designed first as a focused hackathon prototype and subsequently as a small institutional pilot.</w:t>
      </w:r>
    </w:p>
    <w:p>
      <w:pPr>
        <w:pStyle w:val="CompactBody"/>
      </w:pPr>
      <w:r>
        <w:t>The official problem statement is reproduced from the team: “Portal for Academia-industry collaboration for skill mapping, internships and placement.” The team reports selection for the IIC 3.0 MUJ final under Open Innovation with an EdTech problem statement. This document does not independently verify event rules or deadlines.</w:t>
      </w:r>
    </w:p>
    <w:p>
      <w:pPr>
        <w:pStyle w:val="Heading2"/>
      </w:pPr>
      <w:r>
        <w:t>Problem statement for the presentation</w:t>
      </w:r>
    </w:p>
    <w:p>
      <w:pPr>
        <w:pStyle w:val="CompactBody"/>
      </w:pPr>
      <w:r>
        <w:t>Students, colleges and employers often work with disconnected information: course results, resumes, projects, internship listings and placement spreadsheets. A skill listed on a resume does not show how it was demonstrated. A job requirement does not always tell a student how to improve. A college may see final placement counts without seeing the practical skill gaps behind them. ProofBridge proposes a shared workflow that links requirements to reviewed evidence and subsequent opportunities.</w:t>
      </w:r>
    </w:p>
    <w:p>
      <w:pPr>
        <w:pStyle w:val="Heading2"/>
      </w:pPr>
      <w:r>
        <w:t>Proposed solution</w:t>
      </w:r>
    </w:p>
    <w:p>
      <w:pPr>
        <w:pStyle w:val="CompactBody"/>
      </w:pPr>
      <w:r>
        <w:t>An employer publishes a role with explicit skills and proficiency requirements. A student sees their reviewed evidence against those requirements and can choose a relevant challenge. A human reviewer assesses the work using a visible rubric. The student's evidence passport and role-specific coverage then update. Recruiters can inspect evidence during shortlisting, while a college sees aggregate gaps and pipeline progress for its participating students.</w:t>
      </w:r>
    </w:p>
    <w:p>
      <w:pPr>
        <w:pStyle w:val="Heading2"/>
      </w:pPr>
      <w:r>
        <w:t>Users and benefits</w:t>
      </w:r>
    </w:p>
    <w:p>
      <w:pPr>
        <w:pStyle w:val="CompactBody"/>
      </w:pPr>
      <w:r>
        <w:t>Students receive a clearer path from learning to applications, feedback on actual work and control over evidence sharing. Employers receive structured evidence and a repeatable review process. Faculty receive examples of practical strengths and gaps. Placement teams receive organized applications and outcome records. Platform administrators handle organization approval, moderation and exceptional access.</w:t>
      </w:r>
    </w:p>
    <w:p>
      <w:pPr>
        <w:pStyle w:val="Heading2"/>
      </w:pPr>
      <w:r>
        <w:t>Example journey</w:t>
      </w:r>
    </w:p>
    <w:p>
      <w:pPr>
        <w:pStyle w:val="CompactBody"/>
      </w:pPr>
      <w:r>
        <w:t>Meera, a fictional MCA student, is interested in an analyst internship. Her spreadsheet and communication evidence meet most requirements, but she has no reviewed SQL evidence. She completes a two-hour synthetic-data challenge. The reviewer records SQL level 3 with explanations. Meera sees her updated coverage and applies. The employer reviews the artifact and decides whether to invite her. The institution sees an aggregate reduction in the selected cohort's SQL evidence gap.</w:t>
      </w:r>
    </w:p>
    <w:p>
      <w:pPr>
        <w:pStyle w:val="Heading2"/>
      </w:pPr>
      <w:r>
        <w:t>Why it is worth building</w:t>
      </w:r>
    </w:p>
    <w:p>
      <w:pPr>
        <w:pStyle w:val="CompactBody"/>
      </w:pPr>
      <w:r>
        <w:t>The project makes collaboration visible in the actual product: industry supplies requirements, students supply work, reviewers supply feedback and colleges supply learning support. It can be demonstrated without claiming access to proprietary hiring data or a large external job network. Its value is a testable workflow improvement, not an assertion that an AI model can determine a person's career.</w:t>
      </w:r>
    </w:p>
    <w:p>
      <w:pPr>
        <w:pStyle w:val="Heading2"/>
      </w:pPr>
      <w:r>
        <w:t>What the prototype includes</w:t>
      </w:r>
    </w:p>
    <w:p>
      <w:pPr>
        <w:pStyle w:val="CompactBody"/>
      </w:pPr>
      <w:r>
        <w:t>Four role-oriented workspaces; approved organizations; a small skill catalog; opportunities and associated challenges; evidence submission; human rubric review; an evidence passport; deterministic gap mapping; application status tracking; basic cohort analytics; and an audit trail. In-app notifications and one simple internship outcome record are included when the core flow is stable.</w:t>
      </w:r>
    </w:p>
    <w:p>
      <w:pPr>
        <w:pStyle w:val="Heading2"/>
      </w:pPr>
      <w:r>
        <w:t>What the prototype does not claim</w:t>
      </w:r>
    </w:p>
    <w:p>
      <w:pPr>
        <w:pStyle w:val="CompactBody"/>
      </w:pPr>
      <w:r>
        <w:t>It is not a job guarantee, a replacement for interviews, an accredited credential issuer or an automatic university curriculum designer. Synthetic employer records are not partnerships. A job simulation is not employment. Industry-supplied tasks require permission and appropriate scope. External internship portals are research context, not connected feeds in the prototype.</w:t>
      </w:r>
    </w:p>
    <w:p>
      <w:pPr>
        <w:pStyle w:val="Heading2"/>
      </w:pPr>
      <w:r>
        <w:t>Outcomes and measurement</w:t>
      </w:r>
    </w:p>
    <w:p>
      <w:pPr>
        <w:pStyle w:val="CompactBody"/>
      </w:pPr>
      <w:r>
        <w:t>Measure how many students complete reviewed evidence, how long reviews take, whether recruiters can explain a shortlist decision, how many applications reach interviews and whether college staff use the gap view. Compare with a small baseline workflow before claiming improvement. Record candidate experience and review fairness alongside conversion rates.</w:t>
      </w:r>
    </w:p>
    <w:p>
      <w:pPr>
        <w:pStyle w:val="Heading2"/>
      </w:pPr>
      <w:r>
        <w:t>Pilot and sustainability</w:t>
      </w:r>
    </w:p>
    <w:p>
      <w:pPr>
        <w:pStyle w:val="CompactBody"/>
      </w:pPr>
      <w:r>
        <w:t>Start with one department, a few participating employers and a bounded challenge set. Keep student access free. Test institutional willingness to pay for workflow coordination and reporting; consider employer-sponsored assessment programs later. Pricing, market size and placement uplift remain unvalidated. Expand only after review capacity, consent and data isolation work reliably.</w:t>
      </w:r>
    </w:p>
    <w:p>
      <w:pPr>
        <w:pStyle w:val="Heading2"/>
      </w:pPr>
      <w:r>
        <w:t>Short pitch</w:t>
      </w:r>
    </w:p>
    <w:p>
      <w:pPr>
        <w:pStyle w:val="CompactBody"/>
      </w:pPr>
      <w:r>
        <w:t>“ProofBridge turns industry requirements into a practical path for students. Instead of stopping at a skill list, students submit work, receive a structured human review and see how that evidence fits an internship. Employers can inspect the proof, and colleges can see where support is needed. Our prototype demonstrates the full journey from a missing skill to a reviewed submission and an informed shortlist.”</w:t>
      </w:r>
    </w:p>
    <w:p>
      <w:r>
        <w:br w:type="page"/>
      </w:r>
    </w:p>
    <w:p>
      <w:pPr>
        <w:pStyle w:val="Heading1"/>
      </w:pPr>
      <w:r>
        <w:t>Product requirements document</w:t>
      </w:r>
    </w:p>
    <w:p>
      <w:pPr>
        <w:pStyle w:val="Heading2"/>
      </w:pPr>
      <w:r>
        <w:t>1. Product objective and assumptions</w:t>
      </w:r>
    </w:p>
    <w:p>
      <w:pPr/>
      <w:r>
        <w:t>Deliver a complete, persistent workflow from industry requirement to reviewed student evidence and a human hiring decision. The initial audience is a single department and a small invited employer group. A four-person student team is assumed for planning; exact available hours and final event timing are not known. P0 must work with manually entered data and without an LLM or external job integration.</w:t>
      </w:r>
    </w:p>
    <w:p>
      <w:pPr/>
      <w:r>
        <w:t>Product success means users understand what the evidence says and can take the next action. It does not mean maximizing an opaque score or collecting the most personal data. This specification is proposed version 1.0, with no implementation completion implied.</w:t>
      </w:r>
    </w:p>
    <w:p>
      <w:pPr>
        <w:pStyle w:val="Heading2"/>
      </w:pPr>
      <w:r>
        <w:t>2. Personas</w:t>
      </w:r>
    </w:p>
    <w:p>
      <w:pPr/>
      <w:r>
        <w:t>Student: creates a profile, chooses a target role, submits work, reads feedback, applies and controls sharing. Reviewer: an assigned faculty or employer member who evaluates an artifact and records evidence-linked feedback. Recruiter: a verified employer member who creates opportunities and manages applications for that employer. Institution coordinator: a member who manages college participation and sees authorized cohort information. Platform admin: manages approvals and exceptional moderation, with reason-logged access.</w:t>
      </w:r>
    </w:p>
    <w:p>
      <w:pPr/>
      <w:r>
        <w:t>Users may hold multiple memberships. A role selected in the UI is not an authorization grant. Student enrollment belongs to one institution for P0. Employer access crosses institution boundaries only through publication audiences, reviewer assignments and explicit student application grants.</w:t>
      </w:r>
    </w:p>
    <w:p>
      <w:pPr>
        <w:pStyle w:val="Heading2"/>
      </w:pPr>
      <w:r>
        <w:t>3. Scope and priority</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1000"/>
        <w:gridCol w:w="7000"/>
        <w:gridCol w:w="1360"/>
      </w:tblGrid>
      <w:tr>
        <w:trPr>
          <w:cantSplit/>
          <w:tblHeader/>
        </w:trPr>
        <w:tc>
          <w:tcPr>
            <w:tcW w:type="dxa" w:w="1000"/>
            <w:shd w:fill="E8EEF5"/>
          </w:tcPr>
          <w:p>
            <w:pPr>
              <w:pStyle w:val="TableText"/>
            </w:pPr>
            <w:r>
              <w:rPr>
                <w:b/>
              </w:rPr>
              <w:t>ID</w:t>
            </w:r>
          </w:p>
        </w:tc>
        <w:tc>
          <w:tcPr>
            <w:tcW w:type="dxa" w:w="7000"/>
            <w:shd w:fill="E8EEF5"/>
          </w:tcPr>
          <w:p>
            <w:pPr>
              <w:pStyle w:val="TableText"/>
            </w:pPr>
            <w:r>
              <w:rPr>
                <w:b/>
              </w:rPr>
              <w:t>Requirement</w:t>
            </w:r>
          </w:p>
        </w:tc>
        <w:tc>
          <w:tcPr>
            <w:tcW w:type="dxa" w:w="1360"/>
            <w:shd w:fill="E8EEF5"/>
          </w:tcPr>
          <w:p>
            <w:pPr>
              <w:pStyle w:val="TableText"/>
            </w:pPr>
            <w:r>
              <w:rPr>
                <w:b/>
              </w:rPr>
              <w:t>Priority</w:t>
            </w:r>
          </w:p>
        </w:tc>
      </w:tr>
      <w:tr>
        <w:trPr>
          <w:cantSplit/>
        </w:trPr>
        <w:tc>
          <w:tcPr>
            <w:tcW w:type="dxa" w:w="1000"/>
          </w:tcPr>
          <w:p>
            <w:pPr>
              <w:pStyle w:val="TableText"/>
            </w:pPr>
            <w:r>
              <w:t>FR-01</w:t>
            </w:r>
          </w:p>
        </w:tc>
        <w:tc>
          <w:tcPr>
            <w:tcW w:type="dxa" w:w="7000"/>
          </w:tcPr>
          <w:p>
            <w:pPr>
              <w:pStyle w:val="TableText"/>
            </w:pPr>
            <w:r>
              <w:t>Authentication and membership-scoped workspaces</w:t>
            </w:r>
          </w:p>
        </w:tc>
        <w:tc>
          <w:tcPr>
            <w:tcW w:type="dxa" w:w="1360"/>
          </w:tcPr>
          <w:p>
            <w:pPr>
              <w:pStyle w:val="TableText"/>
            </w:pPr>
            <w:r>
              <w:t>P0</w:t>
            </w:r>
          </w:p>
        </w:tc>
      </w:tr>
      <w:tr>
        <w:trPr>
          <w:cantSplit/>
        </w:trPr>
        <w:tc>
          <w:tcPr>
            <w:tcW w:type="dxa" w:w="1000"/>
          </w:tcPr>
          <w:p>
            <w:pPr>
              <w:pStyle w:val="TableText"/>
            </w:pPr>
            <w:r>
              <w:t>FR-02</w:t>
            </w:r>
          </w:p>
        </w:tc>
        <w:tc>
          <w:tcPr>
            <w:tcW w:type="dxa" w:w="7000"/>
          </w:tcPr>
          <w:p>
            <w:pPr>
              <w:pStyle w:val="TableText"/>
            </w:pPr>
            <w:r>
              <w:t>Organization approval and opportunity publication</w:t>
            </w:r>
          </w:p>
        </w:tc>
        <w:tc>
          <w:tcPr>
            <w:tcW w:type="dxa" w:w="1360"/>
          </w:tcPr>
          <w:p>
            <w:pPr>
              <w:pStyle w:val="TableText"/>
            </w:pPr>
            <w:r>
              <w:t>P0</w:t>
            </w:r>
          </w:p>
        </w:tc>
      </w:tr>
      <w:tr>
        <w:trPr>
          <w:cantSplit/>
        </w:trPr>
        <w:tc>
          <w:tcPr>
            <w:tcW w:type="dxa" w:w="1000"/>
          </w:tcPr>
          <w:p>
            <w:pPr>
              <w:pStyle w:val="TableText"/>
            </w:pPr>
            <w:r>
              <w:t>FR-03</w:t>
            </w:r>
          </w:p>
        </w:tc>
        <w:tc>
          <w:tcPr>
            <w:tcW w:type="dxa" w:w="7000"/>
          </w:tcPr>
          <w:p>
            <w:pPr>
              <w:pStyle w:val="TableText"/>
            </w:pPr>
            <w:r>
              <w:t>Student profile and self-declared skill labels</w:t>
            </w:r>
          </w:p>
        </w:tc>
        <w:tc>
          <w:tcPr>
            <w:tcW w:type="dxa" w:w="1360"/>
          </w:tcPr>
          <w:p>
            <w:pPr>
              <w:pStyle w:val="TableText"/>
            </w:pPr>
            <w:r>
              <w:t>P0</w:t>
            </w:r>
          </w:p>
        </w:tc>
      </w:tr>
      <w:tr>
        <w:trPr>
          <w:cantSplit/>
        </w:trPr>
        <w:tc>
          <w:tcPr>
            <w:tcW w:type="dxa" w:w="1000"/>
          </w:tcPr>
          <w:p>
            <w:pPr>
              <w:pStyle w:val="TableText"/>
            </w:pPr>
            <w:r>
              <w:t>FR-04</w:t>
            </w:r>
          </w:p>
        </w:tc>
        <w:tc>
          <w:tcPr>
            <w:tcW w:type="dxa" w:w="7000"/>
          </w:tcPr>
          <w:p>
            <w:pPr>
              <w:pStyle w:val="TableText"/>
            </w:pPr>
            <w:r>
              <w:t>Versioned role requirements and challenge rubric</w:t>
            </w:r>
          </w:p>
        </w:tc>
        <w:tc>
          <w:tcPr>
            <w:tcW w:type="dxa" w:w="1360"/>
          </w:tcPr>
          <w:p>
            <w:pPr>
              <w:pStyle w:val="TableText"/>
            </w:pPr>
            <w:r>
              <w:t>P0</w:t>
            </w:r>
          </w:p>
        </w:tc>
      </w:tr>
      <w:tr>
        <w:trPr>
          <w:cantSplit/>
        </w:trPr>
        <w:tc>
          <w:tcPr>
            <w:tcW w:type="dxa" w:w="1000"/>
          </w:tcPr>
          <w:p>
            <w:pPr>
              <w:pStyle w:val="TableText"/>
            </w:pPr>
            <w:r>
              <w:t>FR-05</w:t>
            </w:r>
          </w:p>
        </w:tc>
        <w:tc>
          <w:tcPr>
            <w:tcW w:type="dxa" w:w="7000"/>
          </w:tcPr>
          <w:p>
            <w:pPr>
              <w:pStyle w:val="TableText"/>
            </w:pPr>
            <w:r>
              <w:t>Private text/link evidence submission</w:t>
            </w:r>
          </w:p>
        </w:tc>
        <w:tc>
          <w:tcPr>
            <w:tcW w:type="dxa" w:w="1360"/>
          </w:tcPr>
          <w:p>
            <w:pPr>
              <w:pStyle w:val="TableText"/>
            </w:pPr>
            <w:r>
              <w:t>P0</w:t>
            </w:r>
          </w:p>
        </w:tc>
      </w:tr>
      <w:tr>
        <w:trPr>
          <w:cantSplit/>
        </w:trPr>
        <w:tc>
          <w:tcPr>
            <w:tcW w:type="dxa" w:w="1000"/>
          </w:tcPr>
          <w:p>
            <w:pPr>
              <w:pStyle w:val="TableText"/>
            </w:pPr>
            <w:r>
              <w:t>FR-06</w:t>
            </w:r>
          </w:p>
        </w:tc>
        <w:tc>
          <w:tcPr>
            <w:tcW w:type="dxa" w:w="7000"/>
          </w:tcPr>
          <w:p>
            <w:pPr>
              <w:pStyle w:val="TableText"/>
            </w:pPr>
            <w:r>
              <w:t>Assigned human review and published assessment</w:t>
            </w:r>
          </w:p>
        </w:tc>
        <w:tc>
          <w:tcPr>
            <w:tcW w:type="dxa" w:w="1360"/>
          </w:tcPr>
          <w:p>
            <w:pPr>
              <w:pStyle w:val="TableText"/>
            </w:pPr>
            <w:r>
              <w:t>P0</w:t>
            </w:r>
          </w:p>
        </w:tc>
      </w:tr>
      <w:tr>
        <w:trPr>
          <w:cantSplit/>
        </w:trPr>
        <w:tc>
          <w:tcPr>
            <w:tcW w:type="dxa" w:w="1000"/>
          </w:tcPr>
          <w:p>
            <w:pPr>
              <w:pStyle w:val="TableText"/>
            </w:pPr>
            <w:r>
              <w:t>FR-07</w:t>
            </w:r>
          </w:p>
        </w:tc>
        <w:tc>
          <w:tcPr>
            <w:tcW w:type="dxa" w:w="7000"/>
          </w:tcPr>
          <w:p>
            <w:pPr>
              <w:pStyle w:val="TableText"/>
            </w:pPr>
            <w:r>
              <w:t>Evidence passport and explainable matching</w:t>
            </w:r>
          </w:p>
        </w:tc>
        <w:tc>
          <w:tcPr>
            <w:tcW w:type="dxa" w:w="1360"/>
          </w:tcPr>
          <w:p>
            <w:pPr>
              <w:pStyle w:val="TableText"/>
            </w:pPr>
            <w:r>
              <w:t>P0</w:t>
            </w:r>
          </w:p>
        </w:tc>
      </w:tr>
      <w:tr>
        <w:trPr>
          <w:cantSplit/>
        </w:trPr>
        <w:tc>
          <w:tcPr>
            <w:tcW w:type="dxa" w:w="1000"/>
          </w:tcPr>
          <w:p>
            <w:pPr>
              <w:pStyle w:val="TableText"/>
            </w:pPr>
            <w:r>
              <w:t>FR-08</w:t>
            </w:r>
          </w:p>
        </w:tc>
        <w:tc>
          <w:tcPr>
            <w:tcW w:type="dxa" w:w="7000"/>
          </w:tcPr>
          <w:p>
            <w:pPr>
              <w:pStyle w:val="TableText"/>
            </w:pPr>
            <w:r>
              <w:t>Application and valid status transitions</w:t>
            </w:r>
          </w:p>
        </w:tc>
        <w:tc>
          <w:tcPr>
            <w:tcW w:type="dxa" w:w="1360"/>
          </w:tcPr>
          <w:p>
            <w:pPr>
              <w:pStyle w:val="TableText"/>
            </w:pPr>
            <w:r>
              <w:t>P0</w:t>
            </w:r>
          </w:p>
        </w:tc>
      </w:tr>
      <w:tr>
        <w:trPr>
          <w:cantSplit/>
        </w:trPr>
        <w:tc>
          <w:tcPr>
            <w:tcW w:type="dxa" w:w="1000"/>
          </w:tcPr>
          <w:p>
            <w:pPr>
              <w:pStyle w:val="TableText"/>
            </w:pPr>
            <w:r>
              <w:t>FR-09</w:t>
            </w:r>
          </w:p>
        </w:tc>
        <w:tc>
          <w:tcPr>
            <w:tcW w:type="dxa" w:w="7000"/>
          </w:tcPr>
          <w:p>
            <w:pPr>
              <w:pStyle w:val="TableText"/>
            </w:pPr>
            <w:r>
              <w:t>Institution cohort-gap and pipeline views</w:t>
            </w:r>
          </w:p>
        </w:tc>
        <w:tc>
          <w:tcPr>
            <w:tcW w:type="dxa" w:w="1360"/>
          </w:tcPr>
          <w:p>
            <w:pPr>
              <w:pStyle w:val="TableText"/>
            </w:pPr>
            <w:r>
              <w:t>P0</w:t>
            </w:r>
          </w:p>
        </w:tc>
      </w:tr>
      <w:tr>
        <w:trPr>
          <w:cantSplit/>
        </w:trPr>
        <w:tc>
          <w:tcPr>
            <w:tcW w:type="dxa" w:w="1000"/>
          </w:tcPr>
          <w:p>
            <w:pPr>
              <w:pStyle w:val="TableText"/>
            </w:pPr>
            <w:r>
              <w:t>FR-10</w:t>
            </w:r>
          </w:p>
        </w:tc>
        <w:tc>
          <w:tcPr>
            <w:tcW w:type="dxa" w:w="7000"/>
          </w:tcPr>
          <w:p>
            <w:pPr>
              <w:pStyle w:val="TableText"/>
            </w:pPr>
            <w:r>
              <w:t>Audit events and correction requests</w:t>
            </w:r>
          </w:p>
        </w:tc>
        <w:tc>
          <w:tcPr>
            <w:tcW w:type="dxa" w:w="1360"/>
          </w:tcPr>
          <w:p>
            <w:pPr>
              <w:pStyle w:val="TableText"/>
            </w:pPr>
            <w:r>
              <w:t>P0</w:t>
            </w:r>
          </w:p>
        </w:tc>
      </w:tr>
      <w:tr>
        <w:trPr>
          <w:cantSplit/>
        </w:trPr>
        <w:tc>
          <w:tcPr>
            <w:tcW w:type="dxa" w:w="1000"/>
          </w:tcPr>
          <w:p>
            <w:pPr>
              <w:pStyle w:val="TableText"/>
            </w:pPr>
            <w:r>
              <w:t>FR-11</w:t>
            </w:r>
          </w:p>
        </w:tc>
        <w:tc>
          <w:tcPr>
            <w:tcW w:type="dxa" w:w="7000"/>
          </w:tcPr>
          <w:p>
            <w:pPr>
              <w:pStyle w:val="TableText"/>
            </w:pPr>
            <w:r>
              <w:t>Simple internship/outcome record</w:t>
            </w:r>
          </w:p>
        </w:tc>
        <w:tc>
          <w:tcPr>
            <w:tcW w:type="dxa" w:w="1360"/>
          </w:tcPr>
          <w:p>
            <w:pPr>
              <w:pStyle w:val="TableText"/>
            </w:pPr>
            <w:r>
              <w:t>P0</w:t>
            </w:r>
          </w:p>
        </w:tc>
      </w:tr>
      <w:tr>
        <w:trPr>
          <w:cantSplit/>
        </w:trPr>
        <w:tc>
          <w:tcPr>
            <w:tcW w:type="dxa" w:w="1000"/>
          </w:tcPr>
          <w:p>
            <w:pPr>
              <w:pStyle w:val="TableText"/>
            </w:pPr>
            <w:r>
              <w:t>FR-12</w:t>
            </w:r>
          </w:p>
        </w:tc>
        <w:tc>
          <w:tcPr>
            <w:tcW w:type="dxa" w:w="7000"/>
          </w:tcPr>
          <w:p>
            <w:pPr>
              <w:pStyle w:val="TableText"/>
            </w:pPr>
            <w:r>
              <w:t>In-app notifications</w:t>
            </w:r>
          </w:p>
        </w:tc>
        <w:tc>
          <w:tcPr>
            <w:tcW w:type="dxa" w:w="1360"/>
          </w:tcPr>
          <w:p>
            <w:pPr>
              <w:pStyle w:val="TableText"/>
            </w:pPr>
            <w:r>
              <w:t>P0 after core loop</w:t>
            </w:r>
          </w:p>
        </w:tc>
      </w:tr>
      <w:tr>
        <w:trPr>
          <w:cantSplit/>
        </w:trPr>
        <w:tc>
          <w:tcPr>
            <w:tcW w:type="dxa" w:w="1000"/>
          </w:tcPr>
          <w:p>
            <w:pPr>
              <w:pStyle w:val="TableText"/>
            </w:pPr>
            <w:r>
              <w:t>FR-13</w:t>
            </w:r>
          </w:p>
        </w:tc>
        <w:tc>
          <w:tcPr>
            <w:tcW w:type="dxa" w:w="7000"/>
          </w:tcPr>
          <w:p>
            <w:pPr>
              <w:pStyle w:val="TableText"/>
            </w:pPr>
            <w:r>
              <w:t>Private file upload and safe preview</w:t>
            </w:r>
          </w:p>
        </w:tc>
        <w:tc>
          <w:tcPr>
            <w:tcW w:type="dxa" w:w="1360"/>
          </w:tcPr>
          <w:p>
            <w:pPr>
              <w:pStyle w:val="TableText"/>
            </w:pPr>
            <w:r>
              <w:t>P1</w:t>
            </w:r>
          </w:p>
        </w:tc>
      </w:tr>
      <w:tr>
        <w:trPr>
          <w:cantSplit/>
        </w:trPr>
        <w:tc>
          <w:tcPr>
            <w:tcW w:type="dxa" w:w="1000"/>
          </w:tcPr>
          <w:p>
            <w:pPr>
              <w:pStyle w:val="TableText"/>
            </w:pPr>
            <w:r>
              <w:t>FR-14</w:t>
            </w:r>
          </w:p>
        </w:tc>
        <w:tc>
          <w:tcPr>
            <w:tcW w:type="dxa" w:w="7000"/>
          </w:tcPr>
          <w:p>
            <w:pPr>
              <w:pStyle w:val="TableText"/>
            </w:pPr>
            <w:r>
              <w:t>AI requirement/rubric drafting</w:t>
            </w:r>
          </w:p>
        </w:tc>
        <w:tc>
          <w:tcPr>
            <w:tcW w:type="dxa" w:w="1360"/>
          </w:tcPr>
          <w:p>
            <w:pPr>
              <w:pStyle w:val="TableText"/>
            </w:pPr>
            <w:r>
              <w:t>P1</w:t>
            </w:r>
          </w:p>
        </w:tc>
      </w:tr>
      <w:tr>
        <w:trPr>
          <w:cantSplit/>
        </w:trPr>
        <w:tc>
          <w:tcPr>
            <w:tcW w:type="dxa" w:w="1000"/>
          </w:tcPr>
          <w:p>
            <w:pPr>
              <w:pStyle w:val="TableText"/>
            </w:pPr>
            <w:r>
              <w:t>FR-15</w:t>
            </w:r>
          </w:p>
        </w:tc>
        <w:tc>
          <w:tcPr>
            <w:tcW w:type="dxa" w:w="7000"/>
          </w:tcPr>
          <w:p>
            <w:pPr>
              <w:pStyle w:val="TableText"/>
            </w:pPr>
            <w:r>
              <w:t>Faculty intervention records and follow-up</w:t>
            </w:r>
          </w:p>
        </w:tc>
        <w:tc>
          <w:tcPr>
            <w:tcW w:type="dxa" w:w="1360"/>
          </w:tcPr>
          <w:p>
            <w:pPr>
              <w:pStyle w:val="TableText"/>
            </w:pPr>
            <w:r>
              <w:t>P1</w:t>
            </w:r>
          </w:p>
        </w:tc>
      </w:tr>
      <w:tr>
        <w:trPr>
          <w:cantSplit/>
        </w:trPr>
        <w:tc>
          <w:tcPr>
            <w:tcW w:type="dxa" w:w="1000"/>
          </w:tcPr>
          <w:p>
            <w:pPr>
              <w:pStyle w:val="TableText"/>
            </w:pPr>
            <w:r>
              <w:t>FR-16</w:t>
            </w:r>
          </w:p>
        </w:tc>
        <w:tc>
          <w:tcPr>
            <w:tcW w:type="dxa" w:w="7000"/>
          </w:tcPr>
          <w:p>
            <w:pPr>
              <w:pStyle w:val="TableText"/>
            </w:pPr>
            <w:r>
              <w:t>Public share links, calendar, exports</w:t>
            </w:r>
          </w:p>
        </w:tc>
        <w:tc>
          <w:tcPr>
            <w:tcW w:type="dxa" w:w="1360"/>
          </w:tcPr>
          <w:p>
            <w:pPr>
              <w:pStyle w:val="TableText"/>
            </w:pPr>
            <w:r>
              <w:t>P1</w:t>
            </w:r>
          </w:p>
        </w:tc>
      </w:tr>
      <w:tr>
        <w:trPr>
          <w:cantSplit/>
        </w:trPr>
        <w:tc>
          <w:tcPr>
            <w:tcW w:type="dxa" w:w="1000"/>
          </w:tcPr>
          <w:p>
            <w:pPr>
              <w:pStyle w:val="TableText"/>
            </w:pPr>
            <w:r>
              <w:t>FR-17</w:t>
            </w:r>
          </w:p>
        </w:tc>
        <w:tc>
          <w:tcPr>
            <w:tcW w:type="dxa" w:w="7000"/>
          </w:tcPr>
          <w:p>
            <w:pPr>
              <w:pStyle w:val="TableText"/>
            </w:pPr>
            <w:r>
              <w:t>Team formation and cross-college projects</w:t>
            </w:r>
          </w:p>
        </w:tc>
        <w:tc>
          <w:tcPr>
            <w:tcW w:type="dxa" w:w="1360"/>
          </w:tcPr>
          <w:p>
            <w:pPr>
              <w:pStyle w:val="TableText"/>
            </w:pPr>
            <w:r>
              <w:t>P2</w:t>
            </w:r>
          </w:p>
        </w:tc>
      </w:tr>
    </w:tbl>
    <w:p>
      <w:pPr>
        <w:pStyle w:val="TableSource"/>
      </w:pPr>
    </w:p>
    <w:p>
      <w:pPr/>
      <w:r>
        <w:t>Use text and manually entered HTTPS reference links for P0 to reduce upload risk. Links are displayed for a human to open, never fetched by the server. A challenge may require a pasted artifact excerpt, a repo URL and an explanation. GitHub is optional.</w:t>
      </w:r>
    </w:p>
    <w:p>
      <w:pPr>
        <w:pStyle w:val="Heading2"/>
      </w:pPr>
      <w:r>
        <w:t>4. Core user stories and acceptance criteria</w:t>
      </w:r>
    </w:p>
    <w:p>
      <w:pPr>
        <w:pStyle w:val="Heading3"/>
      </w:pPr>
      <w:r>
        <w:t>FR-01: Enter the correct workspace</w:t>
      </w:r>
    </w:p>
    <w:p>
      <w:pPr/>
      <w:r>
        <w:t>Given an authenticated user with an approved employer membership, when they open the employer workspace, they can manage only that employer's objects. A student changing the path or request body to another role receives no extra privileges. A revoked member loses access on the next authorization check. Anonymous users see only the landing page and explicitly public opportunity summaries.</w:t>
      </w:r>
    </w:p>
    <w:p>
      <w:pPr>
        <w:pStyle w:val="Heading3"/>
      </w:pPr>
      <w:r>
        <w:t>FR-02 and FR-04: Publish usable requirements</w:t>
      </w:r>
    </w:p>
    <w:p>
      <w:pPr/>
      <w:r>
        <w:t>An approved recruiter drafts an internship with title, description, location mode, expected duration, application deadline, compensation disclosure, audience institution, skills, required levels and weights. Publication fails if weights do not total 100, a level is outside 1–4, the deadline is past or the organization is unapproved. Drafts may be incomplete. Published requirements are immutable in P0; material changes require a new opportunity version or a replacement posting. Existing application snapshots remain unchanged.</w:t>
      </w:r>
    </w:p>
    <w:p>
      <w:pPr>
        <w:pStyle w:val="Heading3"/>
      </w:pPr>
      <w:r>
        <w:t>FR-05: Submit evidence</w:t>
      </w:r>
    </w:p>
    <w:p>
      <w:pPr/>
      <w:r>
        <w:t>A student joins an open challenge within its audience and submits a title, explanation, contribution statement and permitted HTTPS references. The server captures a final revision and the rubric version. Empty evidence, a closed challenge, a duplicate finalization or unauthorized identity is rejected. Drafts can be edited; a submitted revision cannot. Resubmission creates a new revision after changes are requested. Client clocks cannot override deadlines.</w:t>
      </w:r>
    </w:p>
    <w:p>
      <w:pPr>
        <w:pStyle w:val="Heading3"/>
      </w:pPr>
      <w:r>
        <w:t>FR-06: Review fairly</w:t>
      </w:r>
    </w:p>
    <w:p>
      <w:pPr/>
      <w:r>
        <w:t>An assigned reviewer who is not the submitter scores every required rubric criterion and supplies a rationale. Saving a draft does not change the student's skill profile. Publishing validates completeness and writes review, attainments and audit event atomically. The student can see reviewer identity, date, criteria and feedback. An unassigned colleague cannot publish a review. A correction request alerts moderation; P0 does not automatically delete a disputed review.</w:t>
      </w:r>
    </w:p>
    <w:p>
      <w:pPr>
        <w:pStyle w:val="Heading3"/>
      </w:pPr>
      <w:r>
        <w:t>FR-07: Explain skill coverage</w:t>
      </w:r>
    </w:p>
    <w:p>
      <w:pPr/>
      <w:r>
        <w:t>The opportunity detail lists each skill, required level, selected reviewed level, evidence reference and weighted contribution. The same input and scoring version yield the same score. No reviewed evidence yields “Not yet demonstrated,” never “No ability.” A score is not a hiring probability. When a selected review is voided, its attainment stops contributing on the next read. The UI displays when data was calculated.</w:t>
      </w:r>
    </w:p>
    <w:p>
      <w:pPr>
        <w:pStyle w:val="Heading3"/>
      </w:pPr>
      <w:r>
        <w:t>FR-08: Apply and progress</w:t>
      </w:r>
    </w:p>
    <w:p>
      <w:pPr/>
      <w:r>
        <w:t>A student may apply once per opportunity while it is open and within the permitted audience, even with low coverage unless a separately disclosed eligibility rule is unmet. Application confirms which evidence will be shared. Submission creates a frozen match/evidence snapshot and initial status history in one transaction. Recruiters can move applications only through the defined transitions. Withdrawal removes active employer access to underlying evidence; minimal historical status can remain under the retention policy.</w:t>
      </w:r>
    </w:p>
    <w:p>
      <w:pPr>
        <w:pStyle w:val="Heading3"/>
      </w:pPr>
      <w:r>
        <w:t>FR-09: Support the college</w:t>
      </w:r>
    </w:p>
    <w:p>
      <w:pPr/>
      <w:r>
        <w:t>Coordinators can see only participating students in their institution. Gap reports show selected open opportunities, sample counts, skill denominator and time window. Production aggregation suppresses groups below five students. Synthetic demo mode can show small groups with an explicit banner. Recruiters cannot query college-wide student records through this view.</w:t>
      </w:r>
    </w:p>
    <w:p>
      <w:pPr>
        <w:pStyle w:val="Heading3"/>
      </w:pPr>
      <w:r>
        <w:t>FR-11: Record outcomes honestly</w:t>
      </w:r>
    </w:p>
    <w:p>
      <w:pPr/>
      <w:r>
        <w:t>Following an accepted offer, an authorized recruiter or coordinator can record internship dates and a pending/completed outcome. Completion requires an attributed confirmation. “Offer,” “accepted,” “internship completed” and “placement confirmed” are distinct states. A self-report is labeled unconfirmed. Seeded outcomes in the demo are labeled simulated.</w:t>
      </w:r>
    </w:p>
    <w:p>
      <w:pPr>
        <w:pStyle w:val="Heading2"/>
      </w:pPr>
      <w:r>
        <w:t>5. Domain state machines</w:t>
      </w:r>
    </w:p>
    <w:p>
      <w:pPr/>
      <w:r>
        <w:t>Organization: pending → approved or rejected; approved → suspended; suspended → approved after admin review. Suspension blocks publication and new reviews but preserves student access to their own history.</w:t>
      </w:r>
    </w:p>
    <w:p>
      <w:pPr/>
      <w:r>
        <w:t>Opportunity: draft → published → closed → archived. A published posting may be closed early with a reason. Deadline expiration prevents applications whether or not a scheduled closure job has run.</w:t>
      </w:r>
    </w:p>
    <w:p>
      <w:pPr/>
      <w:r>
        <w:t>Submission: draft → submitted → under_review → reviewed OR changes_requested. From changes_requested, a student creates a new draft revision. Published reviews are immutable; an admin can void one with a reason, then request a replacement review.</w:t>
      </w:r>
    </w:p>
    <w:p>
      <w:pPr/>
      <w:r>
        <w:t>Application: submitted → shortlisted → interview → offered → accepted. Recruiters can reject from submitted, shortlisted, interview or offered. Students can withdraw before accepted, or decline offered. After accepted, cancellation and completion belong to the outcome record and need a reason. Rejected, withdrawn and declined are terminal for P0; reapplication is P1.</w:t>
      </w:r>
    </w:p>
    <w:p>
      <w:pPr>
        <w:pStyle w:val="Heading2"/>
      </w:pPr>
      <w:r>
        <w:t>6. Permissions and sharing</w:t>
      </w:r>
    </w:p>
    <w:p>
      <w:pPr/>
      <w:r>
        <w:t>Student evidence is visible to the owner, the specifically assigned reviewer, and the employer receiving an active application grant for the selected evidence. A college coordinator sees profile and aggregate data for consenting enrolled participants, not every private artifact by default. Moderation access requires an explicit reason and an audit event. No automatic public profiles in P0.</w:t>
      </w:r>
    </w:p>
    <w:p>
      <w:pPr/>
      <w:r>
        <w:t>Applying selects an immutable set of evidence revision IDs. Later submissions are private until shared. Review data already included in an application snapshot remains labeled as historical; a voided source receives a warning and no longer contributes to live scores. Downloaded copies cannot be technically recalled, which must be explained at sharing time.</w:t>
      </w:r>
    </w:p>
    <w:p>
      <w:pPr>
        <w:pStyle w:val="Heading2"/>
      </w:pPr>
      <w:r>
        <w:t>7. Product quality targets</w:t>
      </w:r>
    </w:p>
    <w:p>
      <w:pPr/>
      <w:r>
        <w:t>Targets for a small pilot, subject to measurement: ordinary server reads p95 below 1 second under 20 concurrent sessions; common pages interactive within 3 seconds on a reasonable mobile connection; match calculation below 500 ms for one role and a 20-skill profile; no horizontal overflow at 360 px; keyboard completion of the entire P0 journey; no unauthorized cross-organization data access in tests. These are acceptance targets, not guarantees or measured results.</w:t>
      </w:r>
    </w:p>
    <w:p>
      <w:pPr/>
      <w:r>
        <w:t>Avoid a production uptime promise for a student prototype. Measure errors, slow requests and data integrity before promising service levels. Every mutating form must show pending, success, validation and retry states. Never invent a successful save after a timeout.</w:t>
      </w:r>
    </w:p>
    <w:p>
      <w:pPr>
        <w:pStyle w:val="Heading2"/>
      </w:pPr>
      <w:r>
        <w:t>8. Product analytics</w:t>
      </w:r>
    </w:p>
    <w:p>
      <w:pPr/>
      <w:r>
        <w:t>Track challenge_viewed, submission_finalized, review_published, match_viewed, application_submitted and application_status_changed with event ID, timestamp, actor pseudonymous ID, organization scope and entity ID. Do not attach evidence text, names or contact information to analytics. Count unique students and opportunities consistently; remove duplicate retries.</w:t>
      </w:r>
    </w:p>
    <w:p>
      <w:pPr/>
      <w:r>
        <w:t>North-star pilot measure: proportion of active participating students who obtain at least one reviewed evidence item and use it in an application within the pilot window. Pair this with review turnaround and student usefulness feedback. Interview and placement measures require longer follow-up and honest denominators.</w:t>
      </w:r>
    </w:p>
    <w:p>
      <w:pPr>
        <w:pStyle w:val="Heading2"/>
      </w:pPr>
      <w:r>
        <w:t>9. Release and change control</w:t>
      </w:r>
    </w:p>
    <w:p>
      <w:pPr/>
      <w:r>
        <w:t>P0 releases only when the complete demo path and cross-tenant denial tests pass. Functional gaps are listed visibly in the README. New features need an owner, acceptance criteria, scope label and effect on schema/API. If a feature threatens the review-to-match loop, move it to P1. The PRD governs scope; database and API documents govern implementation contracts; changes affecting multiple documents must be updated together.</w:t>
      </w:r>
    </w:p>
    <w:p>
      <w:r>
        <w:br w:type="page"/>
      </w:r>
    </w:p>
    <w:p>
      <w:pPr>
        <w:pStyle w:val="Heading1"/>
      </w:pPr>
      <w:r>
        <w:t>System architecture</w:t>
      </w:r>
    </w:p>
    <w:p>
      <w:pPr>
        <w:pStyle w:val="Heading2"/>
      </w:pPr>
      <w:r>
        <w:t>1. Architecture decision</w:t>
      </w:r>
    </w:p>
    <w:p>
      <w:pPr/>
      <w:r>
        <w:t>Use a modular monolith: one Next.js application serves the interface and REST API, with Supabase Auth and PostgreSQL as managed dependencies. Keep domain logic in testable server modules. Use PostgreSQL functions for multi-row transitions requiring atomicity. This is a team-size decision; microservices, Kafka, Kubernetes, a dedicated graph database and a separate vector service would add boundaries before the workflow has been validated.</w:t>
      </w:r>
    </w:p>
    <w:p>
      <w:pPr/>
      <w:r>
        <w:t>Next.js route handlers provide the HTTP boundary, while Supabase's server-side guidance informs session integration. [S4, S5] The module breakdown below is our proposed design, not a framework requirement.</w:t>
      </w:r>
    </w:p>
    <w:p>
      <w:pPr>
        <w:pStyle w:val="Heading2"/>
      </w:pPr>
      <w:r>
        <w:t>2. Component responsibilities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2700"/>
        <w:gridCol w:w="3300"/>
        <w:gridCol w:w="3360"/>
      </w:tblGrid>
      <w:tr>
        <w:trPr>
          <w:cantSplit/>
          <w:tblHeader/>
        </w:trPr>
        <w:tc>
          <w:tcPr>
            <w:tcW w:type="dxa" w:w="2700"/>
            <w:shd w:fill="E8EEF5"/>
          </w:tcPr>
          <w:p>
            <w:pPr>
              <w:pStyle w:val="TableText"/>
            </w:pPr>
            <w:r>
              <w:rPr>
                <w:b/>
              </w:rPr>
              <w:t>Component</w:t>
            </w:r>
          </w:p>
        </w:tc>
        <w:tc>
          <w:tcPr>
            <w:tcW w:type="dxa" w:w="3300"/>
            <w:shd w:fill="E8EEF5"/>
          </w:tcPr>
          <w:p>
            <w:pPr>
              <w:pStyle w:val="TableText"/>
            </w:pPr>
            <w:r>
              <w:rPr>
                <w:b/>
              </w:rPr>
              <w:t>Responsibility</w:t>
            </w:r>
          </w:p>
        </w:tc>
        <w:tc>
          <w:tcPr>
            <w:tcW w:type="dxa" w:w="3360"/>
            <w:shd w:fill="E8EEF5"/>
          </w:tcPr>
          <w:p>
            <w:pPr>
              <w:pStyle w:val="TableText"/>
            </w:pPr>
            <w:r>
              <w:rPr>
                <w:b/>
              </w:rPr>
              <w:t>Trust level</w:t>
            </w:r>
          </w:p>
        </w:tc>
      </w:tr>
      <w:tr>
        <w:trPr>
          <w:cantSplit/>
        </w:trPr>
        <w:tc>
          <w:tcPr>
            <w:tcW w:type="dxa" w:w="2700"/>
          </w:tcPr>
          <w:p>
            <w:pPr>
              <w:pStyle w:val="TableText"/>
            </w:pPr>
            <w:r>
              <w:t>Browser UI</w:t>
            </w:r>
          </w:p>
        </w:tc>
        <w:tc>
          <w:tcPr>
            <w:tcW w:type="dxa" w:w="3300"/>
          </w:tcPr>
          <w:p>
            <w:pPr>
              <w:pStyle w:val="TableText"/>
            </w:pPr>
            <w:r>
              <w:t>Forms, evidence inspection, feedback</w:t>
            </w:r>
          </w:p>
        </w:tc>
        <w:tc>
          <w:tcPr>
            <w:tcW w:type="dxa" w:w="3360"/>
          </w:tcPr>
          <w:p>
            <w:pPr>
              <w:pStyle w:val="TableText"/>
            </w:pPr>
            <w:r>
              <w:t>Untrusted input</w:t>
            </w:r>
          </w:p>
        </w:tc>
      </w:tr>
      <w:tr>
        <w:trPr>
          <w:cantSplit/>
        </w:trPr>
        <w:tc>
          <w:tcPr>
            <w:tcW w:type="dxa" w:w="2700"/>
          </w:tcPr>
          <w:p>
            <w:pPr>
              <w:pStyle w:val="TableText"/>
            </w:pPr>
            <w:r>
              <w:t>Next.js API</w:t>
            </w:r>
          </w:p>
        </w:tc>
        <w:tc>
          <w:tcPr>
            <w:tcW w:type="dxa" w:w="3300"/>
          </w:tcPr>
          <w:p>
            <w:pPr>
              <w:pStyle w:val="TableText"/>
            </w:pPr>
            <w:r>
              <w:t>Authentication, validation, authorization orchestration</w:t>
            </w:r>
          </w:p>
        </w:tc>
        <w:tc>
          <w:tcPr>
            <w:tcW w:type="dxa" w:w="3360"/>
          </w:tcPr>
          <w:p>
            <w:pPr>
              <w:pStyle w:val="TableText"/>
            </w:pPr>
            <w:r>
              <w:t>Server</w:t>
            </w:r>
          </w:p>
        </w:tc>
      </w:tr>
      <w:tr>
        <w:trPr>
          <w:cantSplit/>
        </w:trPr>
        <w:tc>
          <w:tcPr>
            <w:tcW w:type="dxa" w:w="2700"/>
          </w:tcPr>
          <w:p>
            <w:pPr>
              <w:pStyle w:val="TableText"/>
            </w:pPr>
            <w:r>
              <w:t>Domain services</w:t>
            </w:r>
          </w:p>
        </w:tc>
        <w:tc>
          <w:tcPr>
            <w:tcW w:type="dxa" w:w="3300"/>
          </w:tcPr>
          <w:p>
            <w:pPr>
              <w:pStyle w:val="TableText"/>
            </w:pPr>
            <w:r>
              <w:t>Matching rules and business checks</w:t>
            </w:r>
          </w:p>
        </w:tc>
        <w:tc>
          <w:tcPr>
            <w:tcW w:type="dxa" w:w="3360"/>
          </w:tcPr>
          <w:p>
            <w:pPr>
              <w:pStyle w:val="TableText"/>
            </w:pPr>
            <w:r>
              <w:t>Server</w:t>
            </w:r>
          </w:p>
        </w:tc>
      </w:tr>
      <w:tr>
        <w:trPr>
          <w:cantSplit/>
        </w:trPr>
        <w:tc>
          <w:tcPr>
            <w:tcW w:type="dxa" w:w="2700"/>
          </w:tcPr>
          <w:p>
            <w:pPr>
              <w:pStyle w:val="TableText"/>
            </w:pPr>
            <w:r>
              <w:t>Postgres functions</w:t>
            </w:r>
          </w:p>
        </w:tc>
        <w:tc>
          <w:tcPr>
            <w:tcW w:type="dxa" w:w="3300"/>
          </w:tcPr>
          <w:p>
            <w:pPr>
              <w:pStyle w:val="TableText"/>
            </w:pPr>
            <w:r>
              <w:t>Atomic publish, submit, review and transition</w:t>
            </w:r>
          </w:p>
        </w:tc>
        <w:tc>
          <w:tcPr>
            <w:tcW w:type="dxa" w:w="3360"/>
          </w:tcPr>
          <w:p>
            <w:pPr>
              <w:pStyle w:val="TableText"/>
            </w:pPr>
            <w:r>
              <w:t>Privileged, tightly scoped</w:t>
            </w:r>
          </w:p>
        </w:tc>
      </w:tr>
      <w:tr>
        <w:trPr>
          <w:cantSplit/>
        </w:trPr>
        <w:tc>
          <w:tcPr>
            <w:tcW w:type="dxa" w:w="2700"/>
          </w:tcPr>
          <w:p>
            <w:pPr>
              <w:pStyle w:val="TableText"/>
            </w:pPr>
            <w:r>
              <w:t>Postgres tables/RLS</w:t>
            </w:r>
          </w:p>
        </w:tc>
        <w:tc>
          <w:tcPr>
            <w:tcW w:type="dxa" w:w="3300"/>
          </w:tcPr>
          <w:p>
            <w:pPr>
              <w:pStyle w:val="TableText"/>
            </w:pPr>
            <w:r>
              <w:t>Durable records and row access controls</w:t>
            </w:r>
          </w:p>
        </w:tc>
        <w:tc>
          <w:tcPr>
            <w:tcW w:type="dxa" w:w="3360"/>
          </w:tcPr>
          <w:p>
            <w:pPr>
              <w:pStyle w:val="TableText"/>
            </w:pPr>
            <w:r>
              <w:t>Data boundary</w:t>
            </w:r>
          </w:p>
        </w:tc>
      </w:tr>
      <w:tr>
        <w:trPr>
          <w:cantSplit/>
        </w:trPr>
        <w:tc>
          <w:tcPr>
            <w:tcW w:type="dxa" w:w="2700"/>
          </w:tcPr>
          <w:p>
            <w:pPr>
              <w:pStyle w:val="TableText"/>
            </w:pPr>
            <w:r>
              <w:t>Supabase Auth</w:t>
            </w:r>
          </w:p>
        </w:tc>
        <w:tc>
          <w:tcPr>
            <w:tcW w:type="dxa" w:w="3300"/>
          </w:tcPr>
          <w:p>
            <w:pPr>
              <w:pStyle w:val="TableText"/>
            </w:pPr>
            <w:r>
              <w:t>Identity/session lifecycle</w:t>
            </w:r>
          </w:p>
        </w:tc>
        <w:tc>
          <w:tcPr>
            <w:tcW w:type="dxa" w:w="3360"/>
          </w:tcPr>
          <w:p>
            <w:pPr>
              <w:pStyle w:val="TableText"/>
            </w:pPr>
            <w:r>
              <w:t>Managed dependency</w:t>
            </w:r>
          </w:p>
        </w:tc>
      </w:tr>
      <w:tr>
        <w:trPr>
          <w:cantSplit/>
        </w:trPr>
        <w:tc>
          <w:tcPr>
            <w:tcW w:type="dxa" w:w="2700"/>
          </w:tcPr>
          <w:p>
            <w:pPr>
              <w:pStyle w:val="TableText"/>
            </w:pPr>
            <w:r>
              <w:t>Optional AI adapter</w:t>
            </w:r>
          </w:p>
        </w:tc>
        <w:tc>
          <w:tcPr>
            <w:tcW w:type="dxa" w:w="3300"/>
          </w:tcPr>
          <w:p>
            <w:pPr>
              <w:pStyle w:val="TableText"/>
            </w:pPr>
            <w:r>
              <w:t>Draft suggestions, never final decisions</w:t>
            </w:r>
          </w:p>
        </w:tc>
        <w:tc>
          <w:tcPr>
            <w:tcW w:type="dxa" w:w="3360"/>
          </w:tcPr>
          <w:p>
            <w:pPr>
              <w:pStyle w:val="TableText"/>
            </w:pPr>
            <w:r>
              <w:t>Untrusted output</w:t>
            </w:r>
          </w:p>
        </w:tc>
      </w:tr>
    </w:tbl>
    <w:p>
      <w:pPr>
        <w:pStyle w:val="TableSource"/>
      </w:pPr>
    </w:p>
    <w:p>
      <w:pPr/>
      <w:r>
        <w:t>P0 has no server-side URL fetch, artifact code execution, document parser or arbitrary web browsing. P1 storage introduces private signed uploads and malware-handling requirements before file preview is enabled.</w:t>
      </w:r>
    </w:p>
    <w:p>
      <w:pPr>
        <w:pStyle w:val="Heading2"/>
      </w:pPr>
      <w:r>
        <w:t>3. Logical topology</w:t>
      </w:r>
    </w:p>
    <w:p>
      <w:pPr/>
      <w:r>
        <w:t>Browser requests the Next.js UI and /api/v1 endpoints. The API verifies the session, resolves the user's current organization memberships and validates request schemas. Read services use the caller-scoped database client. Sensitive mutations call narrowly scoped database functions with the caller identity. Optional background tasks consume outbox rows after successful transactions. AI requests, if enabled later, run through a server-only adapter with redacted input.</w:t>
      </w:r>
    </w:p>
    <w:p>
      <w:pPr/>
      <w:r>
        <w:t>The browser must never possess a service-role secret. RLS and grants both require explicit configuration; Supabase documentation emphasizes the separate checks. [S6] Ordinary request handling should retain the caller's identity, even when the API has already authorized an action.</w:t>
      </w:r>
    </w:p>
    <w:p>
      <w:pPr>
        <w:pStyle w:val="Heading2"/>
      </w:pPr>
      <w:r>
        <w:t>4. Modules</w:t>
      </w:r>
    </w:p>
    <w:p>
      <w:pPr/>
      <w:r>
        <w:t>Identity resolves sessions, memberships and enrollment. Organizations handles approval. Opportunities owns publication and requirements. Challenges owns rubric versions and reviewer assignment. Evidence owns revisions and access grants. Reviews owns criterion scores, published assessments and voiding. Matching computes live role coverage. Applications owns snapshots and hiring transitions. Insights owns scoped aggregates. Audit records security-relevant changes. Notifications reads in-app outbox deliveries.</w:t>
      </w:r>
    </w:p>
    <w:p>
      <w:pPr/>
      <w:r>
        <w:t>Modules call shared services through explicit functions rather than importing route handlers. UI code does not import database credentials or server-only modules. Shared contracts contain serializable types and schemas only. Keep generated database types separate from API response types to prevent accidental column exposure.</w:t>
      </w:r>
    </w:p>
    <w:p>
      <w:pPr>
        <w:pStyle w:val="Heading2"/>
      </w:pPr>
      <w:r>
        <w:t>5. Review publication flow</w:t>
      </w:r>
    </w:p>
    <w:p>
      <w:pPr/>
      <w:r>
        <w:t>The reviewer submits a complete draft with expected version. The API verifies current assignment and input types. The database function rechecks membership, assignment, self-review prohibition, submission state and rubric version. It locks the submission, inserts the immutable review and criterion scores, creates skill attainments, updates submission status and appends an audit/outbox event in one transaction. If any step fails, nothing is published.</w:t>
      </w:r>
    </w:p>
    <w:p>
      <w:pPr/>
      <w:r>
        <w:t>Matching is computed on demand in P0 from active attainments; no cache invalidation is required for correctness. Client query invalidation refreshes relevant views after publication. P1 may add a cache keyed by student evidence version, opportunity version and scoring version. Cached results must not outlive revoked evidence or authorization.</w:t>
      </w:r>
    </w:p>
    <w:p>
      <w:pPr>
        <w:pStyle w:val="Heading2"/>
      </w:pPr>
      <w:r>
        <w:t>6. Application flow</w:t>
      </w:r>
    </w:p>
    <w:p>
      <w:pPr/>
      <w:r>
        <w:t>The server verifies opportunity publication/deadline/audience and selected evidence ownership. A transaction freezes the opportunity version, scoring version, selected attainments and calculated score; inserts the application and initial status history; and creates evidence grants for the employer. A unique constraint prevents duplicate applications. An idempotency key turns a network retry into the original result. Withdrawal revokes grants in the same transaction as the status change.</w:t>
      </w:r>
    </w:p>
    <w:p>
      <w:pPr>
        <w:pStyle w:val="Heading2"/>
      </w:pPr>
      <w:r>
        <w:t>7. Data ownership and tenancy</w:t>
      </w:r>
    </w:p>
    <w:p>
      <w:pPr/>
      <w:r>
        <w:t>Organization-owned rows carry org_id. Student-owned evidence carries student_id and is not implicitly employer-owned. Institution enrollment connects a student to a college but does not grant universal evidence access. Application grants connect selected evidence to an employer for a defined purpose. A user belonging to multiple organizations must choose an active organization, which the server validates against membership on each request.</w:t>
      </w:r>
    </w:p>
    <w:p>
      <w:pPr/>
      <w:r>
        <w:t>Do not rely solely on an org_id submitted by the browser, a hidden UI button or a token role that may be stale. Foreign keys and scoped functions prevent linking a review, submission or opportunity to an unrelated organization.</w:t>
      </w:r>
    </w:p>
    <w:p>
      <w:pPr>
        <w:pStyle w:val="Heading2"/>
      </w:pPr>
      <w:r>
        <w:t>8. Deployment model</w:t>
      </w:r>
    </w:p>
    <w:p>
      <w:pPr/>
      <w:r>
        <w:t>Local development uses an isolated Supabase project or local Supabase stack with synthetic fixtures. A staging application uses separate credentials and an isolated database. The hackathon demo runs from staging with synthetic data. Production is a later promotion after pilot readiness, backups, access review and retention configuration. Hosting provider selection can remain flexible; choose a compatible managed Next.js runtime after checking its current deployment requirements and costs.</w:t>
      </w:r>
    </w:p>
    <w:p>
      <w:pPr/>
      <w:r>
        <w:t>Browser-facing public configuration: application URL, Supabase project URL and publishable key. Server secrets: optional AI provider key and any tightly controlled administrative credential. Database passwords and privileged keys never belong in NEXT_PUBLIC variables, screenshots or the repository.</w:t>
      </w:r>
    </w:p>
    <w:p>
      <w:pPr>
        <w:pStyle w:val="Heading2"/>
      </w:pPr>
      <w:r>
        <w:t>9. Reliability and scale</w:t>
      </w:r>
    </w:p>
    <w:p>
      <w:pPr/>
      <w:r>
        <w:t>Use keyset pagination for opportunities/applications, indexes on ownership and join columns, and bounded reports. Do not load all students into browser memory. Start with live SQL aggregates over a small pilot; materialize large cohort reports only after measuring query plans. A transactional outbox supports retryable notification work. Delivery must not determine whether a review or application exists.</w:t>
      </w:r>
    </w:p>
    <w:p>
      <w:pPr/>
      <w:r>
        <w:t>If notifications fail, users can still read status from the source record. If AI fails, manual entry remains available. If the database is unavailable, display a clear retry state and preserve unsent form text locally only where privacy permits. Do not claim a save that is not confirmed.</w:t>
      </w:r>
    </w:p>
    <w:p>
      <w:pPr>
        <w:pStyle w:val="Heading2"/>
      </w:pPr>
      <w:r>
        <w:t>10. Architecture trade-offs</w:t>
      </w:r>
    </w:p>
    <w:p>
      <w:pPr/>
      <w:r>
        <w:t>Managed Postgres reduces infrastructure work but creates a provider dependency; SQL migrations and an export plan reduce switching cost. Database functions strengthen atomicity but require careful review and restricted execution grants. A deterministic matcher is easy to explain but does not capture every dimension of job fit. Human review increases credibility but limits throughput. These are intentional trade-offs for a trustworthy prototype.</w:t>
      </w:r>
    </w:p>
    <w:p>
      <w:pPr>
        <w:pStyle w:val="Heading2"/>
      </w:pPr>
      <w:r>
        <w:t>11. Later evolution triggers</w:t>
      </w:r>
    </w:p>
    <w:p>
      <w:pPr/>
      <w:r>
        <w:t>Introduce background workers when AI/document processing exceeds request time limits. Add search infrastructure only when indexed Postgres search becomes insufficient under measured load. Separate a service only when scaling, ownership or isolation needs are demonstrated. Add external systems through adapters and explicit consent, not by scraping authenticated portals or assuming an API exists.</w:t>
      </w:r>
    </w:p>
    <w:p>
      <w:r>
        <w:br w:type="page"/>
      </w:r>
    </w:p>
    <w:p>
      <w:pPr>
        <w:pStyle w:val="Heading1"/>
      </w:pPr>
      <w:r>
        <w:t>Technology stack and setup</w:t>
      </w:r>
    </w:p>
    <w:p>
      <w:pPr>
        <w:pStyle w:val="Heading2"/>
      </w:pPr>
      <w:r>
        <w:t>1. Selected stack</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2700"/>
        <w:gridCol w:w="3300"/>
        <w:gridCol w:w="3360"/>
      </w:tblGrid>
      <w:tr>
        <w:trPr>
          <w:cantSplit/>
          <w:tblHeader/>
        </w:trPr>
        <w:tc>
          <w:tcPr>
            <w:tcW w:type="dxa" w:w="2700"/>
            <w:shd w:fill="E8EEF5"/>
          </w:tcPr>
          <w:p>
            <w:pPr>
              <w:pStyle w:val="TableText"/>
            </w:pPr>
            <w:r>
              <w:rPr>
                <w:b/>
              </w:rPr>
              <w:t>Layer</w:t>
            </w:r>
          </w:p>
        </w:tc>
        <w:tc>
          <w:tcPr>
            <w:tcW w:type="dxa" w:w="3300"/>
            <w:shd w:fill="E8EEF5"/>
          </w:tcPr>
          <w:p>
            <w:pPr>
              <w:pStyle w:val="TableText"/>
            </w:pPr>
            <w:r>
              <w:rPr>
                <w:b/>
              </w:rPr>
              <w:t>Selection</w:t>
            </w:r>
          </w:p>
        </w:tc>
        <w:tc>
          <w:tcPr>
            <w:tcW w:type="dxa" w:w="3360"/>
            <w:shd w:fill="E8EEF5"/>
          </w:tcPr>
          <w:p>
            <w:pPr>
              <w:pStyle w:val="TableText"/>
            </w:pPr>
            <w:r>
              <w:rPr>
                <w:b/>
              </w:rPr>
              <w:t>Reason</w:t>
            </w:r>
          </w:p>
        </w:tc>
      </w:tr>
      <w:tr>
        <w:trPr>
          <w:cantSplit/>
        </w:trPr>
        <w:tc>
          <w:tcPr>
            <w:tcW w:type="dxa" w:w="2700"/>
          </w:tcPr>
          <w:p>
            <w:pPr>
              <w:pStyle w:val="TableText"/>
            </w:pPr>
            <w:r>
              <w:t>Application</w:t>
            </w:r>
          </w:p>
        </w:tc>
        <w:tc>
          <w:tcPr>
            <w:tcW w:type="dxa" w:w="3300"/>
          </w:tcPr>
          <w:p>
            <w:pPr>
              <w:pStyle w:val="TableText"/>
            </w:pPr>
            <w:r>
              <w:t>Next.js App Router + TypeScript</w:t>
            </w:r>
          </w:p>
        </w:tc>
        <w:tc>
          <w:tcPr>
            <w:tcW w:type="dxa" w:w="3360"/>
          </w:tcPr>
          <w:p>
            <w:pPr>
              <w:pStyle w:val="TableText"/>
            </w:pPr>
            <w:r>
              <w:t>One UI/API codebase</w:t>
            </w:r>
          </w:p>
        </w:tc>
      </w:tr>
      <w:tr>
        <w:trPr>
          <w:cantSplit/>
        </w:trPr>
        <w:tc>
          <w:tcPr>
            <w:tcW w:type="dxa" w:w="2700"/>
          </w:tcPr>
          <w:p>
            <w:pPr>
              <w:pStyle w:val="TableText"/>
            </w:pPr>
            <w:r>
              <w:t>UI</w:t>
            </w:r>
          </w:p>
        </w:tc>
        <w:tc>
          <w:tcPr>
            <w:tcW w:type="dxa" w:w="3300"/>
          </w:tcPr>
          <w:p>
            <w:pPr>
              <w:pStyle w:val="TableText"/>
            </w:pPr>
            <w:r>
              <w:t>React, Tailwind CSS, accessible component primitives</w:t>
            </w:r>
          </w:p>
        </w:tc>
        <w:tc>
          <w:tcPr>
            <w:tcW w:type="dxa" w:w="3360"/>
          </w:tcPr>
          <w:p>
            <w:pPr>
              <w:pStyle w:val="TableText"/>
            </w:pPr>
            <w:r>
              <w:t>Fast consistent forms and layouts</w:t>
            </w:r>
          </w:p>
        </w:tc>
      </w:tr>
      <w:tr>
        <w:trPr>
          <w:cantSplit/>
        </w:trPr>
        <w:tc>
          <w:tcPr>
            <w:tcW w:type="dxa" w:w="2700"/>
          </w:tcPr>
          <w:p>
            <w:pPr>
              <w:pStyle w:val="TableText"/>
            </w:pPr>
            <w:r>
              <w:t>Forms</w:t>
            </w:r>
          </w:p>
        </w:tc>
        <w:tc>
          <w:tcPr>
            <w:tcW w:type="dxa" w:w="3300"/>
          </w:tcPr>
          <w:p>
            <w:pPr>
              <w:pStyle w:val="TableText"/>
            </w:pPr>
            <w:r>
              <w:t>React Hook Form + Zod</w:t>
            </w:r>
          </w:p>
        </w:tc>
        <w:tc>
          <w:tcPr>
            <w:tcW w:type="dxa" w:w="3360"/>
          </w:tcPr>
          <w:p>
            <w:pPr>
              <w:pStyle w:val="TableText"/>
            </w:pPr>
            <w:r>
              <w:t>Typed validation and field errors</w:t>
            </w:r>
          </w:p>
        </w:tc>
      </w:tr>
      <w:tr>
        <w:trPr>
          <w:cantSplit/>
        </w:trPr>
        <w:tc>
          <w:tcPr>
            <w:tcW w:type="dxa" w:w="2700"/>
          </w:tcPr>
          <w:p>
            <w:pPr>
              <w:pStyle w:val="TableText"/>
            </w:pPr>
            <w:r>
              <w:t>Client server-state</w:t>
            </w:r>
          </w:p>
        </w:tc>
        <w:tc>
          <w:tcPr>
            <w:tcW w:type="dxa" w:w="3300"/>
          </w:tcPr>
          <w:p>
            <w:pPr>
              <w:pStyle w:val="TableText"/>
            </w:pPr>
            <w:r>
              <w:t>TanStack Query</w:t>
            </w:r>
          </w:p>
        </w:tc>
        <w:tc>
          <w:tcPr>
            <w:tcW w:type="dxa" w:w="3360"/>
          </w:tcPr>
          <w:p>
            <w:pPr>
              <w:pStyle w:val="TableText"/>
            </w:pPr>
            <w:r>
              <w:t>Explicit loading, refetch and invalidation</w:t>
            </w:r>
          </w:p>
        </w:tc>
      </w:tr>
      <w:tr>
        <w:trPr>
          <w:cantSplit/>
        </w:trPr>
        <w:tc>
          <w:tcPr>
            <w:tcW w:type="dxa" w:w="2700"/>
          </w:tcPr>
          <w:p>
            <w:pPr>
              <w:pStyle w:val="TableText"/>
            </w:pPr>
            <w:r>
              <w:t>Database</w:t>
            </w:r>
          </w:p>
        </w:tc>
        <w:tc>
          <w:tcPr>
            <w:tcW w:type="dxa" w:w="3300"/>
          </w:tcPr>
          <w:p>
            <w:pPr>
              <w:pStyle w:val="TableText"/>
            </w:pPr>
            <w:r>
              <w:t>Supabase PostgreSQL</w:t>
            </w:r>
          </w:p>
        </w:tc>
        <w:tc>
          <w:tcPr>
            <w:tcW w:type="dxa" w:w="3360"/>
          </w:tcPr>
          <w:p>
            <w:pPr>
              <w:pStyle w:val="TableText"/>
            </w:pPr>
            <w:r>
              <w:t>Relational workflows and access rules</w:t>
            </w:r>
          </w:p>
        </w:tc>
      </w:tr>
      <w:tr>
        <w:trPr>
          <w:cantSplit/>
        </w:trPr>
        <w:tc>
          <w:tcPr>
            <w:tcW w:type="dxa" w:w="2700"/>
          </w:tcPr>
          <w:p>
            <w:pPr>
              <w:pStyle w:val="TableText"/>
            </w:pPr>
            <w:r>
              <w:t>Authentication</w:t>
            </w:r>
          </w:p>
        </w:tc>
        <w:tc>
          <w:tcPr>
            <w:tcW w:type="dxa" w:w="3300"/>
          </w:tcPr>
          <w:p>
            <w:pPr>
              <w:pStyle w:val="TableText"/>
            </w:pPr>
            <w:r>
              <w:t>Supabase Auth</w:t>
            </w:r>
          </w:p>
        </w:tc>
        <w:tc>
          <w:tcPr>
            <w:tcW w:type="dxa" w:w="3360"/>
          </w:tcPr>
          <w:p>
            <w:pPr>
              <w:pStyle w:val="TableText"/>
            </w:pPr>
            <w:r>
              <w:t>Managed identity and sessions</w:t>
            </w:r>
          </w:p>
        </w:tc>
      </w:tr>
      <w:tr>
        <w:trPr>
          <w:cantSplit/>
        </w:trPr>
        <w:tc>
          <w:tcPr>
            <w:tcW w:type="dxa" w:w="2700"/>
          </w:tcPr>
          <w:p>
            <w:pPr>
              <w:pStyle w:val="TableText"/>
            </w:pPr>
            <w:r>
              <w:t>DB changes</w:t>
            </w:r>
          </w:p>
        </w:tc>
        <w:tc>
          <w:tcPr>
            <w:tcW w:type="dxa" w:w="3300"/>
          </w:tcPr>
          <w:p>
            <w:pPr>
              <w:pStyle w:val="TableText"/>
            </w:pPr>
            <w:r>
              <w:t>SQL migrations + generated database types</w:t>
            </w:r>
          </w:p>
        </w:tc>
        <w:tc>
          <w:tcPr>
            <w:tcW w:type="dxa" w:w="3360"/>
          </w:tcPr>
          <w:p>
            <w:pPr>
              <w:pStyle w:val="TableText"/>
            </w:pPr>
            <w:r>
              <w:t>Reviewable constraints and policies</w:t>
            </w:r>
          </w:p>
        </w:tc>
      </w:tr>
      <w:tr>
        <w:trPr>
          <w:cantSplit/>
        </w:trPr>
        <w:tc>
          <w:tcPr>
            <w:tcW w:type="dxa" w:w="2700"/>
          </w:tcPr>
          <w:p>
            <w:pPr>
              <w:pStyle w:val="TableText"/>
            </w:pPr>
            <w:r>
              <w:t>Business API</w:t>
            </w:r>
          </w:p>
        </w:tc>
        <w:tc>
          <w:tcPr>
            <w:tcW w:type="dxa" w:w="3300"/>
          </w:tcPr>
          <w:p>
            <w:pPr>
              <w:pStyle w:val="TableText"/>
            </w:pPr>
            <w:r>
              <w:t>Next.js route handlers, REST JSON</w:t>
            </w:r>
          </w:p>
        </w:tc>
        <w:tc>
          <w:tcPr>
            <w:tcW w:type="dxa" w:w="3360"/>
          </w:tcPr>
          <w:p>
            <w:pPr>
              <w:pStyle w:val="TableText"/>
            </w:pPr>
            <w:r>
              <w:t>Small clear service boundary</w:t>
            </w:r>
          </w:p>
        </w:tc>
      </w:tr>
      <w:tr>
        <w:trPr>
          <w:cantSplit/>
        </w:trPr>
        <w:tc>
          <w:tcPr>
            <w:tcW w:type="dxa" w:w="2700"/>
          </w:tcPr>
          <w:p>
            <w:pPr>
              <w:pStyle w:val="TableText"/>
            </w:pPr>
            <w:r>
              <w:t>Tests</w:t>
            </w:r>
          </w:p>
        </w:tc>
        <w:tc>
          <w:tcPr>
            <w:tcW w:type="dxa" w:w="3300"/>
          </w:tcPr>
          <w:p>
            <w:pPr>
              <w:pStyle w:val="TableText"/>
            </w:pPr>
            <w:r>
              <w:t>Vitest, Playwright, SQL authorization tests</w:t>
            </w:r>
          </w:p>
        </w:tc>
        <w:tc>
          <w:tcPr>
            <w:tcW w:type="dxa" w:w="3360"/>
          </w:tcPr>
          <w:p>
            <w:pPr>
              <w:pStyle w:val="TableText"/>
            </w:pPr>
            <w:r>
              <w:t>Logic, journeys and isolation</w:t>
            </w:r>
          </w:p>
        </w:tc>
      </w:tr>
      <w:tr>
        <w:trPr>
          <w:cantSplit/>
        </w:trPr>
        <w:tc>
          <w:tcPr>
            <w:tcW w:type="dxa" w:w="2700"/>
          </w:tcPr>
          <w:p>
            <w:pPr>
              <w:pStyle w:val="TableText"/>
            </w:pPr>
            <w:r>
              <w:t>Optional files</w:t>
            </w:r>
          </w:p>
        </w:tc>
        <w:tc>
          <w:tcPr>
            <w:tcW w:type="dxa" w:w="3300"/>
          </w:tcPr>
          <w:p>
            <w:pPr>
              <w:pStyle w:val="TableText"/>
            </w:pPr>
            <w:r>
              <w:t>Supabase private Storage, P1</w:t>
            </w:r>
          </w:p>
        </w:tc>
        <w:tc>
          <w:tcPr>
            <w:tcW w:type="dxa" w:w="3360"/>
          </w:tcPr>
          <w:p>
            <w:pPr>
              <w:pStyle w:val="TableText"/>
            </w:pPr>
            <w:r>
              <w:t>Evidence attachments after safe handling</w:t>
            </w:r>
          </w:p>
        </w:tc>
      </w:tr>
      <w:tr>
        <w:trPr>
          <w:cantSplit/>
        </w:trPr>
        <w:tc>
          <w:tcPr>
            <w:tcW w:type="dxa" w:w="2700"/>
          </w:tcPr>
          <w:p>
            <w:pPr>
              <w:pStyle w:val="TableText"/>
            </w:pPr>
            <w:r>
              <w:t>Optional AI</w:t>
            </w:r>
          </w:p>
        </w:tc>
        <w:tc>
          <w:tcPr>
            <w:tcW w:type="dxa" w:w="3300"/>
          </w:tcPr>
          <w:p>
            <w:pPr>
              <w:pStyle w:val="TableText"/>
            </w:pPr>
            <w:r>
              <w:t>Provider-neutral server adapter, P1</w:t>
            </w:r>
          </w:p>
        </w:tc>
        <w:tc>
          <w:tcPr>
            <w:tcW w:type="dxa" w:w="3360"/>
          </w:tcPr>
          <w:p>
            <w:pPr>
              <w:pStyle w:val="TableText"/>
            </w:pPr>
            <w:r>
              <w:t>Drafting without product dependency</w:t>
            </w:r>
          </w:p>
        </w:tc>
      </w:tr>
    </w:tbl>
    <w:p>
      <w:pPr>
        <w:pStyle w:val="TableSource"/>
      </w:pPr>
    </w:p>
    <w:p>
      <w:pPr/>
      <w:r>
        <w:t>This is a proposed selection. Exact dependency versions must be checked together at implementation kickoff, installed as compatible stable releases and recorded in a lockfile. Do not blindly install “latest” during the final demo freeze. Official framework and authentication references are provided in the source register. [S4–S6]</w:t>
      </w:r>
    </w:p>
    <w:p>
      <w:pPr>
        <w:pStyle w:val="Heading2"/>
      </w:pPr>
      <w:r>
        <w:t>2. Deliberate exclusions</w:t>
      </w:r>
    </w:p>
    <w:p>
      <w:pPr/>
      <w:r>
        <w:t>Do not add Express/NestJS alongside Next.js merely to call it a backend. Do not introduce Python for a deterministic weighted formula. Do not use a vector database when a curated 20–30 skill catalog is enough. Do not use blockchain to make a reviewer opinion look more authoritative. Do not require OAuth integrations with GitHub, LinkedIn or a job portal for the core demo.</w:t>
      </w:r>
    </w:p>
    <w:p>
      <w:pPr/>
      <w:r>
        <w:t>Avoid two competing data-access systems. Use the Supabase client with typed database calls and SQL functions for P0; Prisma or Drizzle can be reconsidered if the team's migration/data-access needs justify one. Avoid Redis until a concrete shared cache or rate-limiting need exceeds the database-backed approach.</w:t>
      </w:r>
    </w:p>
    <w:p>
      <w:pPr>
        <w:pStyle w:val="Heading2"/>
      </w:pPr>
      <w:r>
        <w:t>3. Setup checklist</w:t>
      </w:r>
    </w:p>
    <w:p>
      <w:pPr/>
      <w:r>
        <w:t>Create a private source repository, isolated development/demo database projects, application hosting project and environment example file. Choose one package manager for the team and commit its lockfile. Install a runtime supported by the selected Next.js release and record it in the repository. Enable email/password authentication for seeded demo accounts; avoid email delivery as a presentation dependency. Human users should use proper account registration in a pilot.</w:t>
      </w:r>
    </w:p>
    <w:p>
      <w:pPr/>
      <w:r>
        <w:t>Store migrations, seed scripts and permission tests in version control. Run migrations against an empty database before UI implementation. Configure authentication redirect URLs for local and demo environments. Use separate student, reviewer and recruiter accounts. Never ship an endpoint that creates arbitrary privileged users to make role switching easier.</w:t>
      </w:r>
    </w:p>
    <w:p>
      <w:pPr>
        <w:pStyle w:val="Heading2"/>
      </w:pPr>
      <w:r>
        <w:t>4. Configuration contract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4100"/>
        <w:gridCol w:w="1400"/>
        <w:gridCol w:w="3860"/>
      </w:tblGrid>
      <w:tr>
        <w:trPr>
          <w:cantSplit/>
          <w:tblHeader/>
        </w:trPr>
        <w:tc>
          <w:tcPr>
            <w:tcW w:type="dxa" w:w="4100"/>
            <w:shd w:fill="E8EEF5"/>
          </w:tcPr>
          <w:p>
            <w:pPr>
              <w:pStyle w:val="TableText"/>
            </w:pPr>
            <w:r>
              <w:rPr>
                <w:b/>
              </w:rPr>
              <w:t>Variable</w:t>
            </w:r>
          </w:p>
        </w:tc>
        <w:tc>
          <w:tcPr>
            <w:tcW w:type="dxa" w:w="1400"/>
            <w:shd w:fill="E8EEF5"/>
          </w:tcPr>
          <w:p>
            <w:pPr>
              <w:pStyle w:val="TableText"/>
            </w:pPr>
            <w:r>
              <w:rPr>
                <w:b/>
              </w:rPr>
              <w:t>Visibility</w:t>
            </w:r>
          </w:p>
        </w:tc>
        <w:tc>
          <w:tcPr>
            <w:tcW w:type="dxa" w:w="3860"/>
            <w:shd w:fill="E8EEF5"/>
          </w:tcPr>
          <w:p>
            <w:pPr>
              <w:pStyle w:val="TableText"/>
            </w:pPr>
            <w:r>
              <w:rPr>
                <w:b/>
              </w:rPr>
              <w:t>Purpose</w:t>
            </w:r>
          </w:p>
        </w:tc>
      </w:tr>
      <w:tr>
        <w:trPr>
          <w:cantSplit/>
        </w:trPr>
        <w:tc>
          <w:tcPr>
            <w:tcW w:type="dxa" w:w="4100"/>
          </w:tcPr>
          <w:p>
            <w:pPr>
              <w:pStyle w:val="TableText"/>
            </w:pPr>
            <w:r>
              <w:t>NEXT_PUBLIC_APP_URL</w:t>
            </w:r>
          </w:p>
        </w:tc>
        <w:tc>
          <w:tcPr>
            <w:tcW w:type="dxa" w:w="1400"/>
          </w:tcPr>
          <w:p>
            <w:pPr>
              <w:pStyle w:val="TableText"/>
            </w:pPr>
            <w:r>
              <w:t>Public</w:t>
            </w:r>
          </w:p>
        </w:tc>
        <w:tc>
          <w:tcPr>
            <w:tcW w:type="dxa" w:w="3860"/>
          </w:tcPr>
          <w:p>
            <w:pPr>
              <w:pStyle w:val="TableText"/>
            </w:pPr>
            <w:r>
              <w:t>Canonical UI origin</w:t>
            </w:r>
          </w:p>
        </w:tc>
      </w:tr>
      <w:tr>
        <w:trPr>
          <w:cantSplit/>
        </w:trPr>
        <w:tc>
          <w:tcPr>
            <w:tcW w:type="dxa" w:w="4100"/>
          </w:tcPr>
          <w:p>
            <w:pPr>
              <w:pStyle w:val="TableText"/>
            </w:pPr>
            <w:r>
              <w:t>NEXT_PUBLIC_SUPABASE_URL</w:t>
            </w:r>
          </w:p>
        </w:tc>
        <w:tc>
          <w:tcPr>
            <w:tcW w:type="dxa" w:w="1400"/>
          </w:tcPr>
          <w:p>
            <w:pPr>
              <w:pStyle w:val="TableText"/>
            </w:pPr>
            <w:r>
              <w:t>Public</w:t>
            </w:r>
          </w:p>
        </w:tc>
        <w:tc>
          <w:tcPr>
            <w:tcW w:type="dxa" w:w="3860"/>
          </w:tcPr>
          <w:p>
            <w:pPr>
              <w:pStyle w:val="TableText"/>
            </w:pPr>
            <w:r>
              <w:t>Supabase endpoint</w:t>
            </w:r>
          </w:p>
        </w:tc>
      </w:tr>
      <w:tr>
        <w:trPr>
          <w:cantSplit/>
        </w:trPr>
        <w:tc>
          <w:tcPr>
            <w:tcW w:type="dxa" w:w="4100"/>
          </w:tcPr>
          <w:p>
            <w:pPr>
              <w:pStyle w:val="TableText"/>
            </w:pPr>
            <w:r>
              <w:t>NEXT_PUBLIC_SUPABASE_PUBLISHABLE_KEY</w:t>
            </w:r>
          </w:p>
        </w:tc>
        <w:tc>
          <w:tcPr>
            <w:tcW w:type="dxa" w:w="1400"/>
          </w:tcPr>
          <w:p>
            <w:pPr>
              <w:pStyle w:val="TableText"/>
            </w:pPr>
            <w:r>
              <w:t>Public</w:t>
            </w:r>
          </w:p>
        </w:tc>
        <w:tc>
          <w:tcPr>
            <w:tcW w:type="dxa" w:w="3860"/>
          </w:tcPr>
          <w:p>
            <w:pPr>
              <w:pStyle w:val="TableText"/>
            </w:pPr>
            <w:r>
              <w:t>Client key protected by grants/RLS</w:t>
            </w:r>
          </w:p>
        </w:tc>
      </w:tr>
      <w:tr>
        <w:trPr>
          <w:cantSplit/>
        </w:trPr>
        <w:tc>
          <w:tcPr>
            <w:tcW w:type="dxa" w:w="4100"/>
          </w:tcPr>
          <w:p>
            <w:pPr>
              <w:pStyle w:val="TableText"/>
            </w:pPr>
            <w:r>
              <w:t>SUPABASE_SERVICE_ROLE_KEY</w:t>
            </w:r>
          </w:p>
        </w:tc>
        <w:tc>
          <w:tcPr>
            <w:tcW w:type="dxa" w:w="1400"/>
          </w:tcPr>
          <w:p>
            <w:pPr>
              <w:pStyle w:val="TableText"/>
            </w:pPr>
            <w:r>
              <w:t>Secret, optional</w:t>
            </w:r>
          </w:p>
        </w:tc>
        <w:tc>
          <w:tcPr>
            <w:tcW w:type="dxa" w:w="3860"/>
          </w:tcPr>
          <w:p>
            <w:pPr>
              <w:pStyle w:val="TableText"/>
            </w:pPr>
            <w:r>
              <w:t>Controlled admin/seed job only</w:t>
            </w:r>
          </w:p>
        </w:tc>
      </w:tr>
      <w:tr>
        <w:trPr>
          <w:cantSplit/>
        </w:trPr>
        <w:tc>
          <w:tcPr>
            <w:tcW w:type="dxa" w:w="4100"/>
          </w:tcPr>
          <w:p>
            <w:pPr>
              <w:pStyle w:val="TableText"/>
            </w:pPr>
            <w:r>
              <w:t>AI_PROVIDER_API_KEY</w:t>
            </w:r>
          </w:p>
        </w:tc>
        <w:tc>
          <w:tcPr>
            <w:tcW w:type="dxa" w:w="1400"/>
          </w:tcPr>
          <w:p>
            <w:pPr>
              <w:pStyle w:val="TableText"/>
            </w:pPr>
            <w:r>
              <w:t>Secret, optional</w:t>
            </w:r>
          </w:p>
        </w:tc>
        <w:tc>
          <w:tcPr>
            <w:tcW w:type="dxa" w:w="3860"/>
          </w:tcPr>
          <w:p>
            <w:pPr>
              <w:pStyle w:val="TableText"/>
            </w:pPr>
            <w:r>
              <w:t>P1 draft generation</w:t>
            </w:r>
          </w:p>
        </w:tc>
      </w:tr>
      <w:tr>
        <w:trPr>
          <w:cantSplit/>
        </w:trPr>
        <w:tc>
          <w:tcPr>
            <w:tcW w:type="dxa" w:w="4100"/>
          </w:tcPr>
          <w:p>
            <w:pPr>
              <w:pStyle w:val="TableText"/>
            </w:pPr>
            <w:r>
              <w:t>AI_MODEL</w:t>
            </w:r>
          </w:p>
        </w:tc>
        <w:tc>
          <w:tcPr>
            <w:tcW w:type="dxa" w:w="1400"/>
          </w:tcPr>
          <w:p>
            <w:pPr>
              <w:pStyle w:val="TableText"/>
            </w:pPr>
            <w:r>
              <w:t>Server config</w:t>
            </w:r>
          </w:p>
        </w:tc>
        <w:tc>
          <w:tcPr>
            <w:tcW w:type="dxa" w:w="3860"/>
          </w:tcPr>
          <w:p>
            <w:pPr>
              <w:pStyle w:val="TableText"/>
            </w:pPr>
            <w:r>
              <w:t>Explicit chosen model</w:t>
            </w:r>
          </w:p>
        </w:tc>
      </w:tr>
      <w:tr>
        <w:trPr>
          <w:cantSplit/>
        </w:trPr>
        <w:tc>
          <w:tcPr>
            <w:tcW w:type="dxa" w:w="4100"/>
          </w:tcPr>
          <w:p>
            <w:pPr>
              <w:pStyle w:val="TableText"/>
            </w:pPr>
            <w:r>
              <w:t>DEMO_MODE</w:t>
            </w:r>
          </w:p>
        </w:tc>
        <w:tc>
          <w:tcPr>
            <w:tcW w:type="dxa" w:w="1400"/>
          </w:tcPr>
          <w:p>
            <w:pPr>
              <w:pStyle w:val="TableText"/>
            </w:pPr>
            <w:r>
              <w:t>Server config</w:t>
            </w:r>
          </w:p>
        </w:tc>
        <w:tc>
          <w:tcPr>
            <w:tcW w:type="dxa" w:w="3860"/>
          </w:tcPr>
          <w:p>
            <w:pPr>
              <w:pStyle w:val="TableText"/>
            </w:pPr>
            <w:r>
              <w:t>Enables synthetic banners and safe fixtures</w:t>
            </w:r>
          </w:p>
        </w:tc>
      </w:tr>
      <w:tr>
        <w:trPr>
          <w:cantSplit/>
        </w:trPr>
        <w:tc>
          <w:tcPr>
            <w:tcW w:type="dxa" w:w="4100"/>
          </w:tcPr>
          <w:p>
            <w:pPr>
              <w:pStyle w:val="TableText"/>
            </w:pPr>
            <w:r>
              <w:t>ENABLE_AI_DRAFTS</w:t>
            </w:r>
          </w:p>
        </w:tc>
        <w:tc>
          <w:tcPr>
            <w:tcW w:type="dxa" w:w="1400"/>
          </w:tcPr>
          <w:p>
            <w:pPr>
              <w:pStyle w:val="TableText"/>
            </w:pPr>
            <w:r>
              <w:t>Server config</w:t>
            </w:r>
          </w:p>
        </w:tc>
        <w:tc>
          <w:tcPr>
            <w:tcW w:type="dxa" w:w="3860"/>
          </w:tcPr>
          <w:p>
            <w:pPr>
              <w:pStyle w:val="TableText"/>
            </w:pPr>
            <w:r>
              <w:t>Defaults false</w:t>
            </w:r>
          </w:p>
        </w:tc>
      </w:tr>
    </w:tbl>
    <w:p>
      <w:pPr>
        <w:pStyle w:val="TableSource"/>
      </w:pPr>
    </w:p>
    <w:p>
      <w:pPr/>
      <w:r>
        <w:t>The .env.example contains names and harmless placeholders only. Service-role availability must not cause ordinary route handlers to bypass row authorization. Demo mode does not disable security. A browser role switch can select accounts in a dedicated local fixture build only; hosted demo accounts authenticate normally.</w:t>
      </w:r>
    </w:p>
    <w:p>
      <w:pPr>
        <w:pStyle w:val="Heading2"/>
      </w:pPr>
      <w:r>
        <w:t>5. Budget model</w:t>
      </w:r>
    </w:p>
    <w:p>
      <w:pPr/>
      <w:r>
        <w:t>Do not promise a permanently free deployment. Estimate monthly cost as hosting + database/auth + storage + email + optional AI usage. Set a team-approved spending cap before enabling paid usage. For AI, estimate calls multiplied by average input/output tokens and the provider's current rates, then add a retry margin. These documents contain no quoted provider prices because pricing was not assessed.</w:t>
      </w:r>
    </w:p>
    <w:p>
      <w:pPr/>
      <w:r>
        <w:t>The P0 demo can avoid AI spending entirely. Text evidence reduces storage needs. Disable unused integrations. Review actual usage during a pilot before selecting a production plan. One-time hackathon setup time and ongoing reviewer effort may matter more than hosting expense.</w:t>
      </w:r>
    </w:p>
    <w:p>
      <w:pPr>
        <w:pStyle w:val="Heading2"/>
      </w:pPr>
      <w:r>
        <w:t>6. Alternative decisions</w:t>
      </w:r>
    </w:p>
    <w:p>
      <w:pPr/>
      <w:r>
        <w:t>React SPA plus a separate backend is reasonable if the team already has that scaffold, but maintaining two applications is unnecessary from scratch. Firebase is viable for many apps, but this domain has explicit relational constraints and reporting queries that favor Postgres. A custom authentication server would consume effort without improving the signature workflow. A fully local demo is a fallback for presentation continuity, not a substitute for a tested shared deployment.</w:t>
      </w:r>
    </w:p>
    <w:p>
      <w:pPr>
        <w:pStyle w:val="Heading2"/>
      </w:pPr>
      <w:r>
        <w:t>7. Dependency and release discipline</w:t>
      </w:r>
    </w:p>
    <w:p>
      <w:pPr/>
      <w:r>
        <w:t>Record framework/runtime versions and environment names in the README. Commit dependency updates separately from business changes. Run type checks, relevant tests and a production build before merging. Do not copy private credentials into an AI prompt or authorize an agent to publish production data. Keep an environment inventory and rotate keys if they have been exposed.</w:t>
      </w:r>
    </w:p>
    <w:p>
      <w:r>
        <w:br w:type="page"/>
      </w:r>
    </w:p>
    <w:p>
      <w:pPr>
        <w:pStyle w:val="Heading1"/>
      </w:pPr>
      <w:r>
        <w:t>Frontend specification</w:t>
      </w:r>
    </w:p>
    <w:p>
      <w:pPr>
        <w:pStyle w:val="Heading2"/>
      </w:pPr>
      <w:r>
        <w:t>1. Frontend principles</w:t>
      </w:r>
    </w:p>
    <w:p>
      <w:pPr/>
      <w:r>
        <w:t>Make the next useful action obvious. Every number should lead to its evidence or denominator. Persist business data on the server; never let browser mock state masquerade as a completed application. Keep route access, object authorization and UI affordances consistent. Hide unavailable actions for clarity while still enforcing authorization on the server.</w:t>
      </w:r>
    </w:p>
    <w:p>
      <w:pPr/>
      <w:r>
        <w:t>Use server-rendered shells and initial data where appropriate, with client components for forms, filters and interaction. Use TanStack Query for client-owned remote state; do not maintain a second conflicting copy of the same entities in a global store. Local component state holds temporary selections and modal visibility.</w:t>
      </w:r>
    </w:p>
    <w:p>
      <w:pPr>
        <w:pStyle w:val="Heading2"/>
      </w:pPr>
      <w:r>
        <w:t>2. Route map</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3600"/>
        <w:gridCol w:w="2000"/>
        <w:gridCol w:w="3760"/>
      </w:tblGrid>
      <w:tr>
        <w:trPr>
          <w:cantSplit/>
          <w:tblHeader/>
        </w:trPr>
        <w:tc>
          <w:tcPr>
            <w:tcW w:type="dxa" w:w="3600"/>
            <w:shd w:fill="E8EEF5"/>
          </w:tcPr>
          <w:p>
            <w:pPr>
              <w:pStyle w:val="TableText"/>
            </w:pPr>
            <w:r>
              <w:rPr>
                <w:b/>
              </w:rPr>
              <w:t>Route</w:t>
            </w:r>
          </w:p>
        </w:tc>
        <w:tc>
          <w:tcPr>
            <w:tcW w:type="dxa" w:w="2000"/>
            <w:shd w:fill="E8EEF5"/>
          </w:tcPr>
          <w:p>
            <w:pPr>
              <w:pStyle w:val="TableText"/>
            </w:pPr>
            <w:r>
              <w:rPr>
                <w:b/>
              </w:rPr>
              <w:t>Audience</w:t>
            </w:r>
          </w:p>
        </w:tc>
        <w:tc>
          <w:tcPr>
            <w:tcW w:type="dxa" w:w="3760"/>
            <w:shd w:fill="E8EEF5"/>
          </w:tcPr>
          <w:p>
            <w:pPr>
              <w:pStyle w:val="TableText"/>
            </w:pPr>
            <w:r>
              <w:rPr>
                <w:b/>
              </w:rPr>
              <w:t>Main purpose</w:t>
            </w:r>
          </w:p>
        </w:tc>
      </w:tr>
      <w:tr>
        <w:trPr>
          <w:cantSplit/>
        </w:trPr>
        <w:tc>
          <w:tcPr>
            <w:tcW w:type="dxa" w:w="3600"/>
          </w:tcPr>
          <w:p>
            <w:pPr>
              <w:pStyle w:val="TableText"/>
            </w:pPr>
            <w:r>
              <w:t>/</w:t>
            </w:r>
          </w:p>
        </w:tc>
        <w:tc>
          <w:tcPr>
            <w:tcW w:type="dxa" w:w="2000"/>
          </w:tcPr>
          <w:p>
            <w:pPr>
              <w:pStyle w:val="TableText"/>
            </w:pPr>
            <w:r>
              <w:t>Public</w:t>
            </w:r>
          </w:p>
        </w:tc>
        <w:tc>
          <w:tcPr>
            <w:tcW w:type="dxa" w:w="3760"/>
          </w:tcPr>
          <w:p>
            <w:pPr>
              <w:pStyle w:val="TableText"/>
            </w:pPr>
            <w:r>
              <w:t>Product explanation and sign-in</w:t>
            </w:r>
          </w:p>
        </w:tc>
      </w:tr>
      <w:tr>
        <w:trPr>
          <w:cantSplit/>
        </w:trPr>
        <w:tc>
          <w:tcPr>
            <w:tcW w:type="dxa" w:w="3600"/>
          </w:tcPr>
          <w:p>
            <w:pPr>
              <w:pStyle w:val="TableText"/>
            </w:pPr>
            <w:r>
              <w:t>/login</w:t>
            </w:r>
          </w:p>
        </w:tc>
        <w:tc>
          <w:tcPr>
            <w:tcW w:type="dxa" w:w="2000"/>
          </w:tcPr>
          <w:p>
            <w:pPr>
              <w:pStyle w:val="TableText"/>
            </w:pPr>
            <w:r>
              <w:t>Public</w:t>
            </w:r>
          </w:p>
        </w:tc>
        <w:tc>
          <w:tcPr>
            <w:tcW w:type="dxa" w:w="3760"/>
          </w:tcPr>
          <w:p>
            <w:pPr>
              <w:pStyle w:val="TableText"/>
            </w:pPr>
            <w:r>
              <w:t>Authentication</w:t>
            </w:r>
          </w:p>
        </w:tc>
      </w:tr>
      <w:tr>
        <w:trPr>
          <w:cantSplit/>
        </w:trPr>
        <w:tc>
          <w:tcPr>
            <w:tcW w:type="dxa" w:w="3600"/>
          </w:tcPr>
          <w:p>
            <w:pPr>
              <w:pStyle w:val="TableText"/>
            </w:pPr>
            <w:r>
              <w:t>/onboarding</w:t>
            </w:r>
          </w:p>
        </w:tc>
        <w:tc>
          <w:tcPr>
            <w:tcW w:type="dxa" w:w="2000"/>
          </w:tcPr>
          <w:p>
            <w:pPr>
              <w:pStyle w:val="TableText"/>
            </w:pPr>
            <w:r>
              <w:t>Authenticated</w:t>
            </w:r>
          </w:p>
        </w:tc>
        <w:tc>
          <w:tcPr>
            <w:tcW w:type="dxa" w:w="3760"/>
          </w:tcPr>
          <w:p>
            <w:pPr>
              <w:pStyle w:val="TableText"/>
            </w:pPr>
            <w:r>
              <w:t>Basic profile, membership status</w:t>
            </w:r>
          </w:p>
        </w:tc>
      </w:tr>
      <w:tr>
        <w:trPr>
          <w:cantSplit/>
        </w:trPr>
        <w:tc>
          <w:tcPr>
            <w:tcW w:type="dxa" w:w="3600"/>
          </w:tcPr>
          <w:p>
            <w:pPr>
              <w:pStyle w:val="TableText"/>
            </w:pPr>
            <w:r>
              <w:t>/student</w:t>
            </w:r>
          </w:p>
        </w:tc>
        <w:tc>
          <w:tcPr>
            <w:tcW w:type="dxa" w:w="2000"/>
          </w:tcPr>
          <w:p>
            <w:pPr>
              <w:pStyle w:val="TableText"/>
            </w:pPr>
            <w:r>
              <w:t>Student</w:t>
            </w:r>
          </w:p>
        </w:tc>
        <w:tc>
          <w:tcPr>
            <w:tcW w:type="dxa" w:w="3760"/>
          </w:tcPr>
          <w:p>
            <w:pPr>
              <w:pStyle w:val="TableText"/>
            </w:pPr>
            <w:r>
              <w:t>Next action and recent feedback</w:t>
            </w:r>
          </w:p>
        </w:tc>
      </w:tr>
      <w:tr>
        <w:trPr>
          <w:cantSplit/>
        </w:trPr>
        <w:tc>
          <w:tcPr>
            <w:tcW w:type="dxa" w:w="3600"/>
          </w:tcPr>
          <w:p>
            <w:pPr>
              <w:pStyle w:val="TableText"/>
            </w:pPr>
            <w:r>
              <w:t>/student/passport</w:t>
            </w:r>
          </w:p>
        </w:tc>
        <w:tc>
          <w:tcPr>
            <w:tcW w:type="dxa" w:w="2000"/>
          </w:tcPr>
          <w:p>
            <w:pPr>
              <w:pStyle w:val="TableText"/>
            </w:pPr>
            <w:r>
              <w:t>Student</w:t>
            </w:r>
          </w:p>
        </w:tc>
        <w:tc>
          <w:tcPr>
            <w:tcW w:type="dxa" w:w="3760"/>
          </w:tcPr>
          <w:p>
            <w:pPr>
              <w:pStyle w:val="TableText"/>
            </w:pPr>
            <w:r>
              <w:t>Reviewed and declared skills</w:t>
            </w:r>
          </w:p>
        </w:tc>
      </w:tr>
      <w:tr>
        <w:trPr>
          <w:cantSplit/>
        </w:trPr>
        <w:tc>
          <w:tcPr>
            <w:tcW w:type="dxa" w:w="3600"/>
          </w:tcPr>
          <w:p>
            <w:pPr>
              <w:pStyle w:val="TableText"/>
            </w:pPr>
            <w:r>
              <w:t>/opportunities</w:t>
            </w:r>
          </w:p>
        </w:tc>
        <w:tc>
          <w:tcPr>
            <w:tcW w:type="dxa" w:w="2000"/>
          </w:tcPr>
          <w:p>
            <w:pPr>
              <w:pStyle w:val="TableText"/>
            </w:pPr>
            <w:r>
              <w:t>Authorized/public summaries</w:t>
            </w:r>
          </w:p>
        </w:tc>
        <w:tc>
          <w:tcPr>
            <w:tcW w:type="dxa" w:w="3760"/>
          </w:tcPr>
          <w:p>
            <w:pPr>
              <w:pStyle w:val="TableText"/>
            </w:pPr>
            <w:r>
              <w:t>Search and filters</w:t>
            </w:r>
          </w:p>
        </w:tc>
      </w:tr>
      <w:tr>
        <w:trPr>
          <w:cantSplit/>
        </w:trPr>
        <w:tc>
          <w:tcPr>
            <w:tcW w:type="dxa" w:w="3600"/>
          </w:tcPr>
          <w:p>
            <w:pPr>
              <w:pStyle w:val="TableText"/>
            </w:pPr>
            <w:r>
              <w:t>/opportunities/[id]</w:t>
            </w:r>
          </w:p>
        </w:tc>
        <w:tc>
          <w:tcPr>
            <w:tcW w:type="dxa" w:w="2000"/>
          </w:tcPr>
          <w:p>
            <w:pPr>
              <w:pStyle w:val="TableText"/>
            </w:pPr>
            <w:r>
              <w:t>Eligible audience</w:t>
            </w:r>
          </w:p>
        </w:tc>
        <w:tc>
          <w:tcPr>
            <w:tcW w:type="dxa" w:w="3760"/>
          </w:tcPr>
          <w:p>
            <w:pPr>
              <w:pStyle w:val="TableText"/>
            </w:pPr>
            <w:r>
              <w:t>Requirements, gaps, apply</w:t>
            </w:r>
          </w:p>
        </w:tc>
      </w:tr>
      <w:tr>
        <w:trPr>
          <w:cantSplit/>
        </w:trPr>
        <w:tc>
          <w:tcPr>
            <w:tcW w:type="dxa" w:w="3600"/>
          </w:tcPr>
          <w:p>
            <w:pPr>
              <w:pStyle w:val="TableText"/>
            </w:pPr>
            <w:r>
              <w:t>/challenges/[id]</w:t>
            </w:r>
          </w:p>
        </w:tc>
        <w:tc>
          <w:tcPr>
            <w:tcW w:type="dxa" w:w="2000"/>
          </w:tcPr>
          <w:p>
            <w:pPr>
              <w:pStyle w:val="TableText"/>
            </w:pPr>
            <w:r>
              <w:t>Challenge audience</w:t>
            </w:r>
          </w:p>
        </w:tc>
        <w:tc>
          <w:tcPr>
            <w:tcW w:type="dxa" w:w="3760"/>
          </w:tcPr>
          <w:p>
            <w:pPr>
              <w:pStyle w:val="TableText"/>
            </w:pPr>
            <w:r>
              <w:t>Task, rubric, deadline</w:t>
            </w:r>
          </w:p>
        </w:tc>
      </w:tr>
      <w:tr>
        <w:trPr>
          <w:cantSplit/>
        </w:trPr>
        <w:tc>
          <w:tcPr>
            <w:tcW w:type="dxa" w:w="3600"/>
          </w:tcPr>
          <w:p>
            <w:pPr>
              <w:pStyle w:val="TableText"/>
            </w:pPr>
            <w:r>
              <w:t>/student/submissions/[id]</w:t>
            </w:r>
          </w:p>
        </w:tc>
        <w:tc>
          <w:tcPr>
            <w:tcW w:type="dxa" w:w="2000"/>
          </w:tcPr>
          <w:p>
            <w:pPr>
              <w:pStyle w:val="TableText"/>
            </w:pPr>
            <w:r>
              <w:t>Owner</w:t>
            </w:r>
          </w:p>
        </w:tc>
        <w:tc>
          <w:tcPr>
            <w:tcW w:type="dxa" w:w="3760"/>
          </w:tcPr>
          <w:p>
            <w:pPr>
              <w:pStyle w:val="TableText"/>
            </w:pPr>
            <w:r>
              <w:t>Revision and review history</w:t>
            </w:r>
          </w:p>
        </w:tc>
      </w:tr>
      <w:tr>
        <w:trPr>
          <w:cantSplit/>
        </w:trPr>
        <w:tc>
          <w:tcPr>
            <w:tcW w:type="dxa" w:w="3600"/>
          </w:tcPr>
          <w:p>
            <w:pPr>
              <w:pStyle w:val="TableText"/>
            </w:pPr>
            <w:r>
              <w:t>/student/applications</w:t>
            </w:r>
          </w:p>
        </w:tc>
        <w:tc>
          <w:tcPr>
            <w:tcW w:type="dxa" w:w="2000"/>
          </w:tcPr>
          <w:p>
            <w:pPr>
              <w:pStyle w:val="TableText"/>
            </w:pPr>
            <w:r>
              <w:t>Student</w:t>
            </w:r>
          </w:p>
        </w:tc>
        <w:tc>
          <w:tcPr>
            <w:tcW w:type="dxa" w:w="3760"/>
          </w:tcPr>
          <w:p>
            <w:pPr>
              <w:pStyle w:val="TableText"/>
            </w:pPr>
            <w:r>
              <w:t>Application timeline</w:t>
            </w:r>
          </w:p>
        </w:tc>
      </w:tr>
      <w:tr>
        <w:trPr>
          <w:cantSplit/>
        </w:trPr>
        <w:tc>
          <w:tcPr>
            <w:tcW w:type="dxa" w:w="3600"/>
          </w:tcPr>
          <w:p>
            <w:pPr>
              <w:pStyle w:val="TableText"/>
            </w:pPr>
            <w:r>
              <w:t>/employer/opportunities</w:t>
            </w:r>
          </w:p>
        </w:tc>
        <w:tc>
          <w:tcPr>
            <w:tcW w:type="dxa" w:w="2000"/>
          </w:tcPr>
          <w:p>
            <w:pPr>
              <w:pStyle w:val="TableText"/>
            </w:pPr>
            <w:r>
              <w:t>Employer member</w:t>
            </w:r>
          </w:p>
        </w:tc>
        <w:tc>
          <w:tcPr>
            <w:tcW w:type="dxa" w:w="3760"/>
          </w:tcPr>
          <w:p>
            <w:pPr>
              <w:pStyle w:val="TableText"/>
            </w:pPr>
            <w:r>
              <w:t>Drafts and published roles</w:t>
            </w:r>
          </w:p>
        </w:tc>
      </w:tr>
      <w:tr>
        <w:trPr>
          <w:cantSplit/>
        </w:trPr>
        <w:tc>
          <w:tcPr>
            <w:tcW w:type="dxa" w:w="3600"/>
          </w:tcPr>
          <w:p>
            <w:pPr>
              <w:pStyle w:val="TableText"/>
            </w:pPr>
            <w:r>
              <w:t>/employer/opportunities/[id]/applicants</w:t>
            </w:r>
          </w:p>
        </w:tc>
        <w:tc>
          <w:tcPr>
            <w:tcW w:type="dxa" w:w="2000"/>
          </w:tcPr>
          <w:p>
            <w:pPr>
              <w:pStyle w:val="TableText"/>
            </w:pPr>
            <w:r>
              <w:t>Owning employer</w:t>
            </w:r>
          </w:p>
        </w:tc>
        <w:tc>
          <w:tcPr>
            <w:tcW w:type="dxa" w:w="3760"/>
          </w:tcPr>
          <w:p>
            <w:pPr>
              <w:pStyle w:val="TableText"/>
            </w:pPr>
            <w:r>
              <w:t>Evidence-based screening</w:t>
            </w:r>
          </w:p>
        </w:tc>
      </w:tr>
      <w:tr>
        <w:trPr>
          <w:cantSplit/>
        </w:trPr>
        <w:tc>
          <w:tcPr>
            <w:tcW w:type="dxa" w:w="3600"/>
          </w:tcPr>
          <w:p>
            <w:pPr>
              <w:pStyle w:val="TableText"/>
            </w:pPr>
            <w:r>
              <w:t>/reviewer/queue</w:t>
            </w:r>
          </w:p>
        </w:tc>
        <w:tc>
          <w:tcPr>
            <w:tcW w:type="dxa" w:w="2000"/>
          </w:tcPr>
          <w:p>
            <w:pPr>
              <w:pStyle w:val="TableText"/>
            </w:pPr>
            <w:r>
              <w:t>Assigned reviewer</w:t>
            </w:r>
          </w:p>
        </w:tc>
        <w:tc>
          <w:tcPr>
            <w:tcW w:type="dxa" w:w="3760"/>
          </w:tcPr>
          <w:p>
            <w:pPr>
              <w:pStyle w:val="TableText"/>
            </w:pPr>
            <w:r>
              <w:t>Pending assessments</w:t>
            </w:r>
          </w:p>
        </w:tc>
      </w:tr>
      <w:tr>
        <w:trPr>
          <w:cantSplit/>
        </w:trPr>
        <w:tc>
          <w:tcPr>
            <w:tcW w:type="dxa" w:w="3600"/>
          </w:tcPr>
          <w:p>
            <w:pPr>
              <w:pStyle w:val="TableText"/>
            </w:pPr>
            <w:r>
              <w:t>/reviewer/submissions/[id]</w:t>
            </w:r>
          </w:p>
        </w:tc>
        <w:tc>
          <w:tcPr>
            <w:tcW w:type="dxa" w:w="2000"/>
          </w:tcPr>
          <w:p>
            <w:pPr>
              <w:pStyle w:val="TableText"/>
            </w:pPr>
            <w:r>
              <w:t>Assigned reviewer</w:t>
            </w:r>
          </w:p>
        </w:tc>
        <w:tc>
          <w:tcPr>
            <w:tcW w:type="dxa" w:w="3760"/>
          </w:tcPr>
          <w:p>
            <w:pPr>
              <w:pStyle w:val="TableText"/>
            </w:pPr>
            <w:r>
              <w:t>Rubric and work comparison</w:t>
            </w:r>
          </w:p>
        </w:tc>
      </w:tr>
      <w:tr>
        <w:trPr>
          <w:cantSplit/>
        </w:trPr>
        <w:tc>
          <w:tcPr>
            <w:tcW w:type="dxa" w:w="3600"/>
          </w:tcPr>
          <w:p>
            <w:pPr>
              <w:pStyle w:val="TableText"/>
            </w:pPr>
            <w:r>
              <w:t>/institution/insights</w:t>
            </w:r>
          </w:p>
        </w:tc>
        <w:tc>
          <w:tcPr>
            <w:tcW w:type="dxa" w:w="2000"/>
          </w:tcPr>
          <w:p>
            <w:pPr>
              <w:pStyle w:val="TableText"/>
            </w:pPr>
            <w:r>
              <w:t>Coordinator</w:t>
            </w:r>
          </w:p>
        </w:tc>
        <w:tc>
          <w:tcPr>
            <w:tcW w:type="dxa" w:w="3760"/>
          </w:tcPr>
          <w:p>
            <w:pPr>
              <w:pStyle w:val="TableText"/>
            </w:pPr>
            <w:r>
              <w:t>Cohort gaps and pipeline</w:t>
            </w:r>
          </w:p>
        </w:tc>
      </w:tr>
      <w:tr>
        <w:trPr>
          <w:cantSplit/>
        </w:trPr>
        <w:tc>
          <w:tcPr>
            <w:tcW w:type="dxa" w:w="3600"/>
          </w:tcPr>
          <w:p>
            <w:pPr>
              <w:pStyle w:val="TableText"/>
            </w:pPr>
            <w:r>
              <w:t>/admin/organizations</w:t>
            </w:r>
          </w:p>
        </w:tc>
        <w:tc>
          <w:tcPr>
            <w:tcW w:type="dxa" w:w="2000"/>
          </w:tcPr>
          <w:p>
            <w:pPr>
              <w:pStyle w:val="TableText"/>
            </w:pPr>
            <w:r>
              <w:t>Platform admin</w:t>
            </w:r>
          </w:p>
        </w:tc>
        <w:tc>
          <w:tcPr>
            <w:tcW w:type="dxa" w:w="3760"/>
          </w:tcPr>
          <w:p>
            <w:pPr>
              <w:pStyle w:val="TableText"/>
            </w:pPr>
            <w:r>
              <w:t>Approvals and suspensions</w:t>
            </w:r>
          </w:p>
        </w:tc>
      </w:tr>
      <w:tr>
        <w:trPr>
          <w:cantSplit/>
        </w:trPr>
        <w:tc>
          <w:tcPr>
            <w:tcW w:type="dxa" w:w="3600"/>
          </w:tcPr>
          <w:p>
            <w:pPr>
              <w:pStyle w:val="TableText"/>
            </w:pPr>
            <w:r>
              <w:t>/settings/privacy</w:t>
            </w:r>
          </w:p>
        </w:tc>
        <w:tc>
          <w:tcPr>
            <w:tcW w:type="dxa" w:w="2000"/>
          </w:tcPr>
          <w:p>
            <w:pPr>
              <w:pStyle w:val="TableText"/>
            </w:pPr>
            <w:r>
              <w:t>Authenticated</w:t>
            </w:r>
          </w:p>
        </w:tc>
        <w:tc>
          <w:tcPr>
            <w:tcW w:type="dxa" w:w="3760"/>
          </w:tcPr>
          <w:p>
            <w:pPr>
              <w:pStyle w:val="TableText"/>
            </w:pPr>
            <w:r>
              <w:t>Sharing and correction controls</w:t>
            </w:r>
          </w:p>
        </w:tc>
      </w:tr>
    </w:tbl>
    <w:p>
      <w:pPr>
        <w:pStyle w:val="TableSource"/>
      </w:pPr>
    </w:p>
    <w:p>
      <w:pPr/>
      <w:r>
        <w:t>UI routes are distinct from /api/v1 resource endpoints. A user with several memberships receives a workspace switcher populated only by server-authorized memberships.</w:t>
      </w:r>
    </w:p>
    <w:p>
      <w:pPr>
        <w:pStyle w:val="Heading2"/>
      </w:pPr>
      <w:r>
        <w:t>3. Student home</w:t>
      </w:r>
    </w:p>
    <w:p>
      <w:pPr/>
      <w:r>
        <w:t>Start with “Your next step” rather than a grid of decorative totals. Show one recommended challenge linked to a selected target opportunity, the student's latest review and active applications. An empty account sees “Add your first evidence” and a beginner-friendly challenge. Recommendations must explain why they appear. A student may dismiss the recommendation or change their target.</w:t>
      </w:r>
    </w:p>
    <w:p>
      <w:pPr/>
      <w:r>
        <w:t>The evidence passport groups reviewed skills, self-declared skills and evidence awaiting review. Each row shows skill, level, evidence count and date. Selecting a skill opens an evidence drawer with rubric result, reviewer and contribution statement. A review badge reads “Reviewed by [name] on [date]”; avoid a generic green check suggesting identity or official accreditation.</w:t>
      </w:r>
    </w:p>
    <w:p>
      <w:pPr>
        <w:pStyle w:val="Heading2"/>
      </w:pPr>
      <w:r>
        <w:t>4. Opportunity detail</w:t>
      </w:r>
    </w:p>
    <w:p>
      <w:pPr/>
      <w:r>
        <w:t>Desktop uses a main content area and a narrow action sidebar. Show title, employer approval status, compensation disclosure, work mode, deadline, requirements and application status. The coverage panel shows reviewed coverage, unknown/undemonstrated skills and per-skill contributions. “How this is calculated” expands the formula and version.</w:t>
      </w:r>
    </w:p>
    <w:p>
      <w:pPr/>
      <w:r>
        <w:t>The primary action is Apply while open; after application it becomes View application. A secondary action opens a challenge related to an unmet skill. The application confirmation lists selected evidence and employer access before the student submits. Do not imply that a high coverage score guarantees eligibility or selection.</w:t>
      </w:r>
    </w:p>
    <w:p>
      <w:pPr>
        <w:pStyle w:val="Heading2"/>
      </w:pPr>
      <w:r>
        <w:t>5. Challenge workspace</w:t>
      </w:r>
    </w:p>
    <w:p>
      <w:pPr/>
      <w:r>
        <w:t>Present brief, time estimate, permitted tools/AI use, deliverables, rubric, review expectations and deadline before the editor. The P0 editor supports text and explicit HTTPS links. A contribution statement asks what the student did, what help they used and what they would improve. Draft save is explicit and displays the last confirmed save time. Local unsaved text warning appears before navigation.</w:t>
      </w:r>
    </w:p>
    <w:p>
      <w:pPr/>
      <w:r>
        <w:t>Final submission opens a confirmation explaining that this revision is locked and human review is required. On timeout, check submission state before retrying. A changes-requested state opens a new revision while preserving earlier work. An unavailable reviewer state tells the student that the submission is waiting; it never fabricates feedback.</w:t>
      </w:r>
    </w:p>
    <w:p>
      <w:pPr>
        <w:pStyle w:val="Heading2"/>
      </w:pPr>
      <w:r>
        <w:t>6. Reviewer workspace</w:t>
      </w:r>
    </w:p>
    <w:p>
      <w:pPr/>
      <w:r>
        <w:t>The queue sorts by due date and waiting time. The detail screen places evidence and rubric side by side at desktop widths, stacked on mobile. Each criterion has a level selector with anchors and a rationale field. Missing criteria are clearly marked. Draft save does not publish. Publish review displays the assessment summary and requires deliberate confirmation because it changes evidence records.</w:t>
      </w:r>
    </w:p>
    <w:p>
      <w:pPr/>
      <w:r>
        <w:t>Show declared conflicts and a Decline assignment action. A reviewer cannot review their own work. Two reviewers publishing the same assignment should produce one success and one conflict response; the second screen refreshes rather than silently overwriting.</w:t>
      </w:r>
    </w:p>
    <w:p>
      <w:pPr>
        <w:pStyle w:val="Heading2"/>
      </w:pPr>
      <w:r>
        <w:t>7. Employer and college screens</w:t>
      </w:r>
    </w:p>
    <w:p>
      <w:pPr/>
      <w:r>
        <w:t>Applicant rows show candidate display name, status, reviewed coverage, evidence count and application date. Use explicit column sorting and a stable tie-breaker. Selecting a candidate opens the submitted evidence snapshot alongside current warnings. Stage changes require a reason where appropriate and display a timeline.</w:t>
      </w:r>
    </w:p>
    <w:p>
      <w:pPr/>
      <w:r>
        <w:t>The institution view shows cohort selector, selected opportunity sample, reporting window and student count. Skill gaps appear as a sortable table with counts and percentages, not a decorative radar chart. Selecting SQL shows required levels and the anonymized distribution. Small groups are suppressed outside demo mode. P1 adds “Propose intervention”; do not show a dead button in P0.</w:t>
      </w:r>
    </w:p>
    <w:p>
      <w:pPr>
        <w:pStyle w:val="Heading2"/>
      </w:pPr>
      <w:r>
        <w:t>8. Component inventory</w:t>
      </w:r>
    </w:p>
    <w:p>
      <w:pPr/>
      <w:r>
        <w:t>AppShell, WorkspaceSwitcher, PageHeader, EmptyState, ErrorState, PendingButton, SkillEvidenceRow, EvidenceDrawer, CoverageBreakdown, ChallengeBrief, RubricEditor, ReviewSummary, ApplicationTimeline, CandidateTable, CohortGapTable, ConsentDialog and AuditReasonDialog. Each component documents input types, keyboard behavior, loading state and permission assumptions.</w:t>
      </w:r>
    </w:p>
    <w:p>
      <w:pPr>
        <w:pStyle w:val="Heading2"/>
      </w:pPr>
      <w:r>
        <w:t>9. State and request behavior</w:t>
      </w:r>
    </w:p>
    <w:p>
      <w:pPr/>
      <w:r>
        <w:t>Use query keys that include active organization and object ID. Clear sensitive cached data on logout and workspace change. Invalidate passport and match queries after review publication; invalidate application lists after submission or stage changes. Do not optimistically increase reviewed coverage or mark an offer accepted before server confirmation.</w:t>
      </w:r>
    </w:p>
    <w:p>
      <w:pPr/>
      <w:r>
        <w:t>Validation uses shared schemas for immediate feedback, but server validation remains authoritative. Dates are stored as UTC and rendered in the user's configured zone with the zone visible near deadlines. Monetary values are integer minor units with ISO currency; compensation can also be explicitly unspecified. Avoid floating-point price inputs in stored payloads.</w:t>
      </w:r>
    </w:p>
    <w:p>
      <w:pPr>
        <w:pStyle w:val="Heading2"/>
      </w:pPr>
      <w:r>
        <w:t>10. Responsive and accessibility behavior</w:t>
      </w:r>
    </w:p>
    <w:p>
      <w:pPr/>
      <w:r>
        <w:t>At 360 px, use stacked cards and a compact navigation menu; tables offer a readable card equivalent or controlled scroll with sticky identification. At 768 px, collapse secondary navigation. At 1280 px, show the full workspace and side panels. Avoid hover-only actions. Restore focus after dialogs, announce save/error status and associate every input with a label. Respect reduced-motion preferences. Design toward WCAG 2.2 AA and verify relevant criteria rather than claiming certification. [S8]</w:t>
      </w:r>
    </w:p>
    <w:p>
      <w:pPr>
        <w:pStyle w:val="Heading2"/>
      </w:pPr>
      <w:r>
        <w:t>11. Frontend completion checks</w:t>
      </w:r>
    </w:p>
    <w:p>
      <w:pPr/>
      <w:r>
        <w:t>Every route has loading, empty, permission-denied, error and success behavior. Refresh preserves finalized work. Back/forward navigation does not resubmit forms. Long names, long feedback and narrow screens remain readable. Role switches do not leak prior cached data. The real API drives the final demo. Mock fixtures are confined to development or labeled demo seed data.</w:t>
      </w:r>
    </w:p>
    <w:p>
      <w:r>
        <w:br w:type="page"/>
      </w:r>
    </w:p>
    <w:p>
      <w:pPr>
        <w:pStyle w:val="Heading1"/>
      </w:pPr>
      <w:r>
        <w:t>Backend specification</w:t>
      </w:r>
    </w:p>
    <w:p>
      <w:pPr>
        <w:pStyle w:val="Heading2"/>
      </w:pPr>
      <w:r>
        <w:t>1. Request lifecycle</w:t>
      </w:r>
    </w:p>
    <w:p>
      <w:pPr/>
      <w:r>
        <w:t>Each /api/v1 request receives a request ID, verifies authentication, resolves current membership, parses a strict schema, loads the target object's scope, checks authorization, executes domain logic and returns a bounded response. Reject unknown privileged fields such as reviewer_id, student_id or approval_status when those values must be derived from the session. Never trust client-calculated scores.</w:t>
      </w:r>
    </w:p>
    <w:p>
      <w:pPr/>
      <w:r>
        <w:t>Use same-origin secure session cookies for the web application. Validate Origin on state-changing requests and use a CSRF token where the session integration requires one. Reject unauthorized cross-origin credentialed access. Session verification follows the selected Supabase SSR integration; server authorization must use verified identity rather than trusting unvalidated cookie contents. [S5]</w:t>
      </w:r>
    </w:p>
    <w:p>
      <w:pPr>
        <w:pStyle w:val="Heading2"/>
      </w:pPr>
      <w:r>
        <w:t>2. Service contracts</w:t>
      </w:r>
    </w:p>
    <w:p>
      <w:pPr/>
      <w:r>
        <w:t>IdentityService: resolveActor(session), listMemberships(actor), requireMembership(actor, org, role). OpportunityService: createDraft, updateDraft, publish, close. EvidenceService: saveDraftRevision, finalizeSubmission, listAccessibleEvidence. ReviewService: saveReviewDraft, publishReview, voidReview. MatchingService: calculateCoverage(student, opportunity, optionalSharedEvidenceSet). ApplicationService: apply, transition, withdraw. InsightsService: cohortGaps and pipelineCounts with enforced institution scope.</w:t>
      </w:r>
    </w:p>
    <w:p>
      <w:pPr/>
      <w:r>
        <w:t>Return domain errors from services rather than HTTP responses; route handlers map them to the standard error envelope. Keep the scoring function pure and deterministic. Database access belongs to repositories or SQL functions, not React components.</w:t>
      </w:r>
    </w:p>
    <w:p>
      <w:pPr>
        <w:pStyle w:val="Heading2"/>
      </w:pPr>
      <w:r>
        <w:t>3. Sensitive database functions</w:t>
      </w:r>
    </w:p>
    <w:p>
      <w:pPr/>
      <w:r>
        <w:t>publish_opportunity checks actor membership, employer approval, valid requirements and weight sum, then writes publication and audit event. finalize_submission validates ownership, deadline, audience, rubric version and nonempty work; locks the selected draft and sets submitted_at. publish_review validates assignment and complete criterion scores; publishes review, skill attainments and outbox atomically. submit_application checks audience and evidence sharing; writes snapshot, status and grants. transition_application enforces actor-specific transitions and expected version; withdrawal revokes grants. void_review records reason and removes attainments from live eligibility.</w:t>
      </w:r>
    </w:p>
    <w:p>
      <w:pPr/>
      <w:r>
        <w:t>For functions needing elevated execution, set a fixed search_path, schema-qualify references, revoke broad execution, derive auth.uid() inside the function and validate all target relationships. Elevated execution is not a replacement for authorization. Client roles cannot directly insert published reviews or skill attainments. Keep draft writes separately permissioned.</w:t>
      </w:r>
    </w:p>
    <w:p>
      <w:pPr>
        <w:pStyle w:val="Heading2"/>
      </w:pPr>
      <w:r>
        <w:t>4. Concurrency and idempotency</w:t>
      </w:r>
    </w:p>
    <w:p>
      <w:pPr/>
      <w:r>
        <w:t>Mutable aggregates carry integer version starting at 1. PATCH and transitions include expected_version. Database updates match id AND version; no match returns VERSION_CONFLICT. Publication/submit endpoints accept Idempotency-Key scoped to actor and operation. Store request hash and response reference for 24 hours as a proposed operational default. Reuse with the same payload returns the previous result; reuse with different content returns 409.</w:t>
      </w:r>
    </w:p>
    <w:p>
      <w:pPr/>
      <w:r>
        <w:t>Unique constraints enforce one application per student/opportunity and one published review per submission revision/assignment. Lock the relevant row during publication. Network retries must not create duplicate attainments, notifications or status events. Keep transaction scope short and avoid AI/network calls inside transactions.</w:t>
      </w:r>
    </w:p>
    <w:p>
      <w:pPr>
        <w:pStyle w:val="Heading2"/>
      </w:pPr>
      <w:r>
        <w:t>5. Validation rules</w:t>
      </w:r>
    </w:p>
    <w:p>
      <w:pPr/>
      <w:r>
        <w:t>UUID identifiers, allowlisted enums, text length bounds and parameterized database queries are mandatory. Proposed limits: title 160 characters, description 12,000, evidence explanation 20,000, contribution statement 4,000, feedback per criterion 2,000; at most 10 reference links and 20 role skills. Only HTTPS URLs with a hostname are allowed in P0. Reject embedded credentials and javascript/data/file schemes. No backend fetching means link content is neither imported nor validated as trustworthy.</w:t>
      </w:r>
    </w:p>
    <w:p>
      <w:pPr/>
      <w:r>
        <w:t>Published rubrics contain one criterion per mapped skill for P0, with four anchored proficiency levels. Weights are positive integer percentages totaling 100. Reject duplicate skill IDs in requirements or rubric mappings. Deadlines use database/server UTC time. Drafts may omit required fields; publication may not.</w:t>
      </w:r>
    </w:p>
    <w:p>
      <w:pPr>
        <w:pStyle w:val="Heading2"/>
      </w:pPr>
      <w:r>
        <w:t>6. Background work</w:t>
      </w:r>
    </w:p>
    <w:p>
      <w:pPr/>
      <w:r>
        <w:t>P0 can display in-app notifications directly from outbox-derived records. If a dispatcher is implemented, lease pending events, process with bounded retries and deduplicate by event_id plus recipient. Proposed retry delays are 1, 5 and 30 minutes before a failed state for operator inspection. Core transactions are successful independently of notification delivery.</w:t>
      </w:r>
    </w:p>
    <w:p>
      <w:pPr/>
      <w:r>
        <w:t>P1 AI jobs have queued/running/succeeded/failed/cancelled states, a timeout, input digest and prompt/model version. Store only necessary redacted inputs and remove them according to retention. Human approval precedes publication. Do not let a model call privileged database functions.</w:t>
      </w:r>
    </w:p>
    <w:p>
      <w:pPr>
        <w:pStyle w:val="Heading2"/>
      </w:pPr>
      <w:r>
        <w:t>7. Matching and snapshots</w:t>
      </w:r>
    </w:p>
    <w:p>
      <w:pPr/>
      <w:r>
        <w:t>Live student matches use all currently active reviewed attainments owned by that student. Application snapshots calculate coverage using only the reviewed evidence the student selected to share. A student may therefore see a lower submitted score if they withhold evidence; show this before confirmation. The employer receives the snapshot, not unrestricted access to future private work.</w:t>
      </w:r>
    </w:p>
    <w:p>
      <w:pPr/>
      <w:r>
        <w:t>Store opportunity version, scoring version, selected attainment IDs, contribution breakdown, calculation timestamp and total. Keep history immutable. If a review is voided, flag dependent snapshots and recompute a separately labeled current coverage if access permits. Never rewrite the historical score without explaining the correction.</w:t>
      </w:r>
    </w:p>
    <w:p>
      <w:pPr>
        <w:pStyle w:val="Heading2"/>
      </w:pPr>
      <w:r>
        <w:t>8. Reports</w:t>
      </w:r>
    </w:p>
    <w:p>
      <w:pPr/>
      <w:r>
        <w:t>Institution reports filter by active enrolled participants, selected published opportunities and reporting window. For a skill, a gap means the student's active reviewed level is below the role's required level. Count a student once per skill using the maximum requirement among the selected opportunities; disclose that aggregation rule. Show opportunities_count and students_count. Missing data is distinct from a reviewed level below threshold.</w:t>
      </w:r>
    </w:p>
    <w:p>
      <w:pPr/>
      <w:r>
        <w:t>Production groups below five are suppressed. Demo mode allows synthetic small-sample display only with synthetic data and a visible banner. Do not expose raw student rows through an aggregate endpoint. CSV exports, if added later, sanitize formula-like cell prefixes and require separate authorization.</w:t>
      </w:r>
    </w:p>
    <w:p>
      <w:pPr>
        <w:pStyle w:val="Heading2"/>
      </w:pPr>
      <w:r>
        <w:t>9. Logging and operations</w:t>
      </w:r>
    </w:p>
    <w:p>
      <w:pPr/>
      <w:r>
        <w:t>Log request ID, endpoint, status, duration, scoped actor ID and error code. Do not log passwords, bearer tokens, evidence contents or contact details. Audit events record actor, action, object, time, reason and minimal changed fields. Use structured errors with safe user messages and detailed internal diagnostics. Add health checks that reveal no secrets.</w:t>
      </w:r>
    </w:p>
    <w:p>
      <w:pPr>
        <w:pStyle w:val="Heading2"/>
      </w:pPr>
      <w:r>
        <w:t>10. Backend definition of done</w:t>
      </w:r>
    </w:p>
    <w:p>
      <w:pPr/>
      <w:r>
        <w:t>Schema migrations and seed fixtures run from a clean database. All mutation paths enforce their domain rules inside the authoritative server/database boundary. RLS tests deny unauthorized reads and writes through direct database APIs as well as application routes. Review and application transactions roll back on injected failure. Optional integrations cannot block the core workflow.</w:t>
      </w:r>
    </w:p>
    <w:p>
      <w:r>
        <w:br w:type="page"/>
      </w:r>
    </w:p>
    <w:p>
      <w:pPr>
        <w:pStyle w:val="Heading1"/>
      </w:pPr>
      <w:r>
        <w:t>Database model and authorization design</w:t>
      </w:r>
    </w:p>
    <w:p>
      <w:pPr>
        <w:pStyle w:val="Heading2"/>
      </w:pPr>
      <w:r>
        <w:t>1. Conventions</w:t>
      </w:r>
    </w:p>
    <w:p>
      <w:pPr/>
      <w:r>
        <w:t>Use PostgreSQL UUID primary keys, timestamptz timestamps in UTC and snake_case names. Foreign keys are indexed where used for joins or policies. Mutable rows use version integer NOT NULL DEFAULT 1. Core records include created_at and updated_at. Sensitive history is immutable through ordinary application permissions. This is a logical schema and migration specification, not executable migration code.</w:t>
      </w:r>
    </w:p>
    <w:p>
      <w:pPr/>
      <w:r>
        <w:t>Use CHECK constraints for enums and numeric ranges, NOT NULL for required data and unique constraints for business identities. JSONB is reserved for immutable snapshots, rubric anchors and bounded metadata; do not place query-critical ownership or relationships solely inside JSON.</w:t>
      </w:r>
    </w:p>
    <w:p>
      <w:pPr>
        <w:pStyle w:val="Heading2"/>
      </w:pPr>
      <w:r>
        <w:t>2. Identity and organization entities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2300"/>
        <w:gridCol w:w="4400"/>
        <w:gridCol w:w="2660"/>
      </w:tblGrid>
      <w:tr>
        <w:trPr>
          <w:cantSplit/>
          <w:tblHeader/>
        </w:trPr>
        <w:tc>
          <w:tcPr>
            <w:tcW w:type="dxa" w:w="2300"/>
            <w:shd w:fill="E8EEF5"/>
          </w:tcPr>
          <w:p>
            <w:pPr>
              <w:pStyle w:val="TableText"/>
            </w:pPr>
            <w:r>
              <w:rPr>
                <w:b/>
              </w:rPr>
              <w:t>Table</w:t>
            </w:r>
          </w:p>
        </w:tc>
        <w:tc>
          <w:tcPr>
            <w:tcW w:type="dxa" w:w="4400"/>
            <w:shd w:fill="E8EEF5"/>
          </w:tcPr>
          <w:p>
            <w:pPr>
              <w:pStyle w:val="TableText"/>
            </w:pPr>
            <w:r>
              <w:rPr>
                <w:b/>
              </w:rPr>
              <w:t>Essential fields</w:t>
            </w:r>
          </w:p>
        </w:tc>
        <w:tc>
          <w:tcPr>
            <w:tcW w:type="dxa" w:w="2660"/>
            <w:shd w:fill="E8EEF5"/>
          </w:tcPr>
          <w:p>
            <w:pPr>
              <w:pStyle w:val="TableText"/>
            </w:pPr>
            <w:r>
              <w:rPr>
                <w:b/>
              </w:rPr>
              <w:t>Constraints</w:t>
            </w:r>
          </w:p>
        </w:tc>
      </w:tr>
      <w:tr>
        <w:trPr>
          <w:cantSplit/>
        </w:trPr>
        <w:tc>
          <w:tcPr>
            <w:tcW w:type="dxa" w:w="2300"/>
          </w:tcPr>
          <w:p>
            <w:pPr>
              <w:pStyle w:val="TableText"/>
            </w:pPr>
            <w:r>
              <w:t>profiles</w:t>
            </w:r>
          </w:p>
        </w:tc>
        <w:tc>
          <w:tcPr>
            <w:tcW w:type="dxa" w:w="4400"/>
          </w:tcPr>
          <w:p>
            <w:pPr>
              <w:pStyle w:val="TableText"/>
            </w:pPr>
            <w:r>
              <w:t>id FK auth.users, display_name, timezone</w:t>
            </w:r>
          </w:p>
        </w:tc>
        <w:tc>
          <w:tcPr>
            <w:tcW w:type="dxa" w:w="2660"/>
          </w:tcPr>
          <w:p>
            <w:pPr>
              <w:pStyle w:val="TableText"/>
            </w:pPr>
            <w:r>
              <w:t>PK id</w:t>
            </w:r>
          </w:p>
        </w:tc>
      </w:tr>
      <w:tr>
        <w:trPr>
          <w:cantSplit/>
        </w:trPr>
        <w:tc>
          <w:tcPr>
            <w:tcW w:type="dxa" w:w="2300"/>
          </w:tcPr>
          <w:p>
            <w:pPr>
              <w:pStyle w:val="TableText"/>
            </w:pPr>
            <w:r>
              <w:t>organizations</w:t>
            </w:r>
          </w:p>
        </w:tc>
        <w:tc>
          <w:tcPr>
            <w:tcW w:type="dxa" w:w="4400"/>
          </w:tcPr>
          <w:p>
            <w:pPr>
              <w:pStyle w:val="TableText"/>
            </w:pPr>
            <w:r>
              <w:t>id, kind, name, status</w:t>
            </w:r>
          </w:p>
        </w:tc>
        <w:tc>
          <w:tcPr>
            <w:tcW w:type="dxa" w:w="2660"/>
          </w:tcPr>
          <w:p>
            <w:pPr>
              <w:pStyle w:val="TableText"/>
            </w:pPr>
            <w:r>
              <w:t>kind institution/employer; approval enum</w:t>
            </w:r>
          </w:p>
        </w:tc>
      </w:tr>
      <w:tr>
        <w:trPr>
          <w:cantSplit/>
        </w:trPr>
        <w:tc>
          <w:tcPr>
            <w:tcW w:type="dxa" w:w="2300"/>
          </w:tcPr>
          <w:p>
            <w:pPr>
              <w:pStyle w:val="TableText"/>
            </w:pPr>
            <w:r>
              <w:t>memberships</w:t>
            </w:r>
          </w:p>
        </w:tc>
        <w:tc>
          <w:tcPr>
            <w:tcW w:type="dxa" w:w="4400"/>
          </w:tcPr>
          <w:p>
            <w:pPr>
              <w:pStyle w:val="TableText"/>
            </w:pPr>
            <w:r>
              <w:t>id, org_id, user_id, role, status</w:t>
            </w:r>
          </w:p>
        </w:tc>
        <w:tc>
          <w:tcPr>
            <w:tcW w:type="dxa" w:w="2660"/>
          </w:tcPr>
          <w:p>
            <w:pPr>
              <w:pStyle w:val="TableText"/>
            </w:pPr>
            <w:r>
              <w:t>unique org/user/role</w:t>
            </w:r>
          </w:p>
        </w:tc>
      </w:tr>
      <w:tr>
        <w:trPr>
          <w:cantSplit/>
        </w:trPr>
        <w:tc>
          <w:tcPr>
            <w:tcW w:type="dxa" w:w="2300"/>
          </w:tcPr>
          <w:p>
            <w:pPr>
              <w:pStyle w:val="TableText"/>
            </w:pPr>
            <w:r>
              <w:t>student_profiles</w:t>
            </w:r>
          </w:p>
        </w:tc>
        <w:tc>
          <w:tcPr>
            <w:tcW w:type="dxa" w:w="4400"/>
          </w:tcPr>
          <w:p>
            <w:pPr>
              <w:pStyle w:val="TableText"/>
            </w:pPr>
            <w:r>
              <w:t>user_id, headline, program, graduation_year</w:t>
            </w:r>
          </w:p>
        </w:tc>
        <w:tc>
          <w:tcPr>
            <w:tcW w:type="dxa" w:w="2660"/>
          </w:tcPr>
          <w:p>
            <w:pPr>
              <w:pStyle w:val="TableText"/>
            </w:pPr>
            <w:r>
              <w:t>PK/FK user_id</w:t>
            </w:r>
          </w:p>
        </w:tc>
      </w:tr>
      <w:tr>
        <w:trPr>
          <w:cantSplit/>
        </w:trPr>
        <w:tc>
          <w:tcPr>
            <w:tcW w:type="dxa" w:w="2300"/>
          </w:tcPr>
          <w:p>
            <w:pPr>
              <w:pStyle w:val="TableText"/>
            </w:pPr>
            <w:r>
              <w:t>enrollments</w:t>
            </w:r>
          </w:p>
        </w:tc>
        <w:tc>
          <w:tcPr>
            <w:tcW w:type="dxa" w:w="4400"/>
          </w:tcPr>
          <w:p>
            <w:pPr>
              <w:pStyle w:val="TableText"/>
            </w:pPr>
            <w:r>
              <w:t>id, student_id, institution_id, status, consent_at</w:t>
            </w:r>
          </w:p>
        </w:tc>
        <w:tc>
          <w:tcPr>
            <w:tcW w:type="dxa" w:w="2660"/>
          </w:tcPr>
          <w:p>
            <w:pPr>
              <w:pStyle w:val="TableText"/>
            </w:pPr>
            <w:r>
              <w:t>one active institution/student in P0</w:t>
            </w:r>
          </w:p>
        </w:tc>
      </w:tr>
      <w:tr>
        <w:trPr>
          <w:cantSplit/>
        </w:trPr>
        <w:tc>
          <w:tcPr>
            <w:tcW w:type="dxa" w:w="2300"/>
          </w:tcPr>
          <w:p>
            <w:pPr>
              <w:pStyle w:val="TableText"/>
            </w:pPr>
            <w:r>
              <w:t>platform_admins</w:t>
            </w:r>
          </w:p>
        </w:tc>
        <w:tc>
          <w:tcPr>
            <w:tcW w:type="dxa" w:w="4400"/>
          </w:tcPr>
          <w:p>
            <w:pPr>
              <w:pStyle w:val="TableText"/>
            </w:pPr>
            <w:r>
              <w:t>user_id, granted_by, granted_at</w:t>
            </w:r>
          </w:p>
        </w:tc>
        <w:tc>
          <w:tcPr>
            <w:tcW w:type="dxa" w:w="2660"/>
          </w:tcPr>
          <w:p>
            <w:pPr>
              <w:pStyle w:val="TableText"/>
            </w:pPr>
            <w:r>
              <w:t>privileged administration only</w:t>
            </w:r>
          </w:p>
        </w:tc>
      </w:tr>
    </w:tbl>
    <w:p>
      <w:pPr>
        <w:pStyle w:val="TableSource"/>
      </w:pPr>
    </w:p>
    <w:p>
      <w:pPr/>
      <w:r>
        <w:t>Organization kind and membership role must be compatible: employer recruiters cannot be inserted as institution coordinators. Enforce in controlled membership functions. Student enrollment is not a recruiter membership. Institution consent does not expose evidence bodies by default.</w:t>
      </w:r>
    </w:p>
    <w:p>
      <w:pPr>
        <w:pStyle w:val="Heading2"/>
      </w:pPr>
      <w:r>
        <w:t>3. Skills and publication entities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2300"/>
        <w:gridCol w:w="4400"/>
        <w:gridCol w:w="2660"/>
      </w:tblGrid>
      <w:tr>
        <w:trPr>
          <w:cantSplit/>
          <w:tblHeader/>
        </w:trPr>
        <w:tc>
          <w:tcPr>
            <w:tcW w:type="dxa" w:w="2300"/>
            <w:shd w:fill="E8EEF5"/>
          </w:tcPr>
          <w:p>
            <w:pPr>
              <w:pStyle w:val="TableText"/>
            </w:pPr>
            <w:r>
              <w:rPr>
                <w:b/>
              </w:rPr>
              <w:t>Table</w:t>
            </w:r>
          </w:p>
        </w:tc>
        <w:tc>
          <w:tcPr>
            <w:tcW w:type="dxa" w:w="4400"/>
            <w:shd w:fill="E8EEF5"/>
          </w:tcPr>
          <w:p>
            <w:pPr>
              <w:pStyle w:val="TableText"/>
            </w:pPr>
            <w:r>
              <w:rPr>
                <w:b/>
              </w:rPr>
              <w:t>Essential fields</w:t>
            </w:r>
          </w:p>
        </w:tc>
        <w:tc>
          <w:tcPr>
            <w:tcW w:type="dxa" w:w="2660"/>
            <w:shd w:fill="E8EEF5"/>
          </w:tcPr>
          <w:p>
            <w:pPr>
              <w:pStyle w:val="TableText"/>
            </w:pPr>
            <w:r>
              <w:rPr>
                <w:b/>
              </w:rPr>
              <w:t>Constraints</w:t>
            </w:r>
          </w:p>
        </w:tc>
      </w:tr>
      <w:tr>
        <w:trPr>
          <w:cantSplit/>
        </w:trPr>
        <w:tc>
          <w:tcPr>
            <w:tcW w:type="dxa" w:w="2300"/>
          </w:tcPr>
          <w:p>
            <w:pPr>
              <w:pStyle w:val="TableText"/>
            </w:pPr>
            <w:r>
              <w:t>skills</w:t>
            </w:r>
          </w:p>
        </w:tc>
        <w:tc>
          <w:tcPr>
            <w:tcW w:type="dxa" w:w="4400"/>
          </w:tcPr>
          <w:p>
            <w:pPr>
              <w:pStyle w:val="TableText"/>
            </w:pPr>
            <w:r>
              <w:t>id, slug, name, category, active</w:t>
            </w:r>
          </w:p>
        </w:tc>
        <w:tc>
          <w:tcPr>
            <w:tcW w:type="dxa" w:w="2660"/>
          </w:tcPr>
          <w:p>
            <w:pPr>
              <w:pStyle w:val="TableText"/>
            </w:pPr>
            <w:r>
              <w:t>unique slug</w:t>
            </w:r>
          </w:p>
        </w:tc>
      </w:tr>
      <w:tr>
        <w:trPr>
          <w:cantSplit/>
        </w:trPr>
        <w:tc>
          <w:tcPr>
            <w:tcW w:type="dxa" w:w="2300"/>
          </w:tcPr>
          <w:p>
            <w:pPr>
              <w:pStyle w:val="TableText"/>
            </w:pPr>
            <w:r>
              <w:t>skill_aliases</w:t>
            </w:r>
          </w:p>
        </w:tc>
        <w:tc>
          <w:tcPr>
            <w:tcW w:type="dxa" w:w="4400"/>
          </w:tcPr>
          <w:p>
            <w:pPr>
              <w:pStyle w:val="TableText"/>
            </w:pPr>
            <w:r>
              <w:t>id, skill_id, normalized_alias</w:t>
            </w:r>
          </w:p>
        </w:tc>
        <w:tc>
          <w:tcPr>
            <w:tcW w:type="dxa" w:w="2660"/>
          </w:tcPr>
          <w:p>
            <w:pPr>
              <w:pStyle w:val="TableText"/>
            </w:pPr>
            <w:r>
              <w:t>unique normalized_alias</w:t>
            </w:r>
          </w:p>
        </w:tc>
      </w:tr>
      <w:tr>
        <w:trPr>
          <w:cantSplit/>
        </w:trPr>
        <w:tc>
          <w:tcPr>
            <w:tcW w:type="dxa" w:w="2300"/>
          </w:tcPr>
          <w:p>
            <w:pPr>
              <w:pStyle w:val="TableText"/>
            </w:pPr>
            <w:r>
              <w:t>declared_skills</w:t>
            </w:r>
          </w:p>
        </w:tc>
        <w:tc>
          <w:tcPr>
            <w:tcW w:type="dxa" w:w="4400"/>
          </w:tcPr>
          <w:p>
            <w:pPr>
              <w:pStyle w:val="TableText"/>
            </w:pPr>
            <w:r>
              <w:t>student_id, skill_id, claimed_level</w:t>
            </w:r>
          </w:p>
        </w:tc>
        <w:tc>
          <w:tcPr>
            <w:tcW w:type="dxa" w:w="2660"/>
          </w:tcPr>
          <w:p>
            <w:pPr>
              <w:pStyle w:val="TableText"/>
            </w:pPr>
            <w:r>
              <w:t>unique student/skill; level 1–4</w:t>
            </w:r>
          </w:p>
        </w:tc>
      </w:tr>
      <w:tr>
        <w:trPr>
          <w:cantSplit/>
        </w:trPr>
        <w:tc>
          <w:tcPr>
            <w:tcW w:type="dxa" w:w="2300"/>
          </w:tcPr>
          <w:p>
            <w:pPr>
              <w:pStyle w:val="TableText"/>
            </w:pPr>
            <w:r>
              <w:t>opportunities</w:t>
            </w:r>
          </w:p>
        </w:tc>
        <w:tc>
          <w:tcPr>
            <w:tcW w:type="dxa" w:w="4400"/>
          </w:tcPr>
          <w:p>
            <w:pPr>
              <w:pStyle w:val="TableText"/>
            </w:pPr>
            <w:r>
              <w:t>id, employer_org_id, title, description, status, deadline, work_mode, compensation_kind, amount_minor, currency, duration_text, version</w:t>
            </w:r>
          </w:p>
        </w:tc>
        <w:tc>
          <w:tcPr>
            <w:tcW w:type="dxa" w:w="2660"/>
          </w:tcPr>
          <w:p>
            <w:pPr>
              <w:pStyle w:val="TableText"/>
            </w:pPr>
            <w:r>
              <w:t>publication constraints</w:t>
            </w:r>
          </w:p>
        </w:tc>
      </w:tr>
      <w:tr>
        <w:trPr>
          <w:cantSplit/>
        </w:trPr>
        <w:tc>
          <w:tcPr>
            <w:tcW w:type="dxa" w:w="2300"/>
          </w:tcPr>
          <w:p>
            <w:pPr>
              <w:pStyle w:val="TableText"/>
            </w:pPr>
            <w:r>
              <w:t>opportunity_audiences</w:t>
            </w:r>
          </w:p>
        </w:tc>
        <w:tc>
          <w:tcPr>
            <w:tcW w:type="dxa" w:w="4400"/>
          </w:tcPr>
          <w:p>
            <w:pPr>
              <w:pStyle w:val="TableText"/>
            </w:pPr>
            <w:r>
              <w:t>opportunity_id, institution_id</w:t>
            </w:r>
          </w:p>
        </w:tc>
        <w:tc>
          <w:tcPr>
            <w:tcW w:type="dxa" w:w="2660"/>
          </w:tcPr>
          <w:p>
            <w:pPr>
              <w:pStyle w:val="TableText"/>
            </w:pPr>
            <w:r>
              <w:t>unique pair</w:t>
            </w:r>
          </w:p>
        </w:tc>
      </w:tr>
      <w:tr>
        <w:trPr>
          <w:cantSplit/>
        </w:trPr>
        <w:tc>
          <w:tcPr>
            <w:tcW w:type="dxa" w:w="2300"/>
          </w:tcPr>
          <w:p>
            <w:pPr>
              <w:pStyle w:val="TableText"/>
            </w:pPr>
            <w:r>
              <w:t>opportunity_skills</w:t>
            </w:r>
          </w:p>
        </w:tc>
        <w:tc>
          <w:tcPr>
            <w:tcW w:type="dxa" w:w="4400"/>
          </w:tcPr>
          <w:p>
            <w:pPr>
              <w:pStyle w:val="TableText"/>
            </w:pPr>
            <w:r>
              <w:t>opportunity_id, skill_id, required_level, weight</w:t>
            </w:r>
          </w:p>
        </w:tc>
        <w:tc>
          <w:tcPr>
            <w:tcW w:type="dxa" w:w="2660"/>
          </w:tcPr>
          <w:p>
            <w:pPr>
              <w:pStyle w:val="TableText"/>
            </w:pPr>
            <w:r>
              <w:t>unique pair; level 1–4, weight 1–100</w:t>
            </w:r>
          </w:p>
        </w:tc>
      </w:tr>
      <w:tr>
        <w:trPr>
          <w:cantSplit/>
        </w:trPr>
        <w:tc>
          <w:tcPr>
            <w:tcW w:type="dxa" w:w="2300"/>
          </w:tcPr>
          <w:p>
            <w:pPr>
              <w:pStyle w:val="TableText"/>
            </w:pPr>
            <w:r>
              <w:t>challenges</w:t>
            </w:r>
          </w:p>
        </w:tc>
        <w:tc>
          <w:tcPr>
            <w:tcW w:type="dxa" w:w="4400"/>
          </w:tcPr>
          <w:p>
            <w:pPr>
              <w:pStyle w:val="TableText"/>
            </w:pPr>
            <w:r>
              <w:t>id, employer_org_id, opportunity_id nullable, title, brief, status, deadline, effort_minutes, ai_policy, rubric_version</w:t>
            </w:r>
          </w:p>
        </w:tc>
        <w:tc>
          <w:tcPr>
            <w:tcW w:type="dxa" w:w="2660"/>
          </w:tcPr>
          <w:p>
            <w:pPr>
              <w:pStyle w:val="TableText"/>
            </w:pPr>
            <w:r>
              <w:t>positive effort</w:t>
            </w:r>
          </w:p>
        </w:tc>
      </w:tr>
      <w:tr>
        <w:trPr>
          <w:cantSplit/>
        </w:trPr>
        <w:tc>
          <w:tcPr>
            <w:tcW w:type="dxa" w:w="2300"/>
          </w:tcPr>
          <w:p>
            <w:pPr>
              <w:pStyle w:val="TableText"/>
            </w:pPr>
            <w:r>
              <w:t>challenge_audiences</w:t>
            </w:r>
          </w:p>
        </w:tc>
        <w:tc>
          <w:tcPr>
            <w:tcW w:type="dxa" w:w="4400"/>
          </w:tcPr>
          <w:p>
            <w:pPr>
              <w:pStyle w:val="TableText"/>
            </w:pPr>
            <w:r>
              <w:t>challenge_id, institution_id</w:t>
            </w:r>
          </w:p>
        </w:tc>
        <w:tc>
          <w:tcPr>
            <w:tcW w:type="dxa" w:w="2660"/>
          </w:tcPr>
          <w:p>
            <w:pPr>
              <w:pStyle w:val="TableText"/>
            </w:pPr>
            <w:r>
              <w:t>unique pair</w:t>
            </w:r>
          </w:p>
        </w:tc>
      </w:tr>
      <w:tr>
        <w:trPr>
          <w:cantSplit/>
        </w:trPr>
        <w:tc>
          <w:tcPr>
            <w:tcW w:type="dxa" w:w="2300"/>
          </w:tcPr>
          <w:p>
            <w:pPr>
              <w:pStyle w:val="TableText"/>
            </w:pPr>
            <w:r>
              <w:t>rubric_criteria</w:t>
            </w:r>
          </w:p>
        </w:tc>
        <w:tc>
          <w:tcPr>
            <w:tcW w:type="dxa" w:w="4400"/>
          </w:tcPr>
          <w:p>
            <w:pPr>
              <w:pStyle w:val="TableText"/>
            </w:pPr>
            <w:r>
              <w:t>id, challenge_id, rubric_version, skill_id, title, anchors_json</w:t>
            </w:r>
          </w:p>
        </w:tc>
        <w:tc>
          <w:tcPr>
            <w:tcW w:type="dxa" w:w="2660"/>
          </w:tcPr>
          <w:p>
            <w:pPr>
              <w:pStyle w:val="TableText"/>
            </w:pPr>
            <w:r>
              <w:t>unique challenge/version/skill</w:t>
            </w:r>
          </w:p>
        </w:tc>
      </w:tr>
    </w:tbl>
    <w:p>
      <w:pPr>
        <w:pStyle w:val="TableSource"/>
      </w:pPr>
    </w:p>
    <w:p>
      <w:pPr/>
      <w:r>
        <w:t>The opportunity weight sum is a cross-row rule enforced by publish_opportunity; individual CHECKs cannot enforce the sum. Freeze published requirements and referenced rubric versions. A challenge linked to an opportunity must belong to the same employer and have an audience contained within the opportunity's audience for P0.</w:t>
      </w:r>
    </w:p>
    <w:p>
      <w:pPr/>
      <w:r>
        <w:t>Compensation kind is paid, unpaid or unspecified. Paid requires nonnegative amount_minor, ISO currency and pay_period; add pay_period as a required paid-record field in the implementation. Unpaid/unspecified do not use a fake zero salary as a substitute for disclosure. Duration is descriptive in P0; structured dates can follow in the pilot.</w:t>
      </w:r>
    </w:p>
    <w:p>
      <w:pPr>
        <w:pStyle w:val="Heading2"/>
      </w:pPr>
      <w:r>
        <w:t>4. Evidence and review entities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2300"/>
        <w:gridCol w:w="4400"/>
        <w:gridCol w:w="2660"/>
      </w:tblGrid>
      <w:tr>
        <w:trPr>
          <w:cantSplit/>
          <w:tblHeader/>
        </w:trPr>
        <w:tc>
          <w:tcPr>
            <w:tcW w:type="dxa" w:w="2300"/>
            <w:shd w:fill="E8EEF5"/>
          </w:tcPr>
          <w:p>
            <w:pPr>
              <w:pStyle w:val="TableText"/>
            </w:pPr>
            <w:r>
              <w:rPr>
                <w:b/>
              </w:rPr>
              <w:t>Table</w:t>
            </w:r>
          </w:p>
        </w:tc>
        <w:tc>
          <w:tcPr>
            <w:tcW w:type="dxa" w:w="4400"/>
            <w:shd w:fill="E8EEF5"/>
          </w:tcPr>
          <w:p>
            <w:pPr>
              <w:pStyle w:val="TableText"/>
            </w:pPr>
            <w:r>
              <w:rPr>
                <w:b/>
              </w:rPr>
              <w:t>Essential fields</w:t>
            </w:r>
          </w:p>
        </w:tc>
        <w:tc>
          <w:tcPr>
            <w:tcW w:type="dxa" w:w="2660"/>
            <w:shd w:fill="E8EEF5"/>
          </w:tcPr>
          <w:p>
            <w:pPr>
              <w:pStyle w:val="TableText"/>
            </w:pPr>
            <w:r>
              <w:rPr>
                <w:b/>
              </w:rPr>
              <w:t>Constraints</w:t>
            </w:r>
          </w:p>
        </w:tc>
      </w:tr>
      <w:tr>
        <w:trPr>
          <w:cantSplit/>
        </w:trPr>
        <w:tc>
          <w:tcPr>
            <w:tcW w:type="dxa" w:w="2300"/>
          </w:tcPr>
          <w:p>
            <w:pPr>
              <w:pStyle w:val="TableText"/>
            </w:pPr>
            <w:r>
              <w:t>submissions</w:t>
            </w:r>
          </w:p>
        </w:tc>
        <w:tc>
          <w:tcPr>
            <w:tcW w:type="dxa" w:w="4400"/>
          </w:tcPr>
          <w:p>
            <w:pPr>
              <w:pStyle w:val="TableText"/>
            </w:pPr>
            <w:r>
              <w:t>id, student_id, challenge_id, current_revision, status, version</w:t>
            </w:r>
          </w:p>
        </w:tc>
        <w:tc>
          <w:tcPr>
            <w:tcW w:type="dxa" w:w="2660"/>
          </w:tcPr>
          <w:p>
            <w:pPr>
              <w:pStyle w:val="TableText"/>
            </w:pPr>
            <w:r>
              <w:t>unique student/challenge in P0</w:t>
            </w:r>
          </w:p>
        </w:tc>
      </w:tr>
      <w:tr>
        <w:trPr>
          <w:cantSplit/>
        </w:trPr>
        <w:tc>
          <w:tcPr>
            <w:tcW w:type="dxa" w:w="2300"/>
          </w:tcPr>
          <w:p>
            <w:pPr>
              <w:pStyle w:val="TableText"/>
            </w:pPr>
            <w:r>
              <w:t>submission_revisions</w:t>
            </w:r>
          </w:p>
        </w:tc>
        <w:tc>
          <w:tcPr>
            <w:tcW w:type="dxa" w:w="4400"/>
          </w:tcPr>
          <w:p>
            <w:pPr>
              <w:pStyle w:val="TableText"/>
            </w:pPr>
            <w:r>
              <w:t>id, submission_id, revision_no, rubric_version, title, body, contribution, submitted_at</w:t>
            </w:r>
          </w:p>
        </w:tc>
        <w:tc>
          <w:tcPr>
            <w:tcW w:type="dxa" w:w="2660"/>
          </w:tcPr>
          <w:p>
            <w:pPr>
              <w:pStyle w:val="TableText"/>
            </w:pPr>
            <w:r>
              <w:t>unique submission/revision</w:t>
            </w:r>
          </w:p>
        </w:tc>
      </w:tr>
      <w:tr>
        <w:trPr>
          <w:cantSplit/>
        </w:trPr>
        <w:tc>
          <w:tcPr>
            <w:tcW w:type="dxa" w:w="2300"/>
          </w:tcPr>
          <w:p>
            <w:pPr>
              <w:pStyle w:val="TableText"/>
            </w:pPr>
            <w:r>
              <w:t>evidence_links</w:t>
            </w:r>
          </w:p>
        </w:tc>
        <w:tc>
          <w:tcPr>
            <w:tcW w:type="dxa" w:w="4400"/>
          </w:tcPr>
          <w:p>
            <w:pPr>
              <w:pStyle w:val="TableText"/>
            </w:pPr>
            <w:r>
              <w:t>id, revision_id, url, label</w:t>
            </w:r>
          </w:p>
        </w:tc>
        <w:tc>
          <w:tcPr>
            <w:tcW w:type="dxa" w:w="2660"/>
          </w:tcPr>
          <w:p>
            <w:pPr>
              <w:pStyle w:val="TableText"/>
            </w:pPr>
            <w:r>
              <w:t>bounded count via service</w:t>
            </w:r>
          </w:p>
        </w:tc>
      </w:tr>
      <w:tr>
        <w:trPr>
          <w:cantSplit/>
        </w:trPr>
        <w:tc>
          <w:tcPr>
            <w:tcW w:type="dxa" w:w="2300"/>
          </w:tcPr>
          <w:p>
            <w:pPr>
              <w:pStyle w:val="TableText"/>
            </w:pPr>
            <w:r>
              <w:t>reviewer_assignments</w:t>
            </w:r>
          </w:p>
        </w:tc>
        <w:tc>
          <w:tcPr>
            <w:tcW w:type="dxa" w:w="4400"/>
          </w:tcPr>
          <w:p>
            <w:pPr>
              <w:pStyle w:val="TableText"/>
            </w:pPr>
            <w:r>
              <w:t>id, revision_id, reviewer_id, assigned_by, status</w:t>
            </w:r>
          </w:p>
        </w:tc>
        <w:tc>
          <w:tcPr>
            <w:tcW w:type="dxa" w:w="2660"/>
          </w:tcPr>
          <w:p>
            <w:pPr>
              <w:pStyle w:val="TableText"/>
            </w:pPr>
            <w:r>
              <w:t>one active assignment/revision in P0</w:t>
            </w:r>
          </w:p>
        </w:tc>
      </w:tr>
      <w:tr>
        <w:trPr>
          <w:cantSplit/>
        </w:trPr>
        <w:tc>
          <w:tcPr>
            <w:tcW w:type="dxa" w:w="2300"/>
          </w:tcPr>
          <w:p>
            <w:pPr>
              <w:pStyle w:val="TableText"/>
            </w:pPr>
            <w:r>
              <w:t>reviews</w:t>
            </w:r>
          </w:p>
        </w:tc>
        <w:tc>
          <w:tcPr>
            <w:tcW w:type="dxa" w:w="4400"/>
          </w:tcPr>
          <w:p>
            <w:pPr>
              <w:pStyle w:val="TableText"/>
            </w:pPr>
            <w:r>
              <w:t>id, assignment_id, revision_id, reviewer_id, status, published_at, void_reason</w:t>
            </w:r>
          </w:p>
        </w:tc>
        <w:tc>
          <w:tcPr>
            <w:tcW w:type="dxa" w:w="2660"/>
          </w:tcPr>
          <w:p>
            <w:pPr>
              <w:pStyle w:val="TableText"/>
            </w:pPr>
            <w:r>
              <w:t>one published review/assignment</w:t>
            </w:r>
          </w:p>
        </w:tc>
      </w:tr>
      <w:tr>
        <w:trPr>
          <w:cantSplit/>
        </w:trPr>
        <w:tc>
          <w:tcPr>
            <w:tcW w:type="dxa" w:w="2300"/>
          </w:tcPr>
          <w:p>
            <w:pPr>
              <w:pStyle w:val="TableText"/>
            </w:pPr>
            <w:r>
              <w:t>review_scores</w:t>
            </w:r>
          </w:p>
        </w:tc>
        <w:tc>
          <w:tcPr>
            <w:tcW w:type="dxa" w:w="4400"/>
          </w:tcPr>
          <w:p>
            <w:pPr>
              <w:pStyle w:val="TableText"/>
            </w:pPr>
            <w:r>
              <w:t>review_id, criterion_id, level, rationale</w:t>
            </w:r>
          </w:p>
        </w:tc>
        <w:tc>
          <w:tcPr>
            <w:tcW w:type="dxa" w:w="2660"/>
          </w:tcPr>
          <w:p>
            <w:pPr>
              <w:pStyle w:val="TableText"/>
            </w:pPr>
            <w:r>
              <w:t>unique review/criterion; level 0–4</w:t>
            </w:r>
          </w:p>
        </w:tc>
      </w:tr>
      <w:tr>
        <w:trPr>
          <w:cantSplit/>
        </w:trPr>
        <w:tc>
          <w:tcPr>
            <w:tcW w:type="dxa" w:w="2300"/>
          </w:tcPr>
          <w:p>
            <w:pPr>
              <w:pStyle w:val="TableText"/>
            </w:pPr>
            <w:r>
              <w:t>skill_attainments</w:t>
            </w:r>
          </w:p>
        </w:tc>
        <w:tc>
          <w:tcPr>
            <w:tcW w:type="dxa" w:w="4400"/>
          </w:tcPr>
          <w:p>
            <w:pPr>
              <w:pStyle w:val="TableText"/>
            </w:pPr>
            <w:r>
              <w:t>id, student_id, skill_id, review_id, criterion_id, level, reviewed_at, valid_until nullable</w:t>
            </w:r>
          </w:p>
        </w:tc>
        <w:tc>
          <w:tcPr>
            <w:tcW w:type="dxa" w:w="2660"/>
          </w:tcPr>
          <w:p>
            <w:pPr>
              <w:pStyle w:val="TableText"/>
            </w:pPr>
            <w:r>
              <w:t>unique review/criterion</w:t>
            </w:r>
          </w:p>
        </w:tc>
      </w:tr>
      <w:tr>
        <w:trPr>
          <w:cantSplit/>
        </w:trPr>
        <w:tc>
          <w:tcPr>
            <w:tcW w:type="dxa" w:w="2300"/>
          </w:tcPr>
          <w:p>
            <w:pPr>
              <w:pStyle w:val="TableText"/>
            </w:pPr>
            <w:r>
              <w:t>correction_requests</w:t>
            </w:r>
          </w:p>
        </w:tc>
        <w:tc>
          <w:tcPr>
            <w:tcW w:type="dxa" w:w="4400"/>
          </w:tcPr>
          <w:p>
            <w:pPr>
              <w:pStyle w:val="TableText"/>
            </w:pPr>
            <w:r>
              <w:t>id, student_id, review_id, reason, status, resolved_by</w:t>
            </w:r>
          </w:p>
        </w:tc>
        <w:tc>
          <w:tcPr>
            <w:tcW w:type="dxa" w:w="2660"/>
          </w:tcPr>
          <w:p>
            <w:pPr>
              <w:pStyle w:val="TableText"/>
            </w:pPr>
            <w:r>
              <w:t>owner and linked-review validation</w:t>
            </w:r>
          </w:p>
        </w:tc>
      </w:tr>
      <w:tr>
        <w:trPr>
          <w:cantSplit/>
        </w:trPr>
        <w:tc>
          <w:tcPr>
            <w:tcW w:type="dxa" w:w="2300"/>
          </w:tcPr>
          <w:p>
            <w:pPr>
              <w:pStyle w:val="TableText"/>
            </w:pPr>
            <w:r>
              <w:t>submission_events</w:t>
            </w:r>
          </w:p>
        </w:tc>
        <w:tc>
          <w:tcPr>
            <w:tcW w:type="dxa" w:w="4400"/>
          </w:tcPr>
          <w:p>
            <w:pPr>
              <w:pStyle w:val="TableText"/>
            </w:pPr>
            <w:r>
              <w:t>id, submission_id, revision_id, actor_id, action, reason, created_at</w:t>
            </w:r>
          </w:p>
        </w:tc>
        <w:tc>
          <w:tcPr>
            <w:tcW w:type="dxa" w:w="2660"/>
          </w:tcPr>
          <w:p>
            <w:pPr>
              <w:pStyle w:val="TableText"/>
            </w:pPr>
            <w:r>
              <w:t>append-only feedback/state history</w:t>
            </w:r>
          </w:p>
        </w:tc>
      </w:tr>
    </w:tbl>
    <w:p>
      <w:pPr>
        <w:pStyle w:val="TableSource"/>
      </w:pPr>
    </w:p>
    <w:p>
      <w:pPr/>
      <w:r>
        <w:t>Level 0 in a review means “not demonstrated by this work,” and is distinct from no review. It contributes zero but remains useful feedback. A published review must contain exactly the criteria for its rubric version. The student's attainments are derived from review_scores; clients cannot insert or raise them. P0 has no automatic expiry; valid_until is reserved for a later explicit revalidation policy. Voiding a review makes linked attainments inactive through the query predicate.</w:t>
      </w:r>
    </w:p>
    <w:p>
      <w:pPr/>
      <w:r>
        <w:t>Reviewer assignments and draft reviews also carry version. Request-changes feedback is stored in submission_events and does not create an attainment. Declining an assignment closes its access grant and returns the revision to the unassigned queue. Published-review uniqueness is enforced with an appropriate partial unique index; voided history remains retained.</w:t>
      </w:r>
    </w:p>
    <w:p>
      <w:pPr/>
      <w:r>
        <w:t>An evidence artifact in P0 is a finalized submission_revision plus its links. P1 adds evidence_files with revision_id, private object key, size, media type, scan status and hash. A checksum detects identical bytes, not authorship or truth.</w:t>
      </w:r>
    </w:p>
    <w:p>
      <w:pPr>
        <w:pStyle w:val="Heading2"/>
      </w:pPr>
      <w:r>
        <w:t>5. Applications and reporting entities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2300"/>
        <w:gridCol w:w="4400"/>
        <w:gridCol w:w="2660"/>
      </w:tblGrid>
      <w:tr>
        <w:trPr>
          <w:cantSplit/>
          <w:tblHeader/>
        </w:trPr>
        <w:tc>
          <w:tcPr>
            <w:tcW w:type="dxa" w:w="2300"/>
            <w:shd w:fill="E8EEF5"/>
          </w:tcPr>
          <w:p>
            <w:pPr>
              <w:pStyle w:val="TableText"/>
            </w:pPr>
            <w:r>
              <w:rPr>
                <w:b/>
              </w:rPr>
              <w:t>Table</w:t>
            </w:r>
          </w:p>
        </w:tc>
        <w:tc>
          <w:tcPr>
            <w:tcW w:type="dxa" w:w="4400"/>
            <w:shd w:fill="E8EEF5"/>
          </w:tcPr>
          <w:p>
            <w:pPr>
              <w:pStyle w:val="TableText"/>
            </w:pPr>
            <w:r>
              <w:rPr>
                <w:b/>
              </w:rPr>
              <w:t>Essential fields</w:t>
            </w:r>
          </w:p>
        </w:tc>
        <w:tc>
          <w:tcPr>
            <w:tcW w:type="dxa" w:w="2660"/>
            <w:shd w:fill="E8EEF5"/>
          </w:tcPr>
          <w:p>
            <w:pPr>
              <w:pStyle w:val="TableText"/>
            </w:pPr>
            <w:r>
              <w:rPr>
                <w:b/>
              </w:rPr>
              <w:t>Constraints</w:t>
            </w:r>
          </w:p>
        </w:tc>
      </w:tr>
      <w:tr>
        <w:trPr>
          <w:cantSplit/>
        </w:trPr>
        <w:tc>
          <w:tcPr>
            <w:tcW w:type="dxa" w:w="2300"/>
          </w:tcPr>
          <w:p>
            <w:pPr>
              <w:pStyle w:val="TableText"/>
            </w:pPr>
            <w:r>
              <w:t>applications</w:t>
            </w:r>
          </w:p>
        </w:tc>
        <w:tc>
          <w:tcPr>
            <w:tcW w:type="dxa" w:w="4400"/>
          </w:tcPr>
          <w:p>
            <w:pPr>
              <w:pStyle w:val="TableText"/>
            </w:pPr>
            <w:r>
              <w:t>id, student_id, opportunity_id, status, snapshot_json, version, applied_at</w:t>
            </w:r>
          </w:p>
        </w:tc>
        <w:tc>
          <w:tcPr>
            <w:tcW w:type="dxa" w:w="2660"/>
          </w:tcPr>
          <w:p>
            <w:pPr>
              <w:pStyle w:val="TableText"/>
            </w:pPr>
            <w:r>
              <w:t>unique student/opportunity</w:t>
            </w:r>
          </w:p>
        </w:tc>
      </w:tr>
      <w:tr>
        <w:trPr>
          <w:cantSplit/>
        </w:trPr>
        <w:tc>
          <w:tcPr>
            <w:tcW w:type="dxa" w:w="2300"/>
          </w:tcPr>
          <w:p>
            <w:pPr>
              <w:pStyle w:val="TableText"/>
            </w:pPr>
            <w:r>
              <w:t>application_evidence</w:t>
            </w:r>
          </w:p>
        </w:tc>
        <w:tc>
          <w:tcPr>
            <w:tcW w:type="dxa" w:w="4400"/>
          </w:tcPr>
          <w:p>
            <w:pPr>
              <w:pStyle w:val="TableText"/>
            </w:pPr>
            <w:r>
              <w:t>application_id, revision_id</w:t>
            </w:r>
          </w:p>
        </w:tc>
        <w:tc>
          <w:tcPr>
            <w:tcW w:type="dxa" w:w="2660"/>
          </w:tcPr>
          <w:p>
            <w:pPr>
              <w:pStyle w:val="TableText"/>
            </w:pPr>
            <w:r>
              <w:t>unique pair; must belong to applicant</w:t>
            </w:r>
          </w:p>
        </w:tc>
      </w:tr>
      <w:tr>
        <w:trPr>
          <w:cantSplit/>
        </w:trPr>
        <w:tc>
          <w:tcPr>
            <w:tcW w:type="dxa" w:w="2300"/>
          </w:tcPr>
          <w:p>
            <w:pPr>
              <w:pStyle w:val="TableText"/>
            </w:pPr>
            <w:r>
              <w:t>evidence_grants</w:t>
            </w:r>
          </w:p>
        </w:tc>
        <w:tc>
          <w:tcPr>
            <w:tcW w:type="dxa" w:w="4400"/>
          </w:tcPr>
          <w:p>
            <w:pPr>
              <w:pStyle w:val="TableText"/>
            </w:pPr>
            <w:r>
              <w:t>id, application_id, revision_id, employer_org_id, granted_at, revoked_at</w:t>
            </w:r>
          </w:p>
        </w:tc>
        <w:tc>
          <w:tcPr>
            <w:tcW w:type="dxa" w:w="2660"/>
          </w:tcPr>
          <w:p>
            <w:pPr>
              <w:pStyle w:val="TableText"/>
            </w:pPr>
            <w:r>
              <w:t>unique application/revision</w:t>
            </w:r>
          </w:p>
        </w:tc>
      </w:tr>
      <w:tr>
        <w:trPr>
          <w:cantSplit/>
        </w:trPr>
        <w:tc>
          <w:tcPr>
            <w:tcW w:type="dxa" w:w="2300"/>
          </w:tcPr>
          <w:p>
            <w:pPr>
              <w:pStyle w:val="TableText"/>
            </w:pPr>
            <w:r>
              <w:t>application_events</w:t>
            </w:r>
          </w:p>
        </w:tc>
        <w:tc>
          <w:tcPr>
            <w:tcW w:type="dxa" w:w="4400"/>
          </w:tcPr>
          <w:p>
            <w:pPr>
              <w:pStyle w:val="TableText"/>
            </w:pPr>
            <w:r>
              <w:t>id, application_id, actor_id, from_status, to_status, reason, created_at</w:t>
            </w:r>
          </w:p>
        </w:tc>
        <w:tc>
          <w:tcPr>
            <w:tcW w:type="dxa" w:w="2660"/>
          </w:tcPr>
          <w:p>
            <w:pPr>
              <w:pStyle w:val="TableText"/>
            </w:pPr>
            <w:r>
              <w:t>append-only</w:t>
            </w:r>
          </w:p>
        </w:tc>
      </w:tr>
      <w:tr>
        <w:trPr>
          <w:cantSplit/>
        </w:trPr>
        <w:tc>
          <w:tcPr>
            <w:tcW w:type="dxa" w:w="2300"/>
          </w:tcPr>
          <w:p>
            <w:pPr>
              <w:pStyle w:val="TableText"/>
            </w:pPr>
            <w:r>
              <w:t>outcomes</w:t>
            </w:r>
          </w:p>
        </w:tc>
        <w:tc>
          <w:tcPr>
            <w:tcW w:type="dxa" w:w="4400"/>
          </w:tcPr>
          <w:p>
            <w:pPr>
              <w:pStyle w:val="TableText"/>
            </w:pPr>
            <w:r>
              <w:t>id, application_id, kind, status, start_date, end_date, confirmed_by, confirmed_at</w:t>
            </w:r>
          </w:p>
        </w:tc>
        <w:tc>
          <w:tcPr>
            <w:tcW w:type="dxa" w:w="2660"/>
          </w:tcPr>
          <w:p>
            <w:pPr>
              <w:pStyle w:val="TableText"/>
            </w:pPr>
            <w:r>
              <w:t>one active outcome/application in P0</w:t>
            </w:r>
          </w:p>
        </w:tc>
      </w:tr>
      <w:tr>
        <w:trPr>
          <w:cantSplit/>
        </w:trPr>
        <w:tc>
          <w:tcPr>
            <w:tcW w:type="dxa" w:w="2300"/>
          </w:tcPr>
          <w:p>
            <w:pPr>
              <w:pStyle w:val="TableText"/>
            </w:pPr>
            <w:r>
              <w:t>audit_events</w:t>
            </w:r>
          </w:p>
        </w:tc>
        <w:tc>
          <w:tcPr>
            <w:tcW w:type="dxa" w:w="4400"/>
          </w:tcPr>
          <w:p>
            <w:pPr>
              <w:pStyle w:val="TableText"/>
            </w:pPr>
            <w:r>
              <w:t>id, actor_id, action, entity_type, entity_id, org_id nullable, reason, metadata_json, created_at</w:t>
            </w:r>
          </w:p>
        </w:tc>
        <w:tc>
          <w:tcPr>
            <w:tcW w:type="dxa" w:w="2660"/>
          </w:tcPr>
          <w:p>
            <w:pPr>
              <w:pStyle w:val="TableText"/>
            </w:pPr>
            <w:r>
              <w:t>append-only</w:t>
            </w:r>
          </w:p>
        </w:tc>
      </w:tr>
      <w:tr>
        <w:trPr>
          <w:cantSplit/>
        </w:trPr>
        <w:tc>
          <w:tcPr>
            <w:tcW w:type="dxa" w:w="2300"/>
          </w:tcPr>
          <w:p>
            <w:pPr>
              <w:pStyle w:val="TableText"/>
            </w:pPr>
            <w:r>
              <w:t>outbox_events</w:t>
            </w:r>
          </w:p>
        </w:tc>
        <w:tc>
          <w:tcPr>
            <w:tcW w:type="dxa" w:w="4400"/>
          </w:tcPr>
          <w:p>
            <w:pPr>
              <w:pStyle w:val="TableText"/>
            </w:pPr>
            <w:r>
              <w:t>id, type, payload_json, status, attempts, next_attempt_at</w:t>
            </w:r>
          </w:p>
        </w:tc>
        <w:tc>
          <w:tcPr>
            <w:tcW w:type="dxa" w:w="2660"/>
          </w:tcPr>
          <w:p>
            <w:pPr>
              <w:pStyle w:val="TableText"/>
            </w:pPr>
            <w:r>
              <w:t>unique dedupe_key</w:t>
            </w:r>
          </w:p>
        </w:tc>
      </w:tr>
      <w:tr>
        <w:trPr>
          <w:cantSplit/>
        </w:trPr>
        <w:tc>
          <w:tcPr>
            <w:tcW w:type="dxa" w:w="2300"/>
          </w:tcPr>
          <w:p>
            <w:pPr>
              <w:pStyle w:val="TableText"/>
            </w:pPr>
            <w:r>
              <w:t>notifications</w:t>
            </w:r>
          </w:p>
        </w:tc>
        <w:tc>
          <w:tcPr>
            <w:tcW w:type="dxa" w:w="4400"/>
          </w:tcPr>
          <w:p>
            <w:pPr>
              <w:pStyle w:val="TableText"/>
            </w:pPr>
            <w:r>
              <w:t>id, recipient_id, event_id, read_at</w:t>
            </w:r>
          </w:p>
        </w:tc>
        <w:tc>
          <w:tcPr>
            <w:tcW w:type="dxa" w:w="2660"/>
          </w:tcPr>
          <w:p>
            <w:pPr>
              <w:pStyle w:val="TableText"/>
            </w:pPr>
            <w:r>
              <w:t>unique recipient/event</w:t>
            </w:r>
          </w:p>
        </w:tc>
      </w:tr>
      <w:tr>
        <w:trPr>
          <w:cantSplit/>
        </w:trPr>
        <w:tc>
          <w:tcPr>
            <w:tcW w:type="dxa" w:w="2300"/>
          </w:tcPr>
          <w:p>
            <w:pPr>
              <w:pStyle w:val="TableText"/>
            </w:pPr>
            <w:r>
              <w:t>idempotency_records</w:t>
            </w:r>
          </w:p>
        </w:tc>
        <w:tc>
          <w:tcPr>
            <w:tcW w:type="dxa" w:w="4400"/>
          </w:tcPr>
          <w:p>
            <w:pPr>
              <w:pStyle w:val="TableText"/>
            </w:pPr>
            <w:r>
              <w:t>actor_id, operation, key, request_hash, result_ref, expires_at</w:t>
            </w:r>
          </w:p>
        </w:tc>
        <w:tc>
          <w:tcPr>
            <w:tcW w:type="dxa" w:w="2660"/>
          </w:tcPr>
          <w:p>
            <w:pPr>
              <w:pStyle w:val="TableText"/>
            </w:pPr>
            <w:r>
              <w:t>unique actor/operation/key</w:t>
            </w:r>
          </w:p>
        </w:tc>
      </w:tr>
    </w:tbl>
    <w:p>
      <w:pPr>
        <w:pStyle w:val="TableSource"/>
      </w:pPr>
    </w:p>
    <w:p>
      <w:pPr/>
      <w:r>
        <w:t>P1 intervention tables: interventions(id, institution_id, skill_id, title, owner_id, dates, status), intervention_participants(intervention_id, student_id), and intervention_measurements(intervention_id, window, cohort_count, reviewed_gap_count). Define these only when the feature is scheduled; they are not P0 dependencies.</w:t>
      </w:r>
    </w:p>
    <w:p>
      <w:pPr>
        <w:pStyle w:val="Heading2"/>
      </w:pPr>
      <w:r>
        <w:t>6. Relationships</w:t>
      </w:r>
    </w:p>
    <w:p>
      <w:pPr/>
      <w:r>
        <w:t>An employer owns opportunities and challenges. An opportunity has many required skills and applications. A student has submissions, each with immutable finalized revisions. An assignment links a reviewer to a revision; the published review creates skill attainments. An application selects revisions and creates employer grants. An institution relates to students through enrollments and to published content through audience tables. Skill catalog IDs connect requirements and reviewed attainments without a graph database.</w:t>
      </w:r>
    </w:p>
    <w:p>
      <w:pPr>
        <w:pStyle w:val="Heading2"/>
      </w:pPr>
      <w:r>
        <w:t>7. Authorization policy matrix</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1872"/>
        <w:gridCol w:w="1872"/>
        <w:gridCol w:w="1872"/>
        <w:gridCol w:w="1872"/>
        <w:gridCol w:w="1872"/>
      </w:tblGrid>
      <w:tr>
        <w:trPr>
          <w:cantSplit/>
          <w:tblHeader/>
        </w:trPr>
        <w:tc>
          <w:tcPr>
            <w:tcW w:type="dxa" w:w="1872"/>
            <w:shd w:fill="E8EEF5"/>
          </w:tcPr>
          <w:p>
            <w:pPr>
              <w:pStyle w:val="TableText"/>
            </w:pPr>
            <w:r>
              <w:rPr>
                <w:b/>
              </w:rPr>
              <w:t>Data</w:t>
            </w:r>
          </w:p>
        </w:tc>
        <w:tc>
          <w:tcPr>
            <w:tcW w:type="dxa" w:w="1872"/>
            <w:shd w:fill="E8EEF5"/>
          </w:tcPr>
          <w:p>
            <w:pPr>
              <w:pStyle w:val="TableText"/>
            </w:pPr>
            <w:r>
              <w:rPr>
                <w:b/>
              </w:rPr>
              <w:t>Student</w:t>
            </w:r>
          </w:p>
        </w:tc>
        <w:tc>
          <w:tcPr>
            <w:tcW w:type="dxa" w:w="1872"/>
            <w:shd w:fill="E8EEF5"/>
          </w:tcPr>
          <w:p>
            <w:pPr>
              <w:pStyle w:val="TableText"/>
            </w:pPr>
            <w:r>
              <w:rPr>
                <w:b/>
              </w:rPr>
              <w:t>Reviewer</w:t>
            </w:r>
          </w:p>
        </w:tc>
        <w:tc>
          <w:tcPr>
            <w:tcW w:type="dxa" w:w="1872"/>
            <w:shd w:fill="E8EEF5"/>
          </w:tcPr>
          <w:p>
            <w:pPr>
              <w:pStyle w:val="TableText"/>
            </w:pPr>
            <w:r>
              <w:rPr>
                <w:b/>
              </w:rPr>
              <w:t>Recruiter</w:t>
            </w:r>
          </w:p>
        </w:tc>
        <w:tc>
          <w:tcPr>
            <w:tcW w:type="dxa" w:w="1872"/>
            <w:shd w:fill="E8EEF5"/>
          </w:tcPr>
          <w:p>
            <w:pPr>
              <w:pStyle w:val="TableText"/>
            </w:pPr>
            <w:r>
              <w:rPr>
                <w:b/>
              </w:rPr>
              <w:t>Coordinator</w:t>
            </w:r>
          </w:p>
        </w:tc>
      </w:tr>
      <w:tr>
        <w:trPr>
          <w:cantSplit/>
        </w:trPr>
        <w:tc>
          <w:tcPr>
            <w:tcW w:type="dxa" w:w="1872"/>
          </w:tcPr>
          <w:p>
            <w:pPr>
              <w:pStyle w:val="TableText"/>
            </w:pPr>
            <w:r>
              <w:t>Own profile</w:t>
            </w:r>
          </w:p>
        </w:tc>
        <w:tc>
          <w:tcPr>
            <w:tcW w:type="dxa" w:w="1872"/>
          </w:tcPr>
          <w:p>
            <w:pPr>
              <w:pStyle w:val="TableText"/>
            </w:pPr>
            <w:r>
              <w:t>Read/edit own</w:t>
            </w:r>
          </w:p>
        </w:tc>
        <w:tc>
          <w:tcPr>
            <w:tcW w:type="dxa" w:w="1872"/>
          </w:tcPr>
          <w:p>
            <w:pPr>
              <w:pStyle w:val="TableText"/>
            </w:pPr>
            <w:r>
              <w:t>Own only</w:t>
            </w:r>
          </w:p>
        </w:tc>
        <w:tc>
          <w:tcPr>
            <w:tcW w:type="dxa" w:w="1872"/>
          </w:tcPr>
          <w:p>
            <w:pPr>
              <w:pStyle w:val="TableText"/>
            </w:pPr>
            <w:r>
              <w:t>Own only</w:t>
            </w:r>
          </w:p>
        </w:tc>
        <w:tc>
          <w:tcPr>
            <w:tcW w:type="dxa" w:w="1872"/>
          </w:tcPr>
          <w:p>
            <w:pPr>
              <w:pStyle w:val="TableText"/>
            </w:pPr>
            <w:r>
              <w:t>Enrolled basic profiles</w:t>
            </w:r>
          </w:p>
        </w:tc>
      </w:tr>
      <w:tr>
        <w:trPr>
          <w:cantSplit/>
        </w:trPr>
        <w:tc>
          <w:tcPr>
            <w:tcW w:type="dxa" w:w="1872"/>
          </w:tcPr>
          <w:p>
            <w:pPr>
              <w:pStyle w:val="TableText"/>
            </w:pPr>
            <w:r>
              <w:t>Published opportunity</w:t>
            </w:r>
          </w:p>
        </w:tc>
        <w:tc>
          <w:tcPr>
            <w:tcW w:type="dxa" w:w="1872"/>
          </w:tcPr>
          <w:p>
            <w:pPr>
              <w:pStyle w:val="TableText"/>
            </w:pPr>
            <w:r>
              <w:t>Within audience/public summary</w:t>
            </w:r>
          </w:p>
        </w:tc>
        <w:tc>
          <w:tcPr>
            <w:tcW w:type="dxa" w:w="1872"/>
          </w:tcPr>
          <w:p>
            <w:pPr>
              <w:pStyle w:val="TableText"/>
            </w:pPr>
            <w:r>
              <w:t>Within audience</w:t>
            </w:r>
          </w:p>
        </w:tc>
        <w:tc>
          <w:tcPr>
            <w:tcW w:type="dxa" w:w="1872"/>
          </w:tcPr>
          <w:p>
            <w:pPr>
              <w:pStyle w:val="TableText"/>
            </w:pPr>
            <w:r>
              <w:t>Own full records</w:t>
            </w:r>
          </w:p>
        </w:tc>
        <w:tc>
          <w:tcPr>
            <w:tcW w:type="dxa" w:w="1872"/>
          </w:tcPr>
          <w:p>
            <w:pPr>
              <w:pStyle w:val="TableText"/>
            </w:pPr>
            <w:r>
              <w:t>Published audience records</w:t>
            </w:r>
          </w:p>
        </w:tc>
      </w:tr>
      <w:tr>
        <w:trPr>
          <w:cantSplit/>
        </w:trPr>
        <w:tc>
          <w:tcPr>
            <w:tcW w:type="dxa" w:w="1872"/>
          </w:tcPr>
          <w:p>
            <w:pPr>
              <w:pStyle w:val="TableText"/>
            </w:pPr>
            <w:r>
              <w:t>Submission body</w:t>
            </w:r>
          </w:p>
        </w:tc>
        <w:tc>
          <w:tcPr>
            <w:tcW w:type="dxa" w:w="1872"/>
          </w:tcPr>
          <w:p>
            <w:pPr>
              <w:pStyle w:val="TableText"/>
            </w:pPr>
            <w:r>
              <w:t>Own</w:t>
            </w:r>
          </w:p>
        </w:tc>
        <w:tc>
          <w:tcPr>
            <w:tcW w:type="dxa" w:w="1872"/>
          </w:tcPr>
          <w:p>
            <w:pPr>
              <w:pStyle w:val="TableText"/>
            </w:pPr>
            <w:r>
              <w:t>Assigned revision</w:t>
            </w:r>
          </w:p>
        </w:tc>
        <w:tc>
          <w:tcPr>
            <w:tcW w:type="dxa" w:w="1872"/>
          </w:tcPr>
          <w:p>
            <w:pPr>
              <w:pStyle w:val="TableText"/>
            </w:pPr>
            <w:r>
              <w:t>Active application grant</w:t>
            </w:r>
          </w:p>
        </w:tc>
        <w:tc>
          <w:tcPr>
            <w:tcW w:type="dxa" w:w="1872"/>
          </w:tcPr>
          <w:p>
            <w:pPr>
              <w:pStyle w:val="TableText"/>
            </w:pPr>
            <w:r>
              <w:t>No default access</w:t>
            </w:r>
          </w:p>
        </w:tc>
      </w:tr>
      <w:tr>
        <w:trPr>
          <w:cantSplit/>
        </w:trPr>
        <w:tc>
          <w:tcPr>
            <w:tcW w:type="dxa" w:w="1872"/>
          </w:tcPr>
          <w:p>
            <w:pPr>
              <w:pStyle w:val="TableText"/>
            </w:pPr>
            <w:r>
              <w:t>Published review</w:t>
            </w:r>
          </w:p>
        </w:tc>
        <w:tc>
          <w:tcPr>
            <w:tcW w:type="dxa" w:w="1872"/>
          </w:tcPr>
          <w:p>
            <w:pPr>
              <w:pStyle w:val="TableText"/>
            </w:pPr>
            <w:r>
              <w:t>Own evidence</w:t>
            </w:r>
          </w:p>
        </w:tc>
        <w:tc>
          <w:tcPr>
            <w:tcW w:type="dxa" w:w="1872"/>
          </w:tcPr>
          <w:p>
            <w:pPr>
              <w:pStyle w:val="TableText"/>
            </w:pPr>
            <w:r>
              <w:t>Assigned review</w:t>
            </w:r>
          </w:p>
        </w:tc>
        <w:tc>
          <w:tcPr>
            <w:tcW w:type="dxa" w:w="1872"/>
          </w:tcPr>
          <w:p>
            <w:pPr>
              <w:pStyle w:val="TableText"/>
            </w:pPr>
            <w:r>
              <w:t>Granted evidence review</w:t>
            </w:r>
          </w:p>
        </w:tc>
        <w:tc>
          <w:tcPr>
            <w:tcW w:type="dxa" w:w="1872"/>
          </w:tcPr>
          <w:p>
            <w:pPr>
              <w:pStyle w:val="TableText"/>
            </w:pPr>
            <w:r>
              <w:t>Aggregate only</w:t>
            </w:r>
          </w:p>
        </w:tc>
      </w:tr>
      <w:tr>
        <w:trPr>
          <w:cantSplit/>
        </w:trPr>
        <w:tc>
          <w:tcPr>
            <w:tcW w:type="dxa" w:w="1872"/>
          </w:tcPr>
          <w:p>
            <w:pPr>
              <w:pStyle w:val="TableText"/>
            </w:pPr>
            <w:r>
              <w:t>Skill attainments</w:t>
            </w:r>
          </w:p>
        </w:tc>
        <w:tc>
          <w:tcPr>
            <w:tcW w:type="dxa" w:w="1872"/>
          </w:tcPr>
          <w:p>
            <w:pPr>
              <w:pStyle w:val="TableText"/>
            </w:pPr>
            <w:r>
              <w:t>Own</w:t>
            </w:r>
          </w:p>
        </w:tc>
        <w:tc>
          <w:tcPr>
            <w:tcW w:type="dxa" w:w="1872"/>
          </w:tcPr>
          <w:p>
            <w:pPr>
              <w:pStyle w:val="TableText"/>
            </w:pPr>
            <w:r>
              <w:t>Assignment context</w:t>
            </w:r>
          </w:p>
        </w:tc>
        <w:tc>
          <w:tcPr>
            <w:tcW w:type="dxa" w:w="1872"/>
          </w:tcPr>
          <w:p>
            <w:pPr>
              <w:pStyle w:val="TableText"/>
            </w:pPr>
            <w:r>
              <w:t>Granted snapshot context</w:t>
            </w:r>
          </w:p>
        </w:tc>
        <w:tc>
          <w:tcPr>
            <w:tcW w:type="dxa" w:w="1872"/>
          </w:tcPr>
          <w:p>
            <w:pPr>
              <w:pStyle w:val="TableText"/>
            </w:pPr>
            <w:r>
              <w:t>Cohort aggregate</w:t>
            </w:r>
          </w:p>
        </w:tc>
      </w:tr>
      <w:tr>
        <w:trPr>
          <w:cantSplit/>
        </w:trPr>
        <w:tc>
          <w:tcPr>
            <w:tcW w:type="dxa" w:w="1872"/>
          </w:tcPr>
          <w:p>
            <w:pPr>
              <w:pStyle w:val="TableText"/>
            </w:pPr>
            <w:r>
              <w:t>Applications</w:t>
            </w:r>
          </w:p>
        </w:tc>
        <w:tc>
          <w:tcPr>
            <w:tcW w:type="dxa" w:w="1872"/>
          </w:tcPr>
          <w:p>
            <w:pPr>
              <w:pStyle w:val="TableText"/>
            </w:pPr>
            <w:r>
              <w:t>Own</w:t>
            </w:r>
          </w:p>
        </w:tc>
        <w:tc>
          <w:tcPr>
            <w:tcW w:type="dxa" w:w="1872"/>
          </w:tcPr>
          <w:p>
            <w:pPr>
              <w:pStyle w:val="TableText"/>
            </w:pPr>
            <w:r>
              <w:t>No default</w:t>
            </w:r>
          </w:p>
        </w:tc>
        <w:tc>
          <w:tcPr>
            <w:tcW w:type="dxa" w:w="1872"/>
          </w:tcPr>
          <w:p>
            <w:pPr>
              <w:pStyle w:val="TableText"/>
            </w:pPr>
            <w:r>
              <w:t>Own employer</w:t>
            </w:r>
          </w:p>
        </w:tc>
        <w:tc>
          <w:tcPr>
            <w:tcW w:type="dxa" w:w="1872"/>
          </w:tcPr>
          <w:p>
            <w:pPr>
              <w:pStyle w:val="TableText"/>
            </w:pPr>
            <w:r>
              <w:t>Enrolled status summary</w:t>
            </w:r>
          </w:p>
        </w:tc>
      </w:tr>
      <w:tr>
        <w:trPr>
          <w:cantSplit/>
        </w:trPr>
        <w:tc>
          <w:tcPr>
            <w:tcW w:type="dxa" w:w="1872"/>
          </w:tcPr>
          <w:p>
            <w:pPr>
              <w:pStyle w:val="TableText"/>
            </w:pPr>
            <w:r>
              <w:t>Audit</w:t>
            </w:r>
          </w:p>
        </w:tc>
        <w:tc>
          <w:tcPr>
            <w:tcW w:type="dxa" w:w="1872"/>
          </w:tcPr>
          <w:p>
            <w:pPr>
              <w:pStyle w:val="TableText"/>
            </w:pPr>
            <w:r>
              <w:t>Own relevant history via API</w:t>
            </w:r>
          </w:p>
        </w:tc>
        <w:tc>
          <w:tcPr>
            <w:tcW w:type="dxa" w:w="1872"/>
          </w:tcPr>
          <w:p>
            <w:pPr>
              <w:pStyle w:val="TableText"/>
            </w:pPr>
            <w:r>
              <w:t>Relevant action history</w:t>
            </w:r>
          </w:p>
        </w:tc>
        <w:tc>
          <w:tcPr>
            <w:tcW w:type="dxa" w:w="1872"/>
          </w:tcPr>
          <w:p>
            <w:pPr>
              <w:pStyle w:val="TableText"/>
            </w:pPr>
            <w:r>
              <w:t>Own-org subset</w:t>
            </w:r>
          </w:p>
        </w:tc>
        <w:tc>
          <w:tcPr>
            <w:tcW w:type="dxa" w:w="1872"/>
          </w:tcPr>
          <w:p>
            <w:pPr>
              <w:pStyle w:val="TableText"/>
            </w:pPr>
            <w:r>
              <w:t>Own-org subset</w:t>
            </w:r>
          </w:p>
        </w:tc>
      </w:tr>
    </w:tbl>
    <w:p>
      <w:pPr>
        <w:pStyle w:val="TableSource"/>
      </w:pPr>
    </w:p>
    <w:p>
      <w:pPr/>
      <w:r>
        <w:t>Platform administration is exceptional and audited, not a blanket UI data feed. Every exposed table requires explicit grants and RLS; views and database functions also need an access review. [S6] Test policies using multiple real authenticated identities, not only a service-role connection.</w:t>
      </w:r>
    </w:p>
    <w:p>
      <w:pPr>
        <w:pStyle w:val="Heading2"/>
      </w:pPr>
      <w:r>
        <w:t>8. Index plan</w:t>
      </w:r>
    </w:p>
    <w:p>
      <w:pPr/>
      <w:r>
        <w:t>memberships(user_id, status, org_id); enrollments(institution_id, status, student_id); opportunities(employer_org_id, status, deadline); opportunity_audiences(institution_id, opportunity_id); submissions(student_id, challenge_id); reviewer_assignments(reviewer_id, status); skill_attainments(student_id, skill_id, reviewed_at DESC); applications(opportunity_id, status, applied_at DESC, id); evidence_grants(employer_org_id, revision_id) WHERE revoked_at IS NULL; notifications(recipient_id, read_at); outbox_events(status, next_attempt_at). Add indexes only after checking existing PK/unique indexes to avoid duplicates.</w:t>
      </w:r>
    </w:p>
    <w:p>
      <w:pPr>
        <w:pStyle w:val="Heading2"/>
      </w:pPr>
      <w:r>
        <w:t>9. Deletion and retention</w:t>
      </w:r>
    </w:p>
    <w:p>
      <w:pPr/>
      <w:r>
        <w:t>Do not cascade-delete review history silently when an organization is suspended. Student deletion is a controlled workflow that revokes grants, removes personal profile/evidence content and retains only justified minimal operational records under the adopted policy. A policy decision must determine retention before a real pilot; no universal legal retention period is asserted here. Test deletion propagation through snapshots, exports and backups. P0 uses synthetic identities and can reset the entire isolated demo dataset.</w:t>
      </w:r>
    </w:p>
    <w:p>
      <w:pPr>
        <w:pStyle w:val="Heading2"/>
      </w:pPr>
      <w:r>
        <w:t>10. Migration order and fixtures</w:t>
      </w:r>
    </w:p>
    <w:p>
      <w:pPr/>
      <w:r>
        <w:t>Create identity/organizations, skills, publication tables, evidence/reviews, applications/grants, audit/outbox, functions, grants and RLS in that order. Seed two institutions and two employers to test isolation, then skills, accounts, publications and evidence. Add approved/pending/suspended organization fixtures. Never seed real classmates' personal data without consent. Rebuild the database from migrations before the final demo to catch undocumented console changes.</w:t>
      </w:r>
    </w:p>
    <w:p>
      <w:r>
        <w:br w:type="page"/>
      </w:r>
    </w:p>
    <w:p>
      <w:pPr>
        <w:pStyle w:val="Heading1"/>
      </w:pPr>
      <w:r>
        <w:t>API specification — /api/v1</w:t>
      </w:r>
    </w:p>
    <w:p>
      <w:pPr>
        <w:pStyle w:val="Heading2"/>
      </w:pPr>
      <w:r>
        <w:t>1. Protocol conventions</w:t>
      </w:r>
    </w:p>
    <w:p>
      <w:pPr/>
      <w:r>
        <w:t>REST JSON over HTTPS. Web clients use verified same-origin sessions; privileged operations require current membership checks. IDs are UUID strings, timestamps ISO 8601 UTC, and versions positive integers. Success returns {data, meta}; errors return {error:{code,message,field_errors,request_id}}. List meta contains next_cursor and has_more. Default limit 20, maximum 100. Cursor pagination uses created_at plus id and an opaque cursor encoding; clients must not construct cursors.</w:t>
      </w:r>
    </w:p>
    <w:p>
      <w:pPr/>
      <w:r>
        <w:t>POST creation returns 201; ordinary GET/PATCH and action success return 200; accepted asynchronous P1 AI work returns 202. Use 400 for malformed JSON, 401 for no valid session, 403 for a known disallowed action, 404 for missing or inaccessible private objects, 409 for state/version/idempotency conflicts, 422 for field/domain validation, 429 for rate limits and 503 for dependency failure. Include Retry-After on 429 where known. Responses must not expose database errors, SQL or secrets.</w:t>
      </w:r>
    </w:p>
    <w:p>
      <w:pPr>
        <w:pStyle w:val="Heading2"/>
      </w:pPr>
      <w:r>
        <w:t>2. Identity and organization endpoints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3400"/>
        <w:gridCol w:w="2800"/>
        <w:gridCol w:w="3160"/>
      </w:tblGrid>
      <w:tr>
        <w:trPr>
          <w:cantSplit/>
          <w:tblHeader/>
        </w:trPr>
        <w:tc>
          <w:tcPr>
            <w:tcW w:type="dxa" w:w="3400"/>
            <w:shd w:fill="E8EEF5"/>
          </w:tcPr>
          <w:p>
            <w:pPr>
              <w:pStyle w:val="TableText"/>
            </w:pPr>
            <w:r>
              <w:rPr>
                <w:b/>
              </w:rPr>
              <w:t>Method and path</w:t>
            </w:r>
          </w:p>
        </w:tc>
        <w:tc>
          <w:tcPr>
            <w:tcW w:type="dxa" w:w="2800"/>
            <w:shd w:fill="E8EEF5"/>
          </w:tcPr>
          <w:p>
            <w:pPr>
              <w:pStyle w:val="TableText"/>
            </w:pPr>
            <w:r>
              <w:rPr>
                <w:b/>
              </w:rPr>
              <w:t>Input</w:t>
            </w:r>
          </w:p>
        </w:tc>
        <w:tc>
          <w:tcPr>
            <w:tcW w:type="dxa" w:w="3160"/>
            <w:shd w:fill="E8EEF5"/>
          </w:tcPr>
          <w:p>
            <w:pPr>
              <w:pStyle w:val="TableText"/>
            </w:pPr>
            <w:r>
              <w:rPr>
                <w:b/>
              </w:rPr>
              <w:t>Result / permission</w:t>
            </w:r>
          </w:p>
        </w:tc>
      </w:tr>
      <w:tr>
        <w:trPr>
          <w:cantSplit/>
        </w:trPr>
        <w:tc>
          <w:tcPr>
            <w:tcW w:type="dxa" w:w="3400"/>
          </w:tcPr>
          <w:p>
            <w:pPr>
              <w:pStyle w:val="TableText"/>
            </w:pPr>
            <w:r>
              <w:t>GET /me</w:t>
            </w:r>
          </w:p>
        </w:tc>
        <w:tc>
          <w:tcPr>
            <w:tcW w:type="dxa" w:w="2800"/>
          </w:tcPr>
          <w:p>
            <w:pPr>
              <w:pStyle w:val="TableText"/>
            </w:pPr>
            <w:r>
              <w:t>None</w:t>
            </w:r>
          </w:p>
        </w:tc>
        <w:tc>
          <w:tcPr>
            <w:tcW w:type="dxa" w:w="3160"/>
          </w:tcPr>
          <w:p>
            <w:pPr>
              <w:pStyle w:val="TableText"/>
            </w:pPr>
            <w:r>
              <w:t>Profile, memberships, active enrollment</w:t>
            </w:r>
          </w:p>
        </w:tc>
      </w:tr>
      <w:tr>
        <w:trPr>
          <w:cantSplit/>
        </w:trPr>
        <w:tc>
          <w:tcPr>
            <w:tcW w:type="dxa" w:w="3400"/>
          </w:tcPr>
          <w:p>
            <w:pPr>
              <w:pStyle w:val="TableText"/>
            </w:pPr>
            <w:r>
              <w:t>PATCH /me</w:t>
            </w:r>
          </w:p>
        </w:tc>
        <w:tc>
          <w:tcPr>
            <w:tcW w:type="dxa" w:w="2800"/>
          </w:tcPr>
          <w:p>
            <w:pPr>
              <w:pStyle w:val="TableText"/>
            </w:pPr>
            <w:r>
              <w:t>display_name, timezone</w:t>
            </w:r>
          </w:p>
        </w:tc>
        <w:tc>
          <w:tcPr>
            <w:tcW w:type="dxa" w:w="3160"/>
          </w:tcPr>
          <w:p>
            <w:pPr>
              <w:pStyle w:val="TableText"/>
            </w:pPr>
            <w:r>
              <w:t>Own profile only</w:t>
            </w:r>
          </w:p>
        </w:tc>
      </w:tr>
      <w:tr>
        <w:trPr>
          <w:cantSplit/>
        </w:trPr>
        <w:tc>
          <w:tcPr>
            <w:tcW w:type="dxa" w:w="3400"/>
          </w:tcPr>
          <w:p>
            <w:pPr>
              <w:pStyle w:val="TableText"/>
            </w:pPr>
            <w:r>
              <w:t>PATCH /me/student-profile</w:t>
            </w:r>
          </w:p>
        </w:tc>
        <w:tc>
          <w:tcPr>
            <w:tcW w:type="dxa" w:w="2800"/>
          </w:tcPr>
          <w:p>
            <w:pPr>
              <w:pStyle w:val="TableText"/>
            </w:pPr>
            <w:r>
              <w:t>headline, program, graduation_year</w:t>
            </w:r>
          </w:p>
        </w:tc>
        <w:tc>
          <w:tcPr>
            <w:tcW w:type="dxa" w:w="3160"/>
          </w:tcPr>
          <w:p>
            <w:pPr>
              <w:pStyle w:val="TableText"/>
            </w:pPr>
            <w:r>
              <w:t>Own student fields</w:t>
            </w:r>
          </w:p>
        </w:tc>
      </w:tr>
      <w:tr>
        <w:trPr>
          <w:cantSplit/>
        </w:trPr>
        <w:tc>
          <w:tcPr>
            <w:tcW w:type="dxa" w:w="3400"/>
          </w:tcPr>
          <w:p>
            <w:pPr>
              <w:pStyle w:val="TableText"/>
            </w:pPr>
            <w:r>
              <w:t>PUT /me/declared-skills</w:t>
            </w:r>
          </w:p>
        </w:tc>
        <w:tc>
          <w:tcPr>
            <w:tcW w:type="dxa" w:w="2800"/>
          </w:tcPr>
          <w:p>
            <w:pPr>
              <w:pStyle w:val="TableText"/>
            </w:pPr>
            <w:r>
              <w:t>skills[{skill_id,claimed_level}]</w:t>
            </w:r>
          </w:p>
        </w:tc>
        <w:tc>
          <w:tcPr>
            <w:tcW w:type="dxa" w:w="3160"/>
          </w:tcPr>
          <w:p>
            <w:pPr>
              <w:pStyle w:val="TableText"/>
            </w:pPr>
            <w:r>
              <w:t>Replaces own declarations</w:t>
            </w:r>
          </w:p>
        </w:tc>
      </w:tr>
      <w:tr>
        <w:trPr>
          <w:cantSplit/>
        </w:trPr>
        <w:tc>
          <w:tcPr>
            <w:tcW w:type="dxa" w:w="3400"/>
          </w:tcPr>
          <w:p>
            <w:pPr>
              <w:pStyle w:val="TableText"/>
            </w:pPr>
            <w:r>
              <w:t>GET /skills</w:t>
            </w:r>
          </w:p>
        </w:tc>
        <w:tc>
          <w:tcPr>
            <w:tcW w:type="dxa" w:w="2800"/>
          </w:tcPr>
          <w:p>
            <w:pPr>
              <w:pStyle w:val="TableText"/>
            </w:pPr>
            <w:r>
              <w:t>q, limit, cursor</w:t>
            </w:r>
          </w:p>
        </w:tc>
        <w:tc>
          <w:tcPr>
            <w:tcW w:type="dxa" w:w="3160"/>
          </w:tcPr>
          <w:p>
            <w:pPr>
              <w:pStyle w:val="TableText"/>
            </w:pPr>
            <w:r>
              <w:t>Active canonical catalog</w:t>
            </w:r>
          </w:p>
        </w:tc>
      </w:tr>
      <w:tr>
        <w:trPr>
          <w:cantSplit/>
        </w:trPr>
        <w:tc>
          <w:tcPr>
            <w:tcW w:type="dxa" w:w="3400"/>
          </w:tcPr>
          <w:p>
            <w:pPr>
              <w:pStyle w:val="TableText"/>
            </w:pPr>
            <w:r>
              <w:t>GET /admin/organizations</w:t>
            </w:r>
          </w:p>
        </w:tc>
        <w:tc>
          <w:tcPr>
            <w:tcW w:type="dxa" w:w="2800"/>
          </w:tcPr>
          <w:p>
            <w:pPr>
              <w:pStyle w:val="TableText"/>
            </w:pPr>
            <w:r>
              <w:t>status</w:t>
            </w:r>
          </w:p>
        </w:tc>
        <w:tc>
          <w:tcPr>
            <w:tcW w:type="dxa" w:w="3160"/>
          </w:tcPr>
          <w:p>
            <w:pPr>
              <w:pStyle w:val="TableText"/>
            </w:pPr>
            <w:r>
              <w:t>Admin approval queue</w:t>
            </w:r>
          </w:p>
        </w:tc>
      </w:tr>
      <w:tr>
        <w:trPr>
          <w:cantSplit/>
        </w:trPr>
        <w:tc>
          <w:tcPr>
            <w:tcW w:type="dxa" w:w="3400"/>
          </w:tcPr>
          <w:p>
            <w:pPr>
              <w:pStyle w:val="TableText"/>
            </w:pPr>
            <w:r>
              <w:t>POST /admin/organizations/{id}/decision</w:t>
            </w:r>
          </w:p>
        </w:tc>
        <w:tc>
          <w:tcPr>
            <w:tcW w:type="dxa" w:w="2800"/>
          </w:tcPr>
          <w:p>
            <w:pPr>
              <w:pStyle w:val="TableText"/>
            </w:pPr>
            <w:r>
              <w:t>decision, reason, expected_version</w:t>
            </w:r>
          </w:p>
        </w:tc>
        <w:tc>
          <w:tcPr>
            <w:tcW w:type="dxa" w:w="3160"/>
          </w:tcPr>
          <w:p>
            <w:pPr>
              <w:pStyle w:val="TableText"/>
            </w:pPr>
            <w:r>
              <w:t>Admin approve/reject/suspend</w:t>
            </w:r>
          </w:p>
        </w:tc>
      </w:tr>
    </w:tbl>
    <w:p>
      <w:pPr>
        <w:pStyle w:val="TableSource"/>
      </w:pPr>
    </w:p>
    <w:p>
      <w:pPr/>
      <w:r>
        <w:t>Account sign-in, sign-out and password reset use Supabase Auth rather than parallel custom password endpoints. P0 memberships and reviewer assignments are seeded or admin-managed; general invitation management is P1. End users cannot assign themselves recruiter, coordinator or admin roles.</w:t>
      </w:r>
    </w:p>
    <w:p>
      <w:pPr>
        <w:pStyle w:val="Heading2"/>
      </w:pPr>
      <w:r>
        <w:t>3. Opportunities and challenges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3400"/>
        <w:gridCol w:w="2800"/>
        <w:gridCol w:w="3160"/>
      </w:tblGrid>
      <w:tr>
        <w:trPr>
          <w:cantSplit/>
          <w:tblHeader/>
        </w:trPr>
        <w:tc>
          <w:tcPr>
            <w:tcW w:type="dxa" w:w="3400"/>
            <w:shd w:fill="E8EEF5"/>
          </w:tcPr>
          <w:p>
            <w:pPr>
              <w:pStyle w:val="TableText"/>
            </w:pPr>
            <w:r>
              <w:rPr>
                <w:b/>
              </w:rPr>
              <w:t>Method and path</w:t>
            </w:r>
          </w:p>
        </w:tc>
        <w:tc>
          <w:tcPr>
            <w:tcW w:type="dxa" w:w="2800"/>
            <w:shd w:fill="E8EEF5"/>
          </w:tcPr>
          <w:p>
            <w:pPr>
              <w:pStyle w:val="TableText"/>
            </w:pPr>
            <w:r>
              <w:rPr>
                <w:b/>
              </w:rPr>
              <w:t>Input</w:t>
            </w:r>
          </w:p>
        </w:tc>
        <w:tc>
          <w:tcPr>
            <w:tcW w:type="dxa" w:w="3160"/>
            <w:shd w:fill="E8EEF5"/>
          </w:tcPr>
          <w:p>
            <w:pPr>
              <w:pStyle w:val="TableText"/>
            </w:pPr>
            <w:r>
              <w:rPr>
                <w:b/>
              </w:rPr>
              <w:t>Result / permission</w:t>
            </w:r>
          </w:p>
        </w:tc>
      </w:tr>
      <w:tr>
        <w:trPr>
          <w:cantSplit/>
        </w:trPr>
        <w:tc>
          <w:tcPr>
            <w:tcW w:type="dxa" w:w="3400"/>
          </w:tcPr>
          <w:p>
            <w:pPr>
              <w:pStyle w:val="TableText"/>
            </w:pPr>
            <w:r>
              <w:t>GET /opportunities</w:t>
            </w:r>
          </w:p>
        </w:tc>
        <w:tc>
          <w:tcPr>
            <w:tcW w:type="dxa" w:w="2800"/>
          </w:tcPr>
          <w:p>
            <w:pPr>
              <w:pStyle w:val="TableText"/>
            </w:pPr>
            <w:r>
              <w:t>q, skill_id, work_mode, cursor</w:t>
            </w:r>
          </w:p>
        </w:tc>
        <w:tc>
          <w:tcPr>
            <w:tcW w:type="dxa" w:w="3160"/>
          </w:tcPr>
          <w:p>
            <w:pPr>
              <w:pStyle w:val="TableText"/>
            </w:pPr>
            <w:r>
              <w:t>Scoped summaries</w:t>
            </w:r>
          </w:p>
        </w:tc>
      </w:tr>
      <w:tr>
        <w:trPr>
          <w:cantSplit/>
        </w:trPr>
        <w:tc>
          <w:tcPr>
            <w:tcW w:type="dxa" w:w="3400"/>
          </w:tcPr>
          <w:p>
            <w:pPr>
              <w:pStyle w:val="TableText"/>
            </w:pPr>
            <w:r>
              <w:t>POST /opportunities</w:t>
            </w:r>
          </w:p>
        </w:tc>
        <w:tc>
          <w:tcPr>
            <w:tcW w:type="dxa" w:w="2800"/>
          </w:tcPr>
          <w:p>
            <w:pPr>
              <w:pStyle w:val="TableText"/>
            </w:pPr>
            <w:r>
              <w:t>org_id, draft fields</w:t>
            </w:r>
          </w:p>
        </w:tc>
        <w:tc>
          <w:tcPr>
            <w:tcW w:type="dxa" w:w="3160"/>
          </w:tcPr>
          <w:p>
            <w:pPr>
              <w:pStyle w:val="TableText"/>
            </w:pPr>
            <w:r>
              <w:t>Employer member creates draft</w:t>
            </w:r>
          </w:p>
        </w:tc>
      </w:tr>
      <w:tr>
        <w:trPr>
          <w:cantSplit/>
        </w:trPr>
        <w:tc>
          <w:tcPr>
            <w:tcW w:type="dxa" w:w="3400"/>
          </w:tcPr>
          <w:p>
            <w:pPr>
              <w:pStyle w:val="TableText"/>
            </w:pPr>
            <w:r>
              <w:t>GET /opportunities/{id}</w:t>
            </w:r>
          </w:p>
        </w:tc>
        <w:tc>
          <w:tcPr>
            <w:tcW w:type="dxa" w:w="2800"/>
          </w:tcPr>
          <w:p>
            <w:pPr>
              <w:pStyle w:val="TableText"/>
            </w:pPr>
            <w:r>
              <w:t>None</w:t>
            </w:r>
          </w:p>
        </w:tc>
        <w:tc>
          <w:tcPr>
            <w:tcW w:type="dxa" w:w="3160"/>
          </w:tcPr>
          <w:p>
            <w:pPr>
              <w:pStyle w:val="TableText"/>
            </w:pPr>
            <w:r>
              <w:t>Audience or owner detail</w:t>
            </w:r>
          </w:p>
        </w:tc>
      </w:tr>
      <w:tr>
        <w:trPr>
          <w:cantSplit/>
        </w:trPr>
        <w:tc>
          <w:tcPr>
            <w:tcW w:type="dxa" w:w="3400"/>
          </w:tcPr>
          <w:p>
            <w:pPr>
              <w:pStyle w:val="TableText"/>
            </w:pPr>
            <w:r>
              <w:t>PATCH /opportunities/{id}</w:t>
            </w:r>
          </w:p>
        </w:tc>
        <w:tc>
          <w:tcPr>
            <w:tcW w:type="dxa" w:w="2800"/>
          </w:tcPr>
          <w:p>
            <w:pPr>
              <w:pStyle w:val="TableText"/>
            </w:pPr>
            <w:r>
              <w:t>draft fields, expected_version</w:t>
            </w:r>
          </w:p>
        </w:tc>
        <w:tc>
          <w:tcPr>
            <w:tcW w:type="dxa" w:w="3160"/>
          </w:tcPr>
          <w:p>
            <w:pPr>
              <w:pStyle w:val="TableText"/>
            </w:pPr>
            <w:r>
              <w:t>Owning employer, draft only</w:t>
            </w:r>
          </w:p>
        </w:tc>
      </w:tr>
      <w:tr>
        <w:trPr>
          <w:cantSplit/>
        </w:trPr>
        <w:tc>
          <w:tcPr>
            <w:tcW w:type="dxa" w:w="3400"/>
          </w:tcPr>
          <w:p>
            <w:pPr>
              <w:pStyle w:val="TableText"/>
            </w:pPr>
            <w:r>
              <w:t>POST /opportunities/{id}/publish</w:t>
            </w:r>
          </w:p>
        </w:tc>
        <w:tc>
          <w:tcPr>
            <w:tcW w:type="dxa" w:w="2800"/>
          </w:tcPr>
          <w:p>
            <w:pPr>
              <w:pStyle w:val="TableText"/>
            </w:pPr>
            <w:r>
              <w:t>expected_version</w:t>
            </w:r>
          </w:p>
        </w:tc>
        <w:tc>
          <w:tcPr>
            <w:tcW w:type="dxa" w:w="3160"/>
          </w:tcPr>
          <w:p>
            <w:pPr>
              <w:pStyle w:val="TableText"/>
            </w:pPr>
            <w:r>
              <w:t>Approved employer, validates all fields</w:t>
            </w:r>
          </w:p>
        </w:tc>
      </w:tr>
      <w:tr>
        <w:trPr>
          <w:cantSplit/>
        </w:trPr>
        <w:tc>
          <w:tcPr>
            <w:tcW w:type="dxa" w:w="3400"/>
          </w:tcPr>
          <w:p>
            <w:pPr>
              <w:pStyle w:val="TableText"/>
            </w:pPr>
            <w:r>
              <w:t>POST /opportunities/{id}/close</w:t>
            </w:r>
          </w:p>
        </w:tc>
        <w:tc>
          <w:tcPr>
            <w:tcW w:type="dxa" w:w="2800"/>
          </w:tcPr>
          <w:p>
            <w:pPr>
              <w:pStyle w:val="TableText"/>
            </w:pPr>
            <w:r>
              <w:t>reason, expected_version</w:t>
            </w:r>
          </w:p>
        </w:tc>
        <w:tc>
          <w:tcPr>
            <w:tcW w:type="dxa" w:w="3160"/>
          </w:tcPr>
          <w:p>
            <w:pPr>
              <w:pStyle w:val="TableText"/>
            </w:pPr>
            <w:r>
              <w:t>Owning employer</w:t>
            </w:r>
          </w:p>
        </w:tc>
      </w:tr>
      <w:tr>
        <w:trPr>
          <w:cantSplit/>
        </w:trPr>
        <w:tc>
          <w:tcPr>
            <w:tcW w:type="dxa" w:w="3400"/>
          </w:tcPr>
          <w:p>
            <w:pPr>
              <w:pStyle w:val="TableText"/>
            </w:pPr>
            <w:r>
              <w:t>GET /opportunities/{id}/match</w:t>
            </w:r>
          </w:p>
        </w:tc>
        <w:tc>
          <w:tcPr>
            <w:tcW w:type="dxa" w:w="2800"/>
          </w:tcPr>
          <w:p>
            <w:pPr>
              <w:pStyle w:val="TableText"/>
            </w:pPr>
            <w:r>
              <w:t>None</w:t>
            </w:r>
          </w:p>
        </w:tc>
        <w:tc>
          <w:tcPr>
            <w:tcW w:type="dxa" w:w="3160"/>
          </w:tcPr>
          <w:p>
            <w:pPr>
              <w:pStyle w:val="TableText"/>
            </w:pPr>
            <w:r>
              <w:t>Current student's live breakdown</w:t>
            </w:r>
          </w:p>
        </w:tc>
      </w:tr>
      <w:tr>
        <w:trPr>
          <w:cantSplit/>
        </w:trPr>
        <w:tc>
          <w:tcPr>
            <w:tcW w:type="dxa" w:w="3400"/>
          </w:tcPr>
          <w:p>
            <w:pPr>
              <w:pStyle w:val="TableText"/>
            </w:pPr>
            <w:r>
              <w:t>POST /challenges</w:t>
            </w:r>
          </w:p>
        </w:tc>
        <w:tc>
          <w:tcPr>
            <w:tcW w:type="dxa" w:w="2800"/>
          </w:tcPr>
          <w:p>
            <w:pPr>
              <w:pStyle w:val="TableText"/>
            </w:pPr>
            <w:r>
              <w:t>org_id, opportunity_id, brief, rubric, audience</w:t>
            </w:r>
          </w:p>
        </w:tc>
        <w:tc>
          <w:tcPr>
            <w:tcW w:type="dxa" w:w="3160"/>
          </w:tcPr>
          <w:p>
            <w:pPr>
              <w:pStyle w:val="TableText"/>
            </w:pPr>
            <w:r>
              <w:t>Employer draft</w:t>
            </w:r>
          </w:p>
        </w:tc>
      </w:tr>
      <w:tr>
        <w:trPr>
          <w:cantSplit/>
        </w:trPr>
        <w:tc>
          <w:tcPr>
            <w:tcW w:type="dxa" w:w="3400"/>
          </w:tcPr>
          <w:p>
            <w:pPr>
              <w:pStyle w:val="TableText"/>
            </w:pPr>
            <w:r>
              <w:t>GET /challenges/{id}</w:t>
            </w:r>
          </w:p>
        </w:tc>
        <w:tc>
          <w:tcPr>
            <w:tcW w:type="dxa" w:w="2800"/>
          </w:tcPr>
          <w:p>
            <w:pPr>
              <w:pStyle w:val="TableText"/>
            </w:pPr>
            <w:r>
              <w:t>None</w:t>
            </w:r>
          </w:p>
        </w:tc>
        <w:tc>
          <w:tcPr>
            <w:tcW w:type="dxa" w:w="3160"/>
          </w:tcPr>
          <w:p>
            <w:pPr>
              <w:pStyle w:val="TableText"/>
            </w:pPr>
            <w:r>
              <w:t>Audience/owner task and rubric</w:t>
            </w:r>
          </w:p>
        </w:tc>
      </w:tr>
      <w:tr>
        <w:trPr>
          <w:cantSplit/>
        </w:trPr>
        <w:tc>
          <w:tcPr>
            <w:tcW w:type="dxa" w:w="3400"/>
          </w:tcPr>
          <w:p>
            <w:pPr>
              <w:pStyle w:val="TableText"/>
            </w:pPr>
            <w:r>
              <w:t>PATCH /challenges/{id}</w:t>
            </w:r>
          </w:p>
        </w:tc>
        <w:tc>
          <w:tcPr>
            <w:tcW w:type="dxa" w:w="2800"/>
          </w:tcPr>
          <w:p>
            <w:pPr>
              <w:pStyle w:val="TableText"/>
            </w:pPr>
            <w:r>
              <w:t>draft fields, expected_version</w:t>
            </w:r>
          </w:p>
        </w:tc>
        <w:tc>
          <w:tcPr>
            <w:tcW w:type="dxa" w:w="3160"/>
          </w:tcPr>
          <w:p>
            <w:pPr>
              <w:pStyle w:val="TableText"/>
            </w:pPr>
            <w:r>
              <w:t>Owning employer, draft only</w:t>
            </w:r>
          </w:p>
        </w:tc>
      </w:tr>
      <w:tr>
        <w:trPr>
          <w:cantSplit/>
        </w:trPr>
        <w:tc>
          <w:tcPr>
            <w:tcW w:type="dxa" w:w="3400"/>
          </w:tcPr>
          <w:p>
            <w:pPr>
              <w:pStyle w:val="TableText"/>
            </w:pPr>
            <w:r>
              <w:t>POST /challenges/{id}/publish</w:t>
            </w:r>
          </w:p>
        </w:tc>
        <w:tc>
          <w:tcPr>
            <w:tcW w:type="dxa" w:w="2800"/>
          </w:tcPr>
          <w:p>
            <w:pPr>
              <w:pStyle w:val="TableText"/>
            </w:pPr>
            <w:r>
              <w:t>expected_version</w:t>
            </w:r>
          </w:p>
        </w:tc>
        <w:tc>
          <w:tcPr>
            <w:tcW w:type="dxa" w:w="3160"/>
          </w:tcPr>
          <w:p>
            <w:pPr>
              <w:pStyle w:val="TableText"/>
            </w:pPr>
            <w:r>
              <w:t>Validates/fixes rubric version</w:t>
            </w:r>
          </w:p>
        </w:tc>
      </w:tr>
      <w:tr>
        <w:trPr>
          <w:cantSplit/>
        </w:trPr>
        <w:tc>
          <w:tcPr>
            <w:tcW w:type="dxa" w:w="3400"/>
          </w:tcPr>
          <w:p>
            <w:pPr>
              <w:pStyle w:val="TableText"/>
            </w:pPr>
            <w:r>
              <w:t>GET /challenges</w:t>
            </w:r>
          </w:p>
        </w:tc>
        <w:tc>
          <w:tcPr>
            <w:tcW w:type="dxa" w:w="2800"/>
          </w:tcPr>
          <w:p>
            <w:pPr>
              <w:pStyle w:val="TableText"/>
            </w:pPr>
            <w:r>
              <w:t>skill_id, opportunity_id, cursor</w:t>
            </w:r>
          </w:p>
        </w:tc>
        <w:tc>
          <w:tcPr>
            <w:tcW w:type="dxa" w:w="3160"/>
          </w:tcPr>
          <w:p>
            <w:pPr>
              <w:pStyle w:val="TableText"/>
            </w:pPr>
            <w:r>
              <w:t>Published challenges within audience</w:t>
            </w:r>
          </w:p>
        </w:tc>
      </w:tr>
    </w:tbl>
    <w:p>
      <w:pPr>
        <w:pStyle w:val="TableSource"/>
      </w:pPr>
    </w:p>
    <w:p>
      <w:pPr/>
      <w:r>
        <w:t>Opportunity draft fields: title, description, work_mode(remote/hybrid/onsite), location_text, duration_text, deadline, compensation{kind,amount_minor,currency,pay_period}, audience_institution_ids and requirements[{skill_id,required_level,weight}]. Kind is paid/unpaid/unspecified. Required levels are 1–4; weights total 100 on publication. Public summary responses exclude private employer contact data and all candidate data.</w:t>
      </w:r>
    </w:p>
    <w:p>
      <w:pPr/>
      <w:r>
        <w:t>Challenge fields: title, brief, deadline, effort_minutes, ai_policy, audience_institution_ids and rubric[{skill_id,title,anchors:{1,2,3,4}}]. P0 maps each criterion to exactly one unique skill. Publication freezes the rubric and returns rubric_version. New versions require a replacement challenge in P0.</w:t>
      </w:r>
    </w:p>
    <w:p>
      <w:pPr>
        <w:pStyle w:val="Heading2"/>
      </w:pPr>
      <w:r>
        <w:t>4. Evidence and reviews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3400"/>
        <w:gridCol w:w="2800"/>
        <w:gridCol w:w="3160"/>
      </w:tblGrid>
      <w:tr>
        <w:trPr>
          <w:cantSplit/>
          <w:tblHeader/>
        </w:trPr>
        <w:tc>
          <w:tcPr>
            <w:tcW w:type="dxa" w:w="3400"/>
            <w:shd w:fill="E8EEF5"/>
          </w:tcPr>
          <w:p>
            <w:pPr>
              <w:pStyle w:val="TableText"/>
            </w:pPr>
            <w:r>
              <w:rPr>
                <w:b/>
              </w:rPr>
              <w:t>Method and path</w:t>
            </w:r>
          </w:p>
        </w:tc>
        <w:tc>
          <w:tcPr>
            <w:tcW w:type="dxa" w:w="2800"/>
            <w:shd w:fill="E8EEF5"/>
          </w:tcPr>
          <w:p>
            <w:pPr>
              <w:pStyle w:val="TableText"/>
            </w:pPr>
            <w:r>
              <w:rPr>
                <w:b/>
              </w:rPr>
              <w:t>Input</w:t>
            </w:r>
          </w:p>
        </w:tc>
        <w:tc>
          <w:tcPr>
            <w:tcW w:type="dxa" w:w="3160"/>
            <w:shd w:fill="E8EEF5"/>
          </w:tcPr>
          <w:p>
            <w:pPr>
              <w:pStyle w:val="TableText"/>
            </w:pPr>
            <w:r>
              <w:rPr>
                <w:b/>
              </w:rPr>
              <w:t>Result / permission</w:t>
            </w:r>
          </w:p>
        </w:tc>
      </w:tr>
      <w:tr>
        <w:trPr>
          <w:cantSplit/>
        </w:trPr>
        <w:tc>
          <w:tcPr>
            <w:tcW w:type="dxa" w:w="3400"/>
          </w:tcPr>
          <w:p>
            <w:pPr>
              <w:pStyle w:val="TableText"/>
            </w:pPr>
            <w:r>
              <w:t>POST /submissions</w:t>
            </w:r>
          </w:p>
        </w:tc>
        <w:tc>
          <w:tcPr>
            <w:tcW w:type="dxa" w:w="2800"/>
          </w:tcPr>
          <w:p>
            <w:pPr>
              <w:pStyle w:val="TableText"/>
            </w:pPr>
            <w:r>
              <w:t>challenge_id</w:t>
            </w:r>
          </w:p>
        </w:tc>
        <w:tc>
          <w:tcPr>
            <w:tcW w:type="dxa" w:w="3160"/>
          </w:tcPr>
          <w:p>
            <w:pPr>
              <w:pStyle w:val="TableText"/>
            </w:pPr>
            <w:r>
              <w:t>Creates own draft and revision 1</w:t>
            </w:r>
          </w:p>
        </w:tc>
      </w:tr>
      <w:tr>
        <w:trPr>
          <w:cantSplit/>
        </w:trPr>
        <w:tc>
          <w:tcPr>
            <w:tcW w:type="dxa" w:w="3400"/>
          </w:tcPr>
          <w:p>
            <w:pPr>
              <w:pStyle w:val="TableText"/>
            </w:pPr>
            <w:r>
              <w:t>GET /submissions/{id}</w:t>
            </w:r>
          </w:p>
        </w:tc>
        <w:tc>
          <w:tcPr>
            <w:tcW w:type="dxa" w:w="2800"/>
          </w:tcPr>
          <w:p>
            <w:pPr>
              <w:pStyle w:val="TableText"/>
            </w:pPr>
            <w:r>
              <w:t>None</w:t>
            </w:r>
          </w:p>
        </w:tc>
        <w:tc>
          <w:tcPr>
            <w:tcW w:type="dxa" w:w="3160"/>
          </w:tcPr>
          <w:p>
            <w:pPr>
              <w:pStyle w:val="TableText"/>
            </w:pPr>
            <w:r>
              <w:t>Owner or specifically authorized context</w:t>
            </w:r>
          </w:p>
        </w:tc>
      </w:tr>
      <w:tr>
        <w:trPr>
          <w:cantSplit/>
        </w:trPr>
        <w:tc>
          <w:tcPr>
            <w:tcW w:type="dxa" w:w="3400"/>
          </w:tcPr>
          <w:p>
            <w:pPr>
              <w:pStyle w:val="TableText"/>
            </w:pPr>
            <w:r>
              <w:t>PATCH /submissions/{id}/draft</w:t>
            </w:r>
          </w:p>
        </w:tc>
        <w:tc>
          <w:tcPr>
            <w:tcW w:type="dxa" w:w="2800"/>
          </w:tcPr>
          <w:p>
            <w:pPr>
              <w:pStyle w:val="TableText"/>
            </w:pPr>
            <w:r>
              <w:t>title, body, contribution, links, expected_version</w:t>
            </w:r>
          </w:p>
        </w:tc>
        <w:tc>
          <w:tcPr>
            <w:tcW w:type="dxa" w:w="3160"/>
          </w:tcPr>
          <w:p>
            <w:pPr>
              <w:pStyle w:val="TableText"/>
            </w:pPr>
            <w:r>
              <w:t>Own active draft</w:t>
            </w:r>
          </w:p>
        </w:tc>
      </w:tr>
      <w:tr>
        <w:trPr>
          <w:cantSplit/>
        </w:trPr>
        <w:tc>
          <w:tcPr>
            <w:tcW w:type="dxa" w:w="3400"/>
          </w:tcPr>
          <w:p>
            <w:pPr>
              <w:pStyle w:val="TableText"/>
            </w:pPr>
            <w:r>
              <w:t>POST /submissions/{id}/finalize</w:t>
            </w:r>
          </w:p>
        </w:tc>
        <w:tc>
          <w:tcPr>
            <w:tcW w:type="dxa" w:w="2800"/>
          </w:tcPr>
          <w:p>
            <w:pPr>
              <w:pStyle w:val="TableText"/>
            </w:pPr>
            <w:r>
              <w:t>expected_version</w:t>
            </w:r>
          </w:p>
        </w:tc>
        <w:tc>
          <w:tcPr>
            <w:tcW w:type="dxa" w:w="3160"/>
          </w:tcPr>
          <w:p>
            <w:pPr>
              <w:pStyle w:val="TableText"/>
            </w:pPr>
            <w:r>
              <w:t>Locks revision; requires idempotency key</w:t>
            </w:r>
          </w:p>
        </w:tc>
      </w:tr>
      <w:tr>
        <w:trPr>
          <w:cantSplit/>
        </w:trPr>
        <w:tc>
          <w:tcPr>
            <w:tcW w:type="dxa" w:w="3400"/>
          </w:tcPr>
          <w:p>
            <w:pPr>
              <w:pStyle w:val="TableText"/>
            </w:pPr>
            <w:r>
              <w:t>POST /submissions/{id}/revisions</w:t>
            </w:r>
          </w:p>
        </w:tc>
        <w:tc>
          <w:tcPr>
            <w:tcW w:type="dxa" w:w="2800"/>
          </w:tcPr>
          <w:p>
            <w:pPr>
              <w:pStyle w:val="TableText"/>
            </w:pPr>
            <w:r>
              <w:t>expected_version</w:t>
            </w:r>
          </w:p>
        </w:tc>
        <w:tc>
          <w:tcPr>
            <w:tcW w:type="dxa" w:w="3160"/>
          </w:tcPr>
          <w:p>
            <w:pPr>
              <w:pStyle w:val="TableText"/>
            </w:pPr>
            <w:r>
              <w:t>Own changes-requested submission</w:t>
            </w:r>
          </w:p>
        </w:tc>
      </w:tr>
      <w:tr>
        <w:trPr>
          <w:cantSplit/>
        </w:trPr>
        <w:tc>
          <w:tcPr>
            <w:tcW w:type="dxa" w:w="3400"/>
          </w:tcPr>
          <w:p>
            <w:pPr>
              <w:pStyle w:val="TableText"/>
            </w:pPr>
            <w:r>
              <w:t>GET /reviewer/queue</w:t>
            </w:r>
          </w:p>
        </w:tc>
        <w:tc>
          <w:tcPr>
            <w:tcW w:type="dxa" w:w="2800"/>
          </w:tcPr>
          <w:p>
            <w:pPr>
              <w:pStyle w:val="TableText"/>
            </w:pPr>
            <w:r>
              <w:t>cursor</w:t>
            </w:r>
          </w:p>
        </w:tc>
        <w:tc>
          <w:tcPr>
            <w:tcW w:type="dxa" w:w="3160"/>
          </w:tcPr>
          <w:p>
            <w:pPr>
              <w:pStyle w:val="TableText"/>
            </w:pPr>
            <w:r>
              <w:t>Current reviewer's assignments</w:t>
            </w:r>
          </w:p>
        </w:tc>
      </w:tr>
      <w:tr>
        <w:trPr>
          <w:cantSplit/>
        </w:trPr>
        <w:tc>
          <w:tcPr>
            <w:tcW w:type="dxa" w:w="3400"/>
          </w:tcPr>
          <w:p>
            <w:pPr>
              <w:pStyle w:val="TableText"/>
            </w:pPr>
            <w:r>
              <w:t>POST /review-assignments</w:t>
            </w:r>
          </w:p>
        </w:tc>
        <w:tc>
          <w:tcPr>
            <w:tcW w:type="dxa" w:w="2800"/>
          </w:tcPr>
          <w:p>
            <w:pPr>
              <w:pStyle w:val="TableText"/>
            </w:pPr>
            <w:r>
              <w:t>revision_id, reviewer_id</w:t>
            </w:r>
          </w:p>
        </w:tc>
        <w:tc>
          <w:tcPr>
            <w:tcW w:type="dxa" w:w="3160"/>
          </w:tcPr>
          <w:p>
            <w:pPr>
              <w:pStyle w:val="TableText"/>
            </w:pPr>
            <w:r>
              <w:t>Admin or challenge-owner authorized assignment</w:t>
            </w:r>
          </w:p>
        </w:tc>
      </w:tr>
      <w:tr>
        <w:trPr>
          <w:cantSplit/>
        </w:trPr>
        <w:tc>
          <w:tcPr>
            <w:tcW w:type="dxa" w:w="3400"/>
          </w:tcPr>
          <w:p>
            <w:pPr>
              <w:pStyle w:val="TableText"/>
            </w:pPr>
            <w:r>
              <w:t>PUT /review-assignments/{id}/draft</w:t>
            </w:r>
          </w:p>
        </w:tc>
        <w:tc>
          <w:tcPr>
            <w:tcW w:type="dxa" w:w="2800"/>
          </w:tcPr>
          <w:p>
            <w:pPr>
              <w:pStyle w:val="TableText"/>
            </w:pPr>
            <w:r>
              <w:t>scores[{criterion_id,level,rationale}]</w:t>
            </w:r>
          </w:p>
        </w:tc>
        <w:tc>
          <w:tcPr>
            <w:tcW w:type="dxa" w:w="3160"/>
          </w:tcPr>
          <w:p>
            <w:pPr>
              <w:pStyle w:val="TableText"/>
            </w:pPr>
            <w:r>
              <w:t>Assigned reviewer draft</w:t>
            </w:r>
          </w:p>
        </w:tc>
      </w:tr>
      <w:tr>
        <w:trPr>
          <w:cantSplit/>
        </w:trPr>
        <w:tc>
          <w:tcPr>
            <w:tcW w:type="dxa" w:w="3400"/>
          </w:tcPr>
          <w:p>
            <w:pPr>
              <w:pStyle w:val="TableText"/>
            </w:pPr>
            <w:r>
              <w:t>POST /review-assignments/{id}/publish</w:t>
            </w:r>
          </w:p>
        </w:tc>
        <w:tc>
          <w:tcPr>
            <w:tcW w:type="dxa" w:w="2800"/>
          </w:tcPr>
          <w:p>
            <w:pPr>
              <w:pStyle w:val="TableText"/>
            </w:pPr>
            <w:r>
              <w:t>expected_version</w:t>
            </w:r>
          </w:p>
        </w:tc>
        <w:tc>
          <w:tcPr>
            <w:tcW w:type="dxa" w:w="3160"/>
          </w:tcPr>
          <w:p>
            <w:pPr>
              <w:pStyle w:val="TableText"/>
            </w:pPr>
            <w:r>
              <w:t>Assigned reviewer; idempotent atomic publish</w:t>
            </w:r>
          </w:p>
        </w:tc>
      </w:tr>
      <w:tr>
        <w:trPr>
          <w:cantSplit/>
        </w:trPr>
        <w:tc>
          <w:tcPr>
            <w:tcW w:type="dxa" w:w="3400"/>
          </w:tcPr>
          <w:p>
            <w:pPr>
              <w:pStyle w:val="TableText"/>
            </w:pPr>
            <w:r>
              <w:t>POST /review-assignments/{id}/request-changes</w:t>
            </w:r>
          </w:p>
        </w:tc>
        <w:tc>
          <w:tcPr>
            <w:tcW w:type="dxa" w:w="2800"/>
          </w:tcPr>
          <w:p>
            <w:pPr>
              <w:pStyle w:val="TableText"/>
            </w:pPr>
            <w:r>
              <w:t>reason, expected_version</w:t>
            </w:r>
          </w:p>
        </w:tc>
        <w:tc>
          <w:tcPr>
            <w:tcW w:type="dxa" w:w="3160"/>
          </w:tcPr>
          <w:p>
            <w:pPr>
              <w:pStyle w:val="TableText"/>
            </w:pPr>
            <w:r>
              <w:t>Assigned reviewer; sets changes_requested</w:t>
            </w:r>
          </w:p>
        </w:tc>
      </w:tr>
      <w:tr>
        <w:trPr>
          <w:cantSplit/>
        </w:trPr>
        <w:tc>
          <w:tcPr>
            <w:tcW w:type="dxa" w:w="3400"/>
          </w:tcPr>
          <w:p>
            <w:pPr>
              <w:pStyle w:val="TableText"/>
            </w:pPr>
            <w:r>
              <w:t>POST /review-assignments/{id}/decline</w:t>
            </w:r>
          </w:p>
        </w:tc>
        <w:tc>
          <w:tcPr>
            <w:tcW w:type="dxa" w:w="2800"/>
          </w:tcPr>
          <w:p>
            <w:pPr>
              <w:pStyle w:val="TableText"/>
            </w:pPr>
            <w:r>
              <w:t>reason, expected_version</w:t>
            </w:r>
          </w:p>
        </w:tc>
        <w:tc>
          <w:tcPr>
            <w:tcW w:type="dxa" w:w="3160"/>
          </w:tcPr>
          <w:p>
            <w:pPr>
              <w:pStyle w:val="TableText"/>
            </w:pPr>
            <w:r>
              <w:t>Assigned reviewer; returns to assignment queue</w:t>
            </w:r>
          </w:p>
        </w:tc>
      </w:tr>
      <w:tr>
        <w:trPr>
          <w:cantSplit/>
        </w:trPr>
        <w:tc>
          <w:tcPr>
            <w:tcW w:type="dxa" w:w="3400"/>
          </w:tcPr>
          <w:p>
            <w:pPr>
              <w:pStyle w:val="TableText"/>
            </w:pPr>
            <w:r>
              <w:t>POST /reviews/{id}/corrections</w:t>
            </w:r>
          </w:p>
        </w:tc>
        <w:tc>
          <w:tcPr>
            <w:tcW w:type="dxa" w:w="2800"/>
          </w:tcPr>
          <w:p>
            <w:pPr>
              <w:pStyle w:val="TableText"/>
            </w:pPr>
            <w:r>
              <w:t>reason</w:t>
            </w:r>
          </w:p>
        </w:tc>
        <w:tc>
          <w:tcPr>
            <w:tcW w:type="dxa" w:w="3160"/>
          </w:tcPr>
          <w:p>
            <w:pPr>
              <w:pStyle w:val="TableText"/>
            </w:pPr>
            <w:r>
              <w:t>Evidence owner requests correction</w:t>
            </w:r>
          </w:p>
        </w:tc>
      </w:tr>
      <w:tr>
        <w:trPr>
          <w:cantSplit/>
        </w:trPr>
        <w:tc>
          <w:tcPr>
            <w:tcW w:type="dxa" w:w="3400"/>
          </w:tcPr>
          <w:p>
            <w:pPr>
              <w:pStyle w:val="TableText"/>
            </w:pPr>
            <w:r>
              <w:t>POST /admin/reviews/{id}/void</w:t>
            </w:r>
          </w:p>
        </w:tc>
        <w:tc>
          <w:tcPr>
            <w:tcW w:type="dxa" w:w="2800"/>
          </w:tcPr>
          <w:p>
            <w:pPr>
              <w:pStyle w:val="TableText"/>
            </w:pPr>
            <w:r>
              <w:t>reason</w:t>
            </w:r>
          </w:p>
        </w:tc>
        <w:tc>
          <w:tcPr>
            <w:tcW w:type="dxa" w:w="3160"/>
          </w:tcPr>
          <w:p>
            <w:pPr>
              <w:pStyle w:val="TableText"/>
            </w:pPr>
            <w:r>
              <w:t>Admin; invalidates active attainments</w:t>
            </w:r>
          </w:p>
        </w:tc>
      </w:tr>
      <w:tr>
        <w:trPr>
          <w:cantSplit/>
        </w:trPr>
        <w:tc>
          <w:tcPr>
            <w:tcW w:type="dxa" w:w="3400"/>
          </w:tcPr>
          <w:p>
            <w:pPr>
              <w:pStyle w:val="TableText"/>
            </w:pPr>
            <w:r>
              <w:t>GET /me/passport</w:t>
            </w:r>
          </w:p>
        </w:tc>
        <w:tc>
          <w:tcPr>
            <w:tcW w:type="dxa" w:w="2800"/>
          </w:tcPr>
          <w:p>
            <w:pPr>
              <w:pStyle w:val="TableText"/>
            </w:pPr>
            <w:r>
              <w:t>None</w:t>
            </w:r>
          </w:p>
        </w:tc>
        <w:tc>
          <w:tcPr>
            <w:tcW w:type="dxa" w:w="3160"/>
          </w:tcPr>
          <w:p>
            <w:pPr>
              <w:pStyle w:val="TableText"/>
            </w:pPr>
            <w:r>
              <w:t>Own reviewed/declared evidence grouping</w:t>
            </w:r>
          </w:p>
        </w:tc>
      </w:tr>
    </w:tbl>
    <w:p>
      <w:pPr>
        <w:pStyle w:val="TableSource"/>
      </w:pPr>
    </w:p>
    <w:p>
      <w:pPr/>
      <w:r>
        <w:t>For reviewer draft concurrency, reviewer_assignments includes version, incremented whenever the draft changes. Draft reviews are stored with status=draft; publication converts the current draft to published under lock. Review scores allow level 0 as “not demonstrated,” even though requirement levels start at 1.</w:t>
      </w:r>
    </w:p>
    <w:p>
      <w:pPr/>
      <w:r>
        <w:t>Requesting changes is distinct from publishing a scored review: it creates feedback and a state event but no attainments. Declining an assignment revokes the reviewer access associated with it and permits reassignment; it does not reject the student. Both actions are transactional and audited.</w:t>
      </w:r>
    </w:p>
    <w:p>
      <w:pPr>
        <w:pStyle w:val="Heading2"/>
      </w:pPr>
      <w:r>
        <w:t>5. Applications, outcomes and insights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3400"/>
        <w:gridCol w:w="2800"/>
        <w:gridCol w:w="3160"/>
      </w:tblGrid>
      <w:tr>
        <w:trPr>
          <w:cantSplit/>
          <w:tblHeader/>
        </w:trPr>
        <w:tc>
          <w:tcPr>
            <w:tcW w:type="dxa" w:w="3400"/>
            <w:shd w:fill="E8EEF5"/>
          </w:tcPr>
          <w:p>
            <w:pPr>
              <w:pStyle w:val="TableText"/>
            </w:pPr>
            <w:r>
              <w:rPr>
                <w:b/>
              </w:rPr>
              <w:t>Method and path</w:t>
            </w:r>
          </w:p>
        </w:tc>
        <w:tc>
          <w:tcPr>
            <w:tcW w:type="dxa" w:w="2800"/>
            <w:shd w:fill="E8EEF5"/>
          </w:tcPr>
          <w:p>
            <w:pPr>
              <w:pStyle w:val="TableText"/>
            </w:pPr>
            <w:r>
              <w:rPr>
                <w:b/>
              </w:rPr>
              <w:t>Input</w:t>
            </w:r>
          </w:p>
        </w:tc>
        <w:tc>
          <w:tcPr>
            <w:tcW w:type="dxa" w:w="3160"/>
            <w:shd w:fill="E8EEF5"/>
          </w:tcPr>
          <w:p>
            <w:pPr>
              <w:pStyle w:val="TableText"/>
            </w:pPr>
            <w:r>
              <w:rPr>
                <w:b/>
              </w:rPr>
              <w:t>Result / permission</w:t>
            </w:r>
          </w:p>
        </w:tc>
      </w:tr>
      <w:tr>
        <w:trPr>
          <w:cantSplit/>
        </w:trPr>
        <w:tc>
          <w:tcPr>
            <w:tcW w:type="dxa" w:w="3400"/>
          </w:tcPr>
          <w:p>
            <w:pPr>
              <w:pStyle w:val="TableText"/>
            </w:pPr>
            <w:r>
              <w:t>POST /applications</w:t>
            </w:r>
          </w:p>
        </w:tc>
        <w:tc>
          <w:tcPr>
            <w:tcW w:type="dxa" w:w="2800"/>
          </w:tcPr>
          <w:p>
            <w:pPr>
              <w:pStyle w:val="TableText"/>
            </w:pPr>
            <w:r>
              <w:t>opportunity_id, selected_revision_ids, sharing_confirmed</w:t>
            </w:r>
          </w:p>
        </w:tc>
        <w:tc>
          <w:tcPr>
            <w:tcW w:type="dxa" w:w="3160"/>
          </w:tcPr>
          <w:p>
            <w:pPr>
              <w:pStyle w:val="TableText"/>
            </w:pPr>
            <w:r>
              <w:t>Current student; idempotent</w:t>
            </w:r>
          </w:p>
        </w:tc>
      </w:tr>
      <w:tr>
        <w:trPr>
          <w:cantSplit/>
        </w:trPr>
        <w:tc>
          <w:tcPr>
            <w:tcW w:type="dxa" w:w="3400"/>
          </w:tcPr>
          <w:p>
            <w:pPr>
              <w:pStyle w:val="TableText"/>
            </w:pPr>
            <w:r>
              <w:t>GET /me/applications</w:t>
            </w:r>
          </w:p>
        </w:tc>
        <w:tc>
          <w:tcPr>
            <w:tcW w:type="dxa" w:w="2800"/>
          </w:tcPr>
          <w:p>
            <w:pPr>
              <w:pStyle w:val="TableText"/>
            </w:pPr>
            <w:r>
              <w:t>status, cursor</w:t>
            </w:r>
          </w:p>
        </w:tc>
        <w:tc>
          <w:tcPr>
            <w:tcW w:type="dxa" w:w="3160"/>
          </w:tcPr>
          <w:p>
            <w:pPr>
              <w:pStyle w:val="TableText"/>
            </w:pPr>
            <w:r>
              <w:t>Own applications</w:t>
            </w:r>
          </w:p>
        </w:tc>
      </w:tr>
      <w:tr>
        <w:trPr>
          <w:cantSplit/>
        </w:trPr>
        <w:tc>
          <w:tcPr>
            <w:tcW w:type="dxa" w:w="3400"/>
          </w:tcPr>
          <w:p>
            <w:pPr>
              <w:pStyle w:val="TableText"/>
            </w:pPr>
            <w:r>
              <w:t>GET /opportunities/{id}/applications</w:t>
            </w:r>
          </w:p>
        </w:tc>
        <w:tc>
          <w:tcPr>
            <w:tcW w:type="dxa" w:w="2800"/>
          </w:tcPr>
          <w:p>
            <w:pPr>
              <w:pStyle w:val="TableText"/>
            </w:pPr>
            <w:r>
              <w:t>status, cursor, sort</w:t>
            </w:r>
          </w:p>
        </w:tc>
        <w:tc>
          <w:tcPr>
            <w:tcW w:type="dxa" w:w="3160"/>
          </w:tcPr>
          <w:p>
            <w:pPr>
              <w:pStyle w:val="TableText"/>
            </w:pPr>
            <w:r>
              <w:t>Owning employer</w:t>
            </w:r>
          </w:p>
        </w:tc>
      </w:tr>
      <w:tr>
        <w:trPr>
          <w:cantSplit/>
        </w:trPr>
        <w:tc>
          <w:tcPr>
            <w:tcW w:type="dxa" w:w="3400"/>
          </w:tcPr>
          <w:p>
            <w:pPr>
              <w:pStyle w:val="TableText"/>
            </w:pPr>
            <w:r>
              <w:t>GET /applications/{id}</w:t>
            </w:r>
          </w:p>
        </w:tc>
        <w:tc>
          <w:tcPr>
            <w:tcW w:type="dxa" w:w="2800"/>
          </w:tcPr>
          <w:p>
            <w:pPr>
              <w:pStyle w:val="TableText"/>
            </w:pPr>
            <w:r>
              <w:t>None</w:t>
            </w:r>
          </w:p>
        </w:tc>
        <w:tc>
          <w:tcPr>
            <w:tcW w:type="dxa" w:w="3160"/>
          </w:tcPr>
          <w:p>
            <w:pPr>
              <w:pStyle w:val="TableText"/>
            </w:pPr>
            <w:r>
              <w:t>Owner or owning employer; coordinator summary variant</w:t>
            </w:r>
          </w:p>
        </w:tc>
      </w:tr>
      <w:tr>
        <w:trPr>
          <w:cantSplit/>
        </w:trPr>
        <w:tc>
          <w:tcPr>
            <w:tcW w:type="dxa" w:w="3400"/>
          </w:tcPr>
          <w:p>
            <w:pPr>
              <w:pStyle w:val="TableText"/>
            </w:pPr>
            <w:r>
              <w:t>POST /applications/{id}/transitions</w:t>
            </w:r>
          </w:p>
        </w:tc>
        <w:tc>
          <w:tcPr>
            <w:tcW w:type="dxa" w:w="2800"/>
          </w:tcPr>
          <w:p>
            <w:pPr>
              <w:pStyle w:val="TableText"/>
            </w:pPr>
            <w:r>
              <w:t>to_status, reason, expected_version</w:t>
            </w:r>
          </w:p>
        </w:tc>
        <w:tc>
          <w:tcPr>
            <w:tcW w:type="dxa" w:w="3160"/>
          </w:tcPr>
          <w:p>
            <w:pPr>
              <w:pStyle w:val="TableText"/>
            </w:pPr>
            <w:r>
              <w:t>Actor-specific allowed transition</w:t>
            </w:r>
          </w:p>
        </w:tc>
      </w:tr>
      <w:tr>
        <w:trPr>
          <w:cantSplit/>
        </w:trPr>
        <w:tc>
          <w:tcPr>
            <w:tcW w:type="dxa" w:w="3400"/>
          </w:tcPr>
          <w:p>
            <w:pPr>
              <w:pStyle w:val="TableText"/>
            </w:pPr>
            <w:r>
              <w:t>POST /applications/{id}/outcome</w:t>
            </w:r>
          </w:p>
        </w:tc>
        <w:tc>
          <w:tcPr>
            <w:tcW w:type="dxa" w:w="2800"/>
          </w:tcPr>
          <w:p>
            <w:pPr>
              <w:pStyle w:val="TableText"/>
            </w:pPr>
            <w:r>
              <w:t>kind, dates, status, expected_version</w:t>
            </w:r>
          </w:p>
        </w:tc>
        <w:tc>
          <w:tcPr>
            <w:tcW w:type="dxa" w:w="3160"/>
          </w:tcPr>
          <w:p>
            <w:pPr>
              <w:pStyle w:val="TableText"/>
            </w:pPr>
            <w:r>
              <w:t>Authorized employer/coordinator</w:t>
            </w:r>
          </w:p>
        </w:tc>
      </w:tr>
      <w:tr>
        <w:trPr>
          <w:cantSplit/>
        </w:trPr>
        <w:tc>
          <w:tcPr>
            <w:tcW w:type="dxa" w:w="3400"/>
          </w:tcPr>
          <w:p>
            <w:pPr>
              <w:pStyle w:val="TableText"/>
            </w:pPr>
            <w:r>
              <w:t>GET /institutions/{id}/insights/gaps</w:t>
            </w:r>
          </w:p>
        </w:tc>
        <w:tc>
          <w:tcPr>
            <w:tcW w:type="dxa" w:w="2800"/>
          </w:tcPr>
          <w:p>
            <w:pPr>
              <w:pStyle w:val="TableText"/>
            </w:pPr>
            <w:r>
              <w:t>opportunity_ids, from, to</w:t>
            </w:r>
          </w:p>
        </w:tc>
        <w:tc>
          <w:tcPr>
            <w:tcW w:type="dxa" w:w="3160"/>
          </w:tcPr>
          <w:p>
            <w:pPr>
              <w:pStyle w:val="TableText"/>
            </w:pPr>
            <w:r>
              <w:t>Institution coordinator; aggregate only</w:t>
            </w:r>
          </w:p>
        </w:tc>
      </w:tr>
      <w:tr>
        <w:trPr>
          <w:cantSplit/>
        </w:trPr>
        <w:tc>
          <w:tcPr>
            <w:tcW w:type="dxa" w:w="3400"/>
          </w:tcPr>
          <w:p>
            <w:pPr>
              <w:pStyle w:val="TableText"/>
            </w:pPr>
            <w:r>
              <w:t>GET /institutions/{id}/insights/pipeline</w:t>
            </w:r>
          </w:p>
        </w:tc>
        <w:tc>
          <w:tcPr>
            <w:tcW w:type="dxa" w:w="2800"/>
          </w:tcPr>
          <w:p>
            <w:pPr>
              <w:pStyle w:val="TableText"/>
            </w:pPr>
            <w:r>
              <w:t>from, to</w:t>
            </w:r>
          </w:p>
        </w:tc>
        <w:tc>
          <w:tcPr>
            <w:tcW w:type="dxa" w:w="3160"/>
          </w:tcPr>
          <w:p>
            <w:pPr>
              <w:pStyle w:val="TableText"/>
            </w:pPr>
            <w:r>
              <w:t>Scoped status counts</w:t>
            </w:r>
          </w:p>
        </w:tc>
      </w:tr>
      <w:tr>
        <w:trPr>
          <w:cantSplit/>
        </w:trPr>
        <w:tc>
          <w:tcPr>
            <w:tcW w:type="dxa" w:w="3400"/>
          </w:tcPr>
          <w:p>
            <w:pPr>
              <w:pStyle w:val="TableText"/>
            </w:pPr>
            <w:r>
              <w:t>GET /notifications</w:t>
            </w:r>
          </w:p>
        </w:tc>
        <w:tc>
          <w:tcPr>
            <w:tcW w:type="dxa" w:w="2800"/>
          </w:tcPr>
          <w:p>
            <w:pPr>
              <w:pStyle w:val="TableText"/>
            </w:pPr>
            <w:r>
              <w:t>cursor, unread_only</w:t>
            </w:r>
          </w:p>
        </w:tc>
        <w:tc>
          <w:tcPr>
            <w:tcW w:type="dxa" w:w="3160"/>
          </w:tcPr>
          <w:p>
            <w:pPr>
              <w:pStyle w:val="TableText"/>
            </w:pPr>
            <w:r>
              <w:t>Recipient only</w:t>
            </w:r>
          </w:p>
        </w:tc>
      </w:tr>
      <w:tr>
        <w:trPr>
          <w:cantSplit/>
        </w:trPr>
        <w:tc>
          <w:tcPr>
            <w:tcW w:type="dxa" w:w="3400"/>
          </w:tcPr>
          <w:p>
            <w:pPr>
              <w:pStyle w:val="TableText"/>
            </w:pPr>
            <w:r>
              <w:t>PATCH /notifications/{id}</w:t>
            </w:r>
          </w:p>
        </w:tc>
        <w:tc>
          <w:tcPr>
            <w:tcW w:type="dxa" w:w="2800"/>
          </w:tcPr>
          <w:p>
            <w:pPr>
              <w:pStyle w:val="TableText"/>
            </w:pPr>
            <w:r>
              <w:t>read:true</w:t>
            </w:r>
          </w:p>
        </w:tc>
        <w:tc>
          <w:tcPr>
            <w:tcW w:type="dxa" w:w="3160"/>
          </w:tcPr>
          <w:p>
            <w:pPr>
              <w:pStyle w:val="TableText"/>
            </w:pPr>
            <w:r>
              <w:t>Recipient only</w:t>
            </w:r>
          </w:p>
        </w:tc>
      </w:tr>
    </w:tbl>
    <w:p>
      <w:pPr>
        <w:pStyle w:val="TableSource"/>
      </w:pPr>
    </w:p>
    <w:p>
      <w:pPr/>
      <w:r>
        <w:t>sharing_confirmed must be true, but this field alone does not grant arbitrary access: the server validates evidence ownership and creates scoped grants. Applying with no reviewed evidence is allowed; the snapshot reports 0 reviewed coverage and shows declarations separately. selected_revision_ids may therefore be empty.</w:t>
      </w:r>
    </w:p>
    <w:p>
      <w:pPr/>
      <w:r>
        <w:t>Outcome writes require application status accepted. kind is internship or placement; status is pending, completed, cancelled or unconfirmed. confirmed_by is derived from the authenticated actor, never accepted as a client field. A new outcome starts pending or unconfirmed; a later update can confirm completion. P0 uses the same upsert endpoint under expected_version, with one active record per application.</w:t>
      </w:r>
    </w:p>
    <w:p>
      <w:pPr>
        <w:pStyle w:val="Heading2"/>
      </w:pPr>
      <w:r>
        <w:t>6. Example — publish review</w:t>
      </w:r>
    </w:p>
    <w:p>
      <w:pPr/>
      <w:r>
        <w:t>Request: POST /api/v1/review-assignments/{assignment_uuid}/publish with Idempotency-Key and body {"expected_version":3}. The draft already contains criterion scores and rationale; publication must validate them again. Response 200: {"data":{"review_id":"&lt;uuid&gt;","status":"published","submission_status":"reviewed","attainments_created":1},"meta":{"request_id":"&lt;uuid&gt;"}}. Angle-bracket values in this document are illustrative placeholders, not valid payload UUIDs.</w:t>
      </w:r>
    </w:p>
    <w:p>
      <w:pPr/>
      <w:r>
        <w:t>If the assignment is not current, return 409 STATE_CONFLICT. If a criterion is missing, return 422 INCOMPLETE_RUBRIC with field_errors. If a second publish repeats the same idempotency key and payload, return the original result without a second assessment.</w:t>
      </w:r>
    </w:p>
    <w:p>
      <w:pPr>
        <w:pStyle w:val="Heading2"/>
      </w:pPr>
      <w:r>
        <w:t>7. Example — match response</w:t>
      </w:r>
    </w:p>
    <w:p>
      <w:pPr/>
      <w:r>
        <w:t>GET /api/v1/opportunities/{opportunity_uuid}/match returns data containing opportunity_id, opportunity_version, scoring_version="coverage-v1", calculated_at, reviewed_coverage=61, and skills. An SQL row contains required_level=3, reviewed_level=null, weight=35, contribution=0, evidence_revision_id=null, status="not_yet_demonstrated". The communication row contains required_level=4, reviewed_level=3, weight=16, contribution=12 and a reviewed evidence reference.</w:t>
      </w:r>
    </w:p>
    <w:p>
      <w:pPr/>
      <w:r>
        <w:t>Also return eligibility{status:"eligible"|"ineligible"|"unknown",reasons:[]}; eligibility is separate from coverage. For P0, eligibility primarily checks audience and deadline; do not invent degree/grade exclusions. Gap suggestions return challenge IDs only when a published challenge covers the missing skill within the student's audience.</w:t>
      </w:r>
    </w:p>
    <w:p>
      <w:pPr>
        <w:pStyle w:val="Heading2"/>
      </w:pPr>
      <w:r>
        <w:t>8. Example — application and conflict</w:t>
      </w:r>
    </w:p>
    <w:p>
      <w:pPr/>
      <w:r>
        <w:t>POST /api/v1/applications with Idempotency-Key and {"opportunity_id":"&lt;uuid&gt;","selected_revision_ids":["&lt;uuid&gt;"],"sharing_confirmed":true} returns 201 with application_id, status="submitted", version=1 and the frozen snapshot. The server, not the request, supplies student_id and score.</w:t>
      </w:r>
    </w:p>
    <w:p>
      <w:pPr/>
      <w:r>
        <w:t>A transition request {"to_status":"shortlisted","expected_version":1,"reason":"Relevant reviewed SQL evidence"} succeeds only for the owning employer. A simultaneous request still using version 1 receives 409 VERSION_CONFLICT with current_version=2. The client must refetch; it must not silently overwrite.</w:t>
      </w:r>
    </w:p>
    <w:p>
      <w:pPr>
        <w:pStyle w:val="Heading2"/>
      </w:pPr>
      <w:r>
        <w:t>9. Limits and error catalog</w:t>
      </w:r>
    </w:p>
    <w:p>
      <w:pPr/>
      <w:r>
        <w:t>Proposed initial limits: 60 ordinary requests/minute/user, 10 finalizations/minute/user, 10 review publications/minute/user, and 5 optional AI drafts/hour/user. Enforce through a shared database or host-supported durable limiter, not process memory alone. Tune after observing real usage.</w:t>
      </w:r>
    </w:p>
    <w:p>
      <w:pPr/>
      <w:r>
        <w:t>Stable error codes: VALIDATION_ERROR, UNAUTHENTICATED, FORBIDDEN, NOT_FOUND, VERSION_CONFLICT, STATE_CONFLICT, IDEMPOTENCY_MISMATCH, DUPLICATE_APPLICATION, DEADLINE_PASSED, ORGANIZATION_NOT_APPROVED, INCOMPLETE_RUBRIC, EVIDENCE_NOT_OWNED, RATE_LIMITED and DEPENDENCY_UNAVAILABLE.</w:t>
      </w:r>
    </w:p>
    <w:p>
      <w:pPr>
        <w:pStyle w:val="Heading2"/>
      </w:pPr>
      <w:r>
        <w:t>10. P1 endpoints and contract delivery</w:t>
      </w:r>
    </w:p>
    <w:p>
      <w:pPr/>
      <w:r>
        <w:t>Reserve P1 /ai/drafts, /ai/jobs/{id}, /evidence/uploads, /evidence/files/{id}/download, /interventions and /shares. They are not part of the P0 acceptance gate and should not return fabricated success. At implementation, derive an OpenAPI specification from shared schemas or write one alongside these contracts; CI should check documented routes, payloads and generated client types for drift. This pack provides the endpoint specification, not a validated executable OpenAPI file.</w:t>
      </w:r>
    </w:p>
    <w:p>
      <w:r>
        <w:br w:type="page"/>
      </w:r>
    </w:p>
    <w:p>
      <w:pPr>
        <w:pStyle w:val="Heading1"/>
      </w:pPr>
      <w:r>
        <w:t>Product design system</w:t>
      </w:r>
    </w:p>
    <w:p>
      <w:pPr>
        <w:pStyle w:val="Heading2"/>
      </w:pPr>
      <w:r>
        <w:t>1. Direction</w:t>
      </w:r>
    </w:p>
    <w:p>
      <w:pPr/>
      <w:r>
        <w:t>Design a calm workspace centered on student work. Use strong typography, generous grouping and visible evidence references. The product should feel capable and inviting to beginners. Avoid a science-fiction dashboard, endless glowing cards, gamified employability rankings or company logos implying partnerships. The primary visual motif is the connection between a requirement, a piece of evidence and a next step.</w:t>
      </w:r>
    </w:p>
    <w:p>
      <w:pPr>
        <w:pStyle w:val="Heading2"/>
      </w:pPr>
      <w:r>
        <w:t>2. Design tokens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2700"/>
        <w:gridCol w:w="3300"/>
        <w:gridCol w:w="3360"/>
      </w:tblGrid>
      <w:tr>
        <w:trPr>
          <w:cantSplit/>
          <w:tblHeader/>
        </w:trPr>
        <w:tc>
          <w:tcPr>
            <w:tcW w:type="dxa" w:w="2700"/>
            <w:shd w:fill="E8EEF5"/>
          </w:tcPr>
          <w:p>
            <w:pPr>
              <w:pStyle w:val="TableText"/>
            </w:pPr>
            <w:r>
              <w:rPr>
                <w:b/>
              </w:rPr>
              <w:t>Token</w:t>
            </w:r>
          </w:p>
        </w:tc>
        <w:tc>
          <w:tcPr>
            <w:tcW w:type="dxa" w:w="3300"/>
            <w:shd w:fill="E8EEF5"/>
          </w:tcPr>
          <w:p>
            <w:pPr>
              <w:pStyle w:val="TableText"/>
            </w:pPr>
            <w:r>
              <w:rPr>
                <w:b/>
              </w:rPr>
              <w:t>Value</w:t>
            </w:r>
          </w:p>
        </w:tc>
        <w:tc>
          <w:tcPr>
            <w:tcW w:type="dxa" w:w="3360"/>
            <w:shd w:fill="E8EEF5"/>
          </w:tcPr>
          <w:p>
            <w:pPr>
              <w:pStyle w:val="TableText"/>
            </w:pPr>
            <w:r>
              <w:rPr>
                <w:b/>
              </w:rPr>
              <w:t>Use</w:t>
            </w:r>
          </w:p>
        </w:tc>
      </w:tr>
      <w:tr>
        <w:trPr>
          <w:cantSplit/>
        </w:trPr>
        <w:tc>
          <w:tcPr>
            <w:tcW w:type="dxa" w:w="2700"/>
          </w:tcPr>
          <w:p>
            <w:pPr>
              <w:pStyle w:val="TableText"/>
            </w:pPr>
            <w:r>
              <w:t>canvas</w:t>
            </w:r>
          </w:p>
        </w:tc>
        <w:tc>
          <w:tcPr>
            <w:tcW w:type="dxa" w:w="3300"/>
          </w:tcPr>
          <w:p>
            <w:pPr>
              <w:pStyle w:val="TableText"/>
            </w:pPr>
            <w:r>
              <w:t>#F7F8FA</w:t>
            </w:r>
          </w:p>
        </w:tc>
        <w:tc>
          <w:tcPr>
            <w:tcW w:type="dxa" w:w="3360"/>
          </w:tcPr>
          <w:p>
            <w:pPr>
              <w:pStyle w:val="TableText"/>
            </w:pPr>
            <w:r>
              <w:t>Main background</w:t>
            </w:r>
          </w:p>
        </w:tc>
      </w:tr>
      <w:tr>
        <w:trPr>
          <w:cantSplit/>
        </w:trPr>
        <w:tc>
          <w:tcPr>
            <w:tcW w:type="dxa" w:w="2700"/>
          </w:tcPr>
          <w:p>
            <w:pPr>
              <w:pStyle w:val="TableText"/>
            </w:pPr>
            <w:r>
              <w:t>surface</w:t>
            </w:r>
          </w:p>
        </w:tc>
        <w:tc>
          <w:tcPr>
            <w:tcW w:type="dxa" w:w="3300"/>
          </w:tcPr>
          <w:p>
            <w:pPr>
              <w:pStyle w:val="TableText"/>
            </w:pPr>
            <w:r>
              <w:t>#FFFFFF</w:t>
            </w:r>
          </w:p>
        </w:tc>
        <w:tc>
          <w:tcPr>
            <w:tcW w:type="dxa" w:w="3360"/>
          </w:tcPr>
          <w:p>
            <w:pPr>
              <w:pStyle w:val="TableText"/>
            </w:pPr>
            <w:r>
              <w:t>Cards/forms</w:t>
            </w:r>
          </w:p>
        </w:tc>
      </w:tr>
      <w:tr>
        <w:trPr>
          <w:cantSplit/>
        </w:trPr>
        <w:tc>
          <w:tcPr>
            <w:tcW w:type="dxa" w:w="2700"/>
          </w:tcPr>
          <w:p>
            <w:pPr>
              <w:pStyle w:val="TableText"/>
            </w:pPr>
            <w:r>
              <w:t>text-primary</w:t>
            </w:r>
          </w:p>
        </w:tc>
        <w:tc>
          <w:tcPr>
            <w:tcW w:type="dxa" w:w="3300"/>
          </w:tcPr>
          <w:p>
            <w:pPr>
              <w:pStyle w:val="TableText"/>
            </w:pPr>
            <w:r>
              <w:t>#17212F</w:t>
            </w:r>
          </w:p>
        </w:tc>
        <w:tc>
          <w:tcPr>
            <w:tcW w:type="dxa" w:w="3360"/>
          </w:tcPr>
          <w:p>
            <w:pPr>
              <w:pStyle w:val="TableText"/>
            </w:pPr>
            <w:r>
              <w:t>Main text</w:t>
            </w:r>
          </w:p>
        </w:tc>
      </w:tr>
      <w:tr>
        <w:trPr>
          <w:cantSplit/>
        </w:trPr>
        <w:tc>
          <w:tcPr>
            <w:tcW w:type="dxa" w:w="2700"/>
          </w:tcPr>
          <w:p>
            <w:pPr>
              <w:pStyle w:val="TableText"/>
            </w:pPr>
            <w:r>
              <w:t>text-secondary</w:t>
            </w:r>
          </w:p>
        </w:tc>
        <w:tc>
          <w:tcPr>
            <w:tcW w:type="dxa" w:w="3300"/>
          </w:tcPr>
          <w:p>
            <w:pPr>
              <w:pStyle w:val="TableText"/>
            </w:pPr>
            <w:r>
              <w:t>#526071</w:t>
            </w:r>
          </w:p>
        </w:tc>
        <w:tc>
          <w:tcPr>
            <w:tcW w:type="dxa" w:w="3360"/>
          </w:tcPr>
          <w:p>
            <w:pPr>
              <w:pStyle w:val="TableText"/>
            </w:pPr>
            <w:r>
              <w:t>Supporting copy</w:t>
            </w:r>
          </w:p>
        </w:tc>
      </w:tr>
      <w:tr>
        <w:trPr>
          <w:cantSplit/>
        </w:trPr>
        <w:tc>
          <w:tcPr>
            <w:tcW w:type="dxa" w:w="2700"/>
          </w:tcPr>
          <w:p>
            <w:pPr>
              <w:pStyle w:val="TableText"/>
            </w:pPr>
            <w:r>
              <w:t>accent</w:t>
            </w:r>
          </w:p>
        </w:tc>
        <w:tc>
          <w:tcPr>
            <w:tcW w:type="dxa" w:w="3300"/>
          </w:tcPr>
          <w:p>
            <w:pPr>
              <w:pStyle w:val="TableText"/>
            </w:pPr>
            <w:r>
              <w:t>#185ADB</w:t>
            </w:r>
          </w:p>
        </w:tc>
        <w:tc>
          <w:tcPr>
            <w:tcW w:type="dxa" w:w="3360"/>
          </w:tcPr>
          <w:p>
            <w:pPr>
              <w:pStyle w:val="TableText"/>
            </w:pPr>
            <w:r>
              <w:t>Primary action</w:t>
            </w:r>
          </w:p>
        </w:tc>
      </w:tr>
      <w:tr>
        <w:trPr>
          <w:cantSplit/>
        </w:trPr>
        <w:tc>
          <w:tcPr>
            <w:tcW w:type="dxa" w:w="2700"/>
          </w:tcPr>
          <w:p>
            <w:pPr>
              <w:pStyle w:val="TableText"/>
            </w:pPr>
            <w:r>
              <w:t>accent-soft</w:t>
            </w:r>
          </w:p>
        </w:tc>
        <w:tc>
          <w:tcPr>
            <w:tcW w:type="dxa" w:w="3300"/>
          </w:tcPr>
          <w:p>
            <w:pPr>
              <w:pStyle w:val="TableText"/>
            </w:pPr>
            <w:r>
              <w:t>#EDF3FF</w:t>
            </w:r>
          </w:p>
        </w:tc>
        <w:tc>
          <w:tcPr>
            <w:tcW w:type="dxa" w:w="3360"/>
          </w:tcPr>
          <w:p>
            <w:pPr>
              <w:pStyle w:val="TableText"/>
            </w:pPr>
            <w:r>
              <w:t>Selected region</w:t>
            </w:r>
          </w:p>
        </w:tc>
      </w:tr>
      <w:tr>
        <w:trPr>
          <w:cantSplit/>
        </w:trPr>
        <w:tc>
          <w:tcPr>
            <w:tcW w:type="dxa" w:w="2700"/>
          </w:tcPr>
          <w:p>
            <w:pPr>
              <w:pStyle w:val="TableText"/>
            </w:pPr>
            <w:r>
              <w:t>success</w:t>
            </w:r>
          </w:p>
        </w:tc>
        <w:tc>
          <w:tcPr>
            <w:tcW w:type="dxa" w:w="3300"/>
          </w:tcPr>
          <w:p>
            <w:pPr>
              <w:pStyle w:val="TableText"/>
            </w:pPr>
            <w:r>
              <w:t>#166534</w:t>
            </w:r>
          </w:p>
        </w:tc>
        <w:tc>
          <w:tcPr>
            <w:tcW w:type="dxa" w:w="3360"/>
          </w:tcPr>
          <w:p>
            <w:pPr>
              <w:pStyle w:val="TableText"/>
            </w:pPr>
            <w:r>
              <w:t>Reviewed success text</w:t>
            </w:r>
          </w:p>
        </w:tc>
      </w:tr>
      <w:tr>
        <w:trPr>
          <w:cantSplit/>
        </w:trPr>
        <w:tc>
          <w:tcPr>
            <w:tcW w:type="dxa" w:w="2700"/>
          </w:tcPr>
          <w:p>
            <w:pPr>
              <w:pStyle w:val="TableText"/>
            </w:pPr>
            <w:r>
              <w:t>warning</w:t>
            </w:r>
          </w:p>
        </w:tc>
        <w:tc>
          <w:tcPr>
            <w:tcW w:type="dxa" w:w="3300"/>
          </w:tcPr>
          <w:p>
            <w:pPr>
              <w:pStyle w:val="TableText"/>
            </w:pPr>
            <w:r>
              <w:t>#854D0E</w:t>
            </w:r>
          </w:p>
        </w:tc>
        <w:tc>
          <w:tcPr>
            <w:tcW w:type="dxa" w:w="3360"/>
          </w:tcPr>
          <w:p>
            <w:pPr>
              <w:pStyle w:val="TableText"/>
            </w:pPr>
            <w:r>
              <w:t>Pending/attention text</w:t>
            </w:r>
          </w:p>
        </w:tc>
      </w:tr>
      <w:tr>
        <w:trPr>
          <w:cantSplit/>
        </w:trPr>
        <w:tc>
          <w:tcPr>
            <w:tcW w:type="dxa" w:w="2700"/>
          </w:tcPr>
          <w:p>
            <w:pPr>
              <w:pStyle w:val="TableText"/>
            </w:pPr>
            <w:r>
              <w:t>danger</w:t>
            </w:r>
          </w:p>
        </w:tc>
        <w:tc>
          <w:tcPr>
            <w:tcW w:type="dxa" w:w="3300"/>
          </w:tcPr>
          <w:p>
            <w:pPr>
              <w:pStyle w:val="TableText"/>
            </w:pPr>
            <w:r>
              <w:t>#B91C1C</w:t>
            </w:r>
          </w:p>
        </w:tc>
        <w:tc>
          <w:tcPr>
            <w:tcW w:type="dxa" w:w="3360"/>
          </w:tcPr>
          <w:p>
            <w:pPr>
              <w:pStyle w:val="TableText"/>
            </w:pPr>
            <w:r>
              <w:t>Error/destructive action</w:t>
            </w:r>
          </w:p>
        </w:tc>
      </w:tr>
      <w:tr>
        <w:trPr>
          <w:cantSplit/>
        </w:trPr>
        <w:tc>
          <w:tcPr>
            <w:tcW w:type="dxa" w:w="2700"/>
          </w:tcPr>
          <w:p>
            <w:pPr>
              <w:pStyle w:val="TableText"/>
            </w:pPr>
            <w:r>
              <w:t>border</w:t>
            </w:r>
          </w:p>
        </w:tc>
        <w:tc>
          <w:tcPr>
            <w:tcW w:type="dxa" w:w="3300"/>
          </w:tcPr>
          <w:p>
            <w:pPr>
              <w:pStyle w:val="TableText"/>
            </w:pPr>
            <w:r>
              <w:t>#D9DFE7</w:t>
            </w:r>
          </w:p>
        </w:tc>
        <w:tc>
          <w:tcPr>
            <w:tcW w:type="dxa" w:w="3360"/>
          </w:tcPr>
          <w:p>
            <w:pPr>
              <w:pStyle w:val="TableText"/>
            </w:pPr>
            <w:r>
              <w:t>Boundaries</w:t>
            </w:r>
          </w:p>
        </w:tc>
      </w:tr>
      <w:tr>
        <w:trPr>
          <w:cantSplit/>
        </w:trPr>
        <w:tc>
          <w:tcPr>
            <w:tcW w:type="dxa" w:w="2700"/>
          </w:tcPr>
          <w:p>
            <w:pPr>
              <w:pStyle w:val="TableText"/>
            </w:pPr>
            <w:r>
              <w:t>radius</w:t>
            </w:r>
          </w:p>
        </w:tc>
        <w:tc>
          <w:tcPr>
            <w:tcW w:type="dxa" w:w="3300"/>
          </w:tcPr>
          <w:p>
            <w:pPr>
              <w:pStyle w:val="TableText"/>
            </w:pPr>
            <w:r>
              <w:t>8 / 12 / 16 px</w:t>
            </w:r>
          </w:p>
        </w:tc>
        <w:tc>
          <w:tcPr>
            <w:tcW w:type="dxa" w:w="3360"/>
          </w:tcPr>
          <w:p>
            <w:pPr>
              <w:pStyle w:val="TableText"/>
            </w:pPr>
            <w:r>
              <w:t>Controls/cards/drawers</w:t>
            </w:r>
          </w:p>
        </w:tc>
      </w:tr>
      <w:tr>
        <w:trPr>
          <w:cantSplit/>
        </w:trPr>
        <w:tc>
          <w:tcPr>
            <w:tcW w:type="dxa" w:w="2700"/>
          </w:tcPr>
          <w:p>
            <w:pPr>
              <w:pStyle w:val="TableText"/>
            </w:pPr>
            <w:r>
              <w:t>spacing</w:t>
            </w:r>
          </w:p>
        </w:tc>
        <w:tc>
          <w:tcPr>
            <w:tcW w:type="dxa" w:w="3300"/>
          </w:tcPr>
          <w:p>
            <w:pPr>
              <w:pStyle w:val="TableText"/>
            </w:pPr>
            <w:r>
              <w:t>4 / 8 / 12 / 16 / 24 / 32 / 48 px</w:t>
            </w:r>
          </w:p>
        </w:tc>
        <w:tc>
          <w:tcPr>
            <w:tcW w:type="dxa" w:w="3360"/>
          </w:tcPr>
          <w:p>
            <w:pPr>
              <w:pStyle w:val="TableText"/>
            </w:pPr>
            <w:r>
              <w:t>Layout rhythm</w:t>
            </w:r>
          </w:p>
        </w:tc>
      </w:tr>
    </w:tbl>
    <w:p>
      <w:pPr>
        <w:pStyle w:val="TableSource"/>
      </w:pPr>
    </w:p>
    <w:p>
      <w:pPr/>
      <w:r>
        <w:t>Font: locally available Inter or system sans-serif fallback; body 16 px with 24 px line height, supporting text 14/20, page heading 28/36, section heading 20/28, labels 14/20 medium. Use a mono font only for identifiers or code evidence. Verify contrast in implementation, including disabled, focus and selected states; tokens alone do not certify accessibility.</w:t>
      </w:r>
    </w:p>
    <w:p>
      <w:pPr>
        <w:pStyle w:val="Heading2"/>
      </w:pPr>
      <w:r>
        <w:t>3. Layout rules</w:t>
      </w:r>
    </w:p>
    <w:p>
      <w:pPr/>
      <w:r>
        <w:t>Desktop navigation width 232 px, main content maximum 1200 px, main gutters 24–32 px. Reading panels limit long prose to around 70–85 characters per line. Cards group meaningful units rather than every individual statistic. Forms use a clear label, help text where needed and field-specific errors. Primary actions appear once per task area.</w:t>
      </w:r>
    </w:p>
    <w:p>
      <w:pPr/>
      <w:r>
        <w:t>The student dashboard prioritizes the next step, then active work and history. The employer dashboard prioritizes open opportunities and pending applicant decisions. The reviewer workspace prioritizes the task and rubric. The institution workspace prioritizes denominators, filters and actionable gaps.</w:t>
      </w:r>
    </w:p>
    <w:p>
      <w:pPr>
        <w:pStyle w:val="Heading2"/>
      </w:pPr>
      <w:r>
        <w:t>4. Evidence visual language</w:t>
      </w:r>
    </w:p>
    <w:p>
      <w:pPr/>
      <w:r>
        <w:t>Use textual status chips: Self-declared, Awaiting review, Reviewed, Changes requested, Under dispute and Voided. Pair color with a label and, where useful, an icon. A reviewed skill includes reviewer and date. A score includes “Reviewed coverage for this role” and never “Your value” or “Success probability.”</w:t>
      </w:r>
    </w:p>
    <w:p>
      <w:pPr/>
      <w:r>
        <w:t>Show coverage as a horizontal bar plus a numeric value and per-skill table. Missing evidence uses neutral styling; it is an invitation to demonstrate ability, not a red failure state. Disputed evidence remains readable with context until a moderation decision. Voided evidence is excluded from current coverage and clearly marked in history.</w:t>
      </w:r>
    </w:p>
    <w:p>
      <w:pPr>
        <w:pStyle w:val="Heading2"/>
      </w:pPr>
      <w:r>
        <w:t>5. Signature interaction</w:t>
      </w:r>
    </w:p>
    <w:p>
      <w:pPr/>
      <w:r>
        <w:t>After review publication, the student sees a brief confirmation: “SQL evidence reviewed at level 3.” The related opportunity panel then shows “Reviewed coverage: 61% → 96%” for the synthetic example, with “View calculation.” Use a subtle 150–200 ms update animation and respect reduced motion. Do not run confetti or imply a job has been secured.</w:t>
      </w:r>
    </w:p>
    <w:p>
      <w:pPr>
        <w:pStyle w:val="Heading2"/>
      </w:pPr>
      <w:r>
        <w:t>6. Copy standards</w:t>
      </w:r>
    </w:p>
    <w:p>
      <w:pPr/>
      <w:r>
        <w:t>Use “Not yet demonstrated” when no active evidence exists. Use “This review assesses the submitted work” near review details. Use “Your application shares these evidence items with [employer]” at confirmation. Use “We could not confirm the save. Check status before trying again” after an ambiguous timeout. Use “Sample data” prominently throughout the synthetic demo.</w:t>
      </w:r>
    </w:p>
    <w:p>
      <w:pPr/>
      <w:r>
        <w:t>Empty state: “You haven't submitted evidence yet. Start with a short challenge.” Closed role: “Applications closed on [date and zone]. You can still view the requirements.” AI fallback, P1: “Draft unavailable. Continue editing manually.” Avoid shaming language such as “unemployable” or “weak student.”</w:t>
      </w:r>
    </w:p>
    <w:p>
      <w:pPr>
        <w:pStyle w:val="Heading2"/>
      </w:pPr>
      <w:r>
        <w:t>7. Accessibility and interaction contract</w:t>
      </w:r>
    </w:p>
    <w:p>
      <w:pPr/>
      <w:r>
        <w:t>Target WCAG 2.2 AA. All actions work by keyboard; focus is visible; dialogs trap and restore focus correctly; errors are announced and linked to fields; tables have headers; status updates are announced without stealing focus. Use sufficiently large touch targets, preferably at least 44 px for primary controls. Support text enlargement, 200% zoom and reduced motion. No essential information is available only through hover, color or animation. [S8]</w:t>
      </w:r>
    </w:p>
    <w:p>
      <w:pPr>
        <w:pStyle w:val="Heading2"/>
      </w:pPr>
      <w:r>
        <w:t>8. Screen review checklist</w:t>
      </w:r>
    </w:p>
    <w:p>
      <w:pPr/>
      <w:r>
        <w:t>Test long names, multiple memberships, no opportunities, zero reviewed skills, a fully completed rubric, partial review, expired deadline, API failure and permission denial. Review 360, 768 and 1280 px layouts. Ensure evidence text cannot break containment and links wrap. Avoid fixed-height feedback boxes that clip content. Check that a coordinator report cannot visually imply an entire university sample when it contains a small pilot group.</w:t>
      </w:r>
    </w:p>
    <w:p>
      <w:pPr>
        <w:pStyle w:val="Heading2"/>
      </w:pPr>
      <w:r>
        <w:t>9. Brand assets and future work</w:t>
      </w:r>
    </w:p>
    <w:p>
      <w:pPr/>
      <w:r>
        <w:t>ProofBridge is a temporary name. Use a simple text wordmark for the prototype; no generated mascot or ornamental illustration is required. Public branding, trademark/domain checks and a marketing site are later work. The design specification describes the intended application; it does not claim that a Figma file or clickable site has been created.</w:t>
      </w:r>
    </w:p>
    <w:p>
      <w:r>
        <w:br w:type="page"/>
      </w:r>
    </w:p>
    <w:p>
      <w:pPr>
        <w:pStyle w:val="Heading1"/>
      </w:pPr>
      <w:r>
        <w:t>Skill mapping, evidence and AI rules</w:t>
      </w:r>
    </w:p>
    <w:p>
      <w:pPr>
        <w:pStyle w:val="Heading2"/>
      </w:pPr>
      <w:r>
        <w:t>1. Separate four concepts</w:t>
      </w:r>
    </w:p>
    <w:p>
      <w:pPr>
        <w:pStyle w:val="CompactBody"/>
      </w:pPr>
      <w:r>
        <w:t>A declared skill is a student's claim. A reviewed attainment is a level attributed to specific submitted work. Role coverage compares reviewed attainments with explicit requirements. Eligibility checks disclosed constraints such as audience and deadline. None of these is a global measure of a person's potential, hiring probability or guaranteed performance.</w:t>
      </w:r>
    </w:p>
    <w:p>
      <w:pPr>
        <w:pStyle w:val="Heading2"/>
      </w:pPr>
      <w:r>
        <w:t>2. Canonical skills</w:t>
      </w:r>
    </w:p>
    <w:p>
      <w:pPr>
        <w:pStyle w:val="CompactBody"/>
      </w:pPr>
      <w:r>
        <w:t>Start with a curated catalog of 20–30 skills relevant to the pilot: SQL, spreadsheets, data cleaning, analytical reasoning, written communication, Git, HTML/CSS, JavaScript, API integration, testing, documentation and a few domain-specific skills. Each has an ID, category, human-readable definition and aliases. Map aliases only when equivalent. Java and JavaScript are not interchangeable; “communication” and “English fluency” must not be conflated.</w:t>
      </w:r>
    </w:p>
    <w:p>
      <w:pPr>
        <w:pStyle w:val="CompactBody"/>
      </w:pPr>
      <w:r>
        <w:t>Role requirements are human-approved skill IDs with level and weight. AI may suggest mapping in P1 but uncertain mappings require confirmation. New skills enter a moderation queue rather than creating duplicates automatically.</w:t>
      </w:r>
    </w:p>
    <w:p>
      <w:pPr>
        <w:pStyle w:val="Heading2"/>
      </w:pPr>
      <w:r>
        <w:t>3. Proficiency anchors</w:t>
      </w:r>
    </w:p>
    <w:p>
      <w:pPr>
        <w:pStyle w:val="CompactBody"/>
      </w:pPr>
      <w:r>
        <w:t>Level 0: the submitted work does not demonstrate the criterion. Level 1: completes a basic task with substantial guidance. Level 2: completes a routine task with some support and can explain the main steps. Level 3: completes a representative task independently and explains trade-offs. Level 4: handles edge cases, validates results and justifies alternatives. These are proposed project anchors, not an accredited proficiency standard.</w:t>
      </w:r>
    </w:p>
    <w:p>
      <w:pPr>
        <w:pStyle w:val="CompactBody"/>
      </w:pPr>
      <w:r>
        <w:t>Each challenge supplies skill-specific anchors. For SQL, level 1 might retrieve/filter one table; level 2 correctly joins and aggregates routine data; level 3 handles duplicates, nulls and validation; level 4 compares alternative queries and explains performance/data quality trade-offs. The reviewer assesses only what the task can support. A trivial task should not offer an unjustified level-4 path.</w:t>
      </w:r>
    </w:p>
    <w:p>
      <w:pPr>
        <w:pStyle w:val="Heading2"/>
      </w:pPr>
      <w:r>
        <w:t>4. Evidence selection rule</w:t>
      </w:r>
    </w:p>
    <w:p>
      <w:pPr>
        <w:pStyle w:val="CompactBody"/>
      </w:pPr>
      <w:r>
        <w:t>For each required skill, select the highest level among active published, non-voided attainments in the allowed evidence set. If tied, choose the most recent reviewed_at, then lexicographically smallest attainment ID for deterministic ordering. Evidence is active when its review is published and not voided, and valid_until is null or in the future. P0 uses null valid_until; future expiry must be explicitly communicated.</w:t>
      </w:r>
    </w:p>
    <w:p>
      <w:pPr>
        <w:pStyle w:val="CompactBody"/>
      </w:pPr>
      <w:r>
        <w:t>Live student coverage may use all their evidence. Application coverage uses only selected shared revisions. An absence of attainment yields reviewed_level=null and contribution zero. A reviewed level 0 is stored as 0 and displays “Not demonstrated in this submission.” Do not average self-declarations into reviewed coverage.</w:t>
      </w:r>
    </w:p>
    <w:p>
      <w:pPr>
        <w:pStyle w:val="Heading2"/>
      </w:pPr>
      <w:r>
        <w:t>5. Formula — coverage-v1</w:t>
      </w:r>
    </w:p>
    <w:p>
      <w:pPr>
        <w:pStyle w:val="CompactBody"/>
      </w:pPr>
      <w:r>
        <w:t>For skill i: contribution_i = weight_i × min(reviewed_level_i / required_level_i, 1). Treat missing evidence as zero for calculation only. Reviewed coverage is the sum of contributions; weights are positive integers totaling 100. Clamp no result silently: invalid inputs must fail validation. Calculate at full precision and round the final displayed percentage to the nearest whole number, with .5 rounded upward. API contributions may retain two decimal places, but the total uses unrounded values.</w:t>
      </w:r>
    </w:p>
    <w:p>
      <w:pPr>
        <w:pStyle w:val="CompactBody"/>
      </w:pPr>
      <w:r>
        <w:t>Evidence beyond the required level cannot compensate for an unrelated missing skill because each skill contribution is capped at its weight. Do not call this “AI matching”; it is a transparent weighted rule. It can be replaced only through a versioned decision and regression checks.</w:t>
      </w:r>
    </w:p>
    <w:p>
      <w:pPr>
        <w:pStyle w:val="Heading2"/>
      </w:pPr>
      <w:r>
        <w:t>6. Worked demo example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1560"/>
        <w:gridCol w:w="1560"/>
        <w:gridCol w:w="1560"/>
        <w:gridCol w:w="1560"/>
        <w:gridCol w:w="1560"/>
        <w:gridCol w:w="1560"/>
      </w:tblGrid>
      <w:tr>
        <w:trPr>
          <w:cantSplit/>
          <w:tblHeader/>
        </w:trPr>
        <w:tc>
          <w:tcPr>
            <w:tcW w:type="dxa" w:w="1560"/>
            <w:shd w:fill="E8EEF5"/>
          </w:tcPr>
          <w:p>
            <w:pPr>
              <w:pStyle w:val="TableText"/>
            </w:pPr>
            <w:r>
              <w:rPr>
                <w:b/>
              </w:rPr>
              <w:t>Skill</w:t>
            </w:r>
          </w:p>
        </w:tc>
        <w:tc>
          <w:tcPr>
            <w:tcW w:type="dxa" w:w="1560"/>
            <w:shd w:fill="E8EEF5"/>
          </w:tcPr>
          <w:p>
            <w:pPr>
              <w:pStyle w:val="TableText"/>
            </w:pPr>
            <w:r>
              <w:rPr>
                <w:b/>
              </w:rPr>
              <w:t>Required</w:t>
            </w:r>
          </w:p>
        </w:tc>
        <w:tc>
          <w:tcPr>
            <w:tcW w:type="dxa" w:w="1560"/>
            <w:shd w:fill="E8EEF5"/>
          </w:tcPr>
          <w:p>
            <w:pPr>
              <w:pStyle w:val="TableText"/>
            </w:pPr>
            <w:r>
              <w:rPr>
                <w:b/>
              </w:rPr>
              <w:t>Reviewed before</w:t>
            </w:r>
          </w:p>
        </w:tc>
        <w:tc>
          <w:tcPr>
            <w:tcW w:type="dxa" w:w="1560"/>
            <w:shd w:fill="E8EEF5"/>
          </w:tcPr>
          <w:p>
            <w:pPr>
              <w:pStyle w:val="TableText"/>
            </w:pPr>
            <w:r>
              <w:rPr>
                <w:b/>
              </w:rPr>
              <w:t>Weight</w:t>
            </w:r>
          </w:p>
        </w:tc>
        <w:tc>
          <w:tcPr>
            <w:tcW w:type="dxa" w:w="1560"/>
            <w:shd w:fill="E8EEF5"/>
          </w:tcPr>
          <w:p>
            <w:pPr>
              <w:pStyle w:val="TableText"/>
            </w:pPr>
            <w:r>
              <w:rPr>
                <w:b/>
              </w:rPr>
              <w:t>Before contribution</w:t>
            </w:r>
          </w:p>
        </w:tc>
        <w:tc>
          <w:tcPr>
            <w:tcW w:type="dxa" w:w="1560"/>
            <w:shd w:fill="E8EEF5"/>
          </w:tcPr>
          <w:p>
            <w:pPr>
              <w:pStyle w:val="TableText"/>
            </w:pPr>
            <w:r>
              <w:rPr>
                <w:b/>
              </w:rPr>
              <w:t>After contribution</w:t>
            </w:r>
          </w:p>
        </w:tc>
      </w:tr>
      <w:tr>
        <w:trPr>
          <w:cantSplit/>
        </w:trPr>
        <w:tc>
          <w:tcPr>
            <w:tcW w:type="dxa" w:w="1560"/>
          </w:tcPr>
          <w:p>
            <w:pPr>
              <w:pStyle w:val="TableText"/>
            </w:pPr>
            <w:r>
              <w:t>SQL</w:t>
            </w:r>
          </w:p>
        </w:tc>
        <w:tc>
          <w:tcPr>
            <w:tcW w:type="dxa" w:w="1560"/>
          </w:tcPr>
          <w:p>
            <w:pPr>
              <w:pStyle w:val="TableText"/>
            </w:pPr>
            <w:r>
              <w:t>3</w:t>
            </w:r>
          </w:p>
        </w:tc>
        <w:tc>
          <w:tcPr>
            <w:tcW w:type="dxa" w:w="1560"/>
          </w:tcPr>
          <w:p>
            <w:pPr>
              <w:pStyle w:val="TableText"/>
            </w:pPr>
            <w:r>
              <w:t>None → 3 after review</w:t>
            </w:r>
          </w:p>
        </w:tc>
        <w:tc>
          <w:tcPr>
            <w:tcW w:type="dxa" w:w="1560"/>
          </w:tcPr>
          <w:p>
            <w:pPr>
              <w:pStyle w:val="TableText"/>
            </w:pPr>
            <w:r>
              <w:t>35</w:t>
            </w:r>
          </w:p>
        </w:tc>
        <w:tc>
          <w:tcPr>
            <w:tcW w:type="dxa" w:w="1560"/>
          </w:tcPr>
          <w:p>
            <w:pPr>
              <w:pStyle w:val="TableText"/>
            </w:pPr>
            <w:r>
              <w:t>0</w:t>
            </w:r>
          </w:p>
        </w:tc>
        <w:tc>
          <w:tcPr>
            <w:tcW w:type="dxa" w:w="1560"/>
          </w:tcPr>
          <w:p>
            <w:pPr>
              <w:pStyle w:val="TableText"/>
            </w:pPr>
            <w:r>
              <w:t>35</w:t>
            </w:r>
          </w:p>
        </w:tc>
      </w:tr>
      <w:tr>
        <w:trPr>
          <w:cantSplit/>
        </w:trPr>
        <w:tc>
          <w:tcPr>
            <w:tcW w:type="dxa" w:w="1560"/>
          </w:tcPr>
          <w:p>
            <w:pPr>
              <w:pStyle w:val="TableText"/>
            </w:pPr>
            <w:r>
              <w:t>Spreadsheets</w:t>
            </w:r>
          </w:p>
        </w:tc>
        <w:tc>
          <w:tcPr>
            <w:tcW w:type="dxa" w:w="1560"/>
          </w:tcPr>
          <w:p>
            <w:pPr>
              <w:pStyle w:val="TableText"/>
            </w:pPr>
            <w:r>
              <w:t>3</w:t>
            </w:r>
          </w:p>
        </w:tc>
        <w:tc>
          <w:tcPr>
            <w:tcW w:type="dxa" w:w="1560"/>
          </w:tcPr>
          <w:p>
            <w:pPr>
              <w:pStyle w:val="TableText"/>
            </w:pPr>
            <w:r>
              <w:t>3</w:t>
            </w:r>
          </w:p>
        </w:tc>
        <w:tc>
          <w:tcPr>
            <w:tcW w:type="dxa" w:w="1560"/>
          </w:tcPr>
          <w:p>
            <w:pPr>
              <w:pStyle w:val="TableText"/>
            </w:pPr>
            <w:r>
              <w:t>25</w:t>
            </w:r>
          </w:p>
        </w:tc>
        <w:tc>
          <w:tcPr>
            <w:tcW w:type="dxa" w:w="1560"/>
          </w:tcPr>
          <w:p>
            <w:pPr>
              <w:pStyle w:val="TableText"/>
            </w:pPr>
            <w:r>
              <w:t>25</w:t>
            </w:r>
          </w:p>
        </w:tc>
        <w:tc>
          <w:tcPr>
            <w:tcW w:type="dxa" w:w="1560"/>
          </w:tcPr>
          <w:p>
            <w:pPr>
              <w:pStyle w:val="TableText"/>
            </w:pPr>
            <w:r>
              <w:t>25</w:t>
            </w:r>
          </w:p>
        </w:tc>
      </w:tr>
      <w:tr>
        <w:trPr>
          <w:cantSplit/>
        </w:trPr>
        <w:tc>
          <w:tcPr>
            <w:tcW w:type="dxa" w:w="1560"/>
          </w:tcPr>
          <w:p>
            <w:pPr>
              <w:pStyle w:val="TableText"/>
            </w:pPr>
            <w:r>
              <w:t>Communication</w:t>
            </w:r>
          </w:p>
        </w:tc>
        <w:tc>
          <w:tcPr>
            <w:tcW w:type="dxa" w:w="1560"/>
          </w:tcPr>
          <w:p>
            <w:pPr>
              <w:pStyle w:val="TableText"/>
            </w:pPr>
            <w:r>
              <w:t>4</w:t>
            </w:r>
          </w:p>
        </w:tc>
        <w:tc>
          <w:tcPr>
            <w:tcW w:type="dxa" w:w="1560"/>
          </w:tcPr>
          <w:p>
            <w:pPr>
              <w:pStyle w:val="TableText"/>
            </w:pPr>
            <w:r>
              <w:t>3</w:t>
            </w:r>
          </w:p>
        </w:tc>
        <w:tc>
          <w:tcPr>
            <w:tcW w:type="dxa" w:w="1560"/>
          </w:tcPr>
          <w:p>
            <w:pPr>
              <w:pStyle w:val="TableText"/>
            </w:pPr>
            <w:r>
              <w:t>16</w:t>
            </w:r>
          </w:p>
        </w:tc>
        <w:tc>
          <w:tcPr>
            <w:tcW w:type="dxa" w:w="1560"/>
          </w:tcPr>
          <w:p>
            <w:pPr>
              <w:pStyle w:val="TableText"/>
            </w:pPr>
            <w:r>
              <w:t>12</w:t>
            </w:r>
          </w:p>
        </w:tc>
        <w:tc>
          <w:tcPr>
            <w:tcW w:type="dxa" w:w="1560"/>
          </w:tcPr>
          <w:p>
            <w:pPr>
              <w:pStyle w:val="TableText"/>
            </w:pPr>
            <w:r>
              <w:t>12</w:t>
            </w:r>
          </w:p>
        </w:tc>
      </w:tr>
      <w:tr>
        <w:trPr>
          <w:cantSplit/>
        </w:trPr>
        <w:tc>
          <w:tcPr>
            <w:tcW w:type="dxa" w:w="1560"/>
          </w:tcPr>
          <w:p>
            <w:pPr>
              <w:pStyle w:val="TableText"/>
            </w:pPr>
            <w:r>
              <w:t>Analytical reasoning</w:t>
            </w:r>
          </w:p>
        </w:tc>
        <w:tc>
          <w:tcPr>
            <w:tcW w:type="dxa" w:w="1560"/>
          </w:tcPr>
          <w:p>
            <w:pPr>
              <w:pStyle w:val="TableText"/>
            </w:pPr>
            <w:r>
              <w:t>3</w:t>
            </w:r>
          </w:p>
        </w:tc>
        <w:tc>
          <w:tcPr>
            <w:tcW w:type="dxa" w:w="1560"/>
          </w:tcPr>
          <w:p>
            <w:pPr>
              <w:pStyle w:val="TableText"/>
            </w:pPr>
            <w:r>
              <w:t>3</w:t>
            </w:r>
          </w:p>
        </w:tc>
        <w:tc>
          <w:tcPr>
            <w:tcW w:type="dxa" w:w="1560"/>
          </w:tcPr>
          <w:p>
            <w:pPr>
              <w:pStyle w:val="TableText"/>
            </w:pPr>
            <w:r>
              <w:t>24</w:t>
            </w:r>
          </w:p>
        </w:tc>
        <w:tc>
          <w:tcPr>
            <w:tcW w:type="dxa" w:w="1560"/>
          </w:tcPr>
          <w:p>
            <w:pPr>
              <w:pStyle w:val="TableText"/>
            </w:pPr>
            <w:r>
              <w:t>24</w:t>
            </w:r>
          </w:p>
        </w:tc>
        <w:tc>
          <w:tcPr>
            <w:tcW w:type="dxa" w:w="1560"/>
          </w:tcPr>
          <w:p>
            <w:pPr>
              <w:pStyle w:val="TableText"/>
            </w:pPr>
            <w:r>
              <w:t>24</w:t>
            </w:r>
          </w:p>
        </w:tc>
      </w:tr>
      <w:tr>
        <w:trPr>
          <w:cantSplit/>
        </w:trPr>
        <w:tc>
          <w:tcPr>
            <w:tcW w:type="dxa" w:w="1560"/>
          </w:tcPr>
          <w:p>
            <w:pPr>
              <w:pStyle w:val="TableText"/>
            </w:pPr>
            <w:r>
              <w:t>Total</w:t>
            </w:r>
          </w:p>
        </w:tc>
        <w:tc>
          <w:tcPr>
            <w:tcW w:type="dxa" w:w="1560"/>
          </w:tcPr>
          <w:p>
            <w:pPr>
              <w:pStyle w:val="TableText"/>
            </w:pPr>
            <w:r>
              <w:t>—</w:t>
            </w:r>
          </w:p>
        </w:tc>
        <w:tc>
          <w:tcPr>
            <w:tcW w:type="dxa" w:w="1560"/>
          </w:tcPr>
          <w:p>
            <w:pPr>
              <w:pStyle w:val="TableText"/>
            </w:pPr>
            <w:r>
              <w:t>—</w:t>
            </w:r>
          </w:p>
        </w:tc>
        <w:tc>
          <w:tcPr>
            <w:tcW w:type="dxa" w:w="1560"/>
          </w:tcPr>
          <w:p>
            <w:pPr>
              <w:pStyle w:val="TableText"/>
            </w:pPr>
            <w:r>
              <w:t>100</w:t>
            </w:r>
          </w:p>
        </w:tc>
        <w:tc>
          <w:tcPr>
            <w:tcW w:type="dxa" w:w="1560"/>
          </w:tcPr>
          <w:p>
            <w:pPr>
              <w:pStyle w:val="TableText"/>
            </w:pPr>
            <w:r>
              <w:t>61</w:t>
            </w:r>
          </w:p>
        </w:tc>
        <w:tc>
          <w:tcPr>
            <w:tcW w:type="dxa" w:w="1560"/>
          </w:tcPr>
          <w:p>
            <w:pPr>
              <w:pStyle w:val="TableText"/>
            </w:pPr>
            <w:r>
              <w:t>96</w:t>
            </w:r>
          </w:p>
        </w:tc>
      </w:tr>
    </w:tbl>
    <w:p>
      <w:pPr>
        <w:pStyle w:val="TableSource"/>
      </w:pPr>
    </w:p>
    <w:p>
      <w:pPr>
        <w:pStyle w:val="CompactBody"/>
      </w:pPr>
      <w:r>
        <w:t>All figures are synthetic. The remaining four points reflect communication level 3 against required level 4. This makes the result understandable and avoids a staged jump to a perfect score. A new SQL submission changes nothing before a review is published.</w:t>
      </w:r>
    </w:p>
    <w:p>
      <w:pPr>
        <w:pStyle w:val="Heading2"/>
      </w:pPr>
      <w:r>
        <w:t>7. Recommendations and cohort gaps</w:t>
      </w:r>
    </w:p>
    <w:p>
      <w:pPr>
        <w:pStyle w:val="CompactBody"/>
      </w:pPr>
      <w:r>
        <w:t>Sort suggested challenges by the weight of the unmet skill they cover, then shorter estimated effort, then stable ID. Only include published challenges within audience and deadline. If no challenge is available, show the missing skill and allow the student to continue applying. Do not silently require an unpaid task for every application.</w:t>
      </w:r>
    </w:p>
    <w:p>
      <w:pPr>
        <w:pStyle w:val="CompactBody"/>
      </w:pPr>
      <w:r>
        <w:t>For a college report, consider the selected role sample. For each skill, take the highest required level across those roles and count participating students below it. Divide by the cohort count, including missing evidence but report missing separately. This is an evidence-gap indicator for that sample, not a claim about labor-market demand or academic quality. Suppress small real cohorts.</w:t>
      </w:r>
    </w:p>
    <w:p>
      <w:pPr>
        <w:pStyle w:val="Heading2"/>
      </w:pPr>
      <w:r>
        <w:t>8. AI features — optional P1</w:t>
      </w:r>
    </w:p>
    <w:p>
      <w:pPr>
        <w:pStyle w:val="CompactBody"/>
      </w:pPr>
      <w:r>
        <w:t>Useful AI tasks: turn an employer's rough brief into a proposed rubric; suggest canonical skill mappings; draft a plain-language explanation from an already computed score; suggest feedback wording from a reviewer's entered notes. Each output is editable, labeled a draft and subject to human confirmation.</w:t>
      </w:r>
    </w:p>
    <w:p>
      <w:pPr>
        <w:pStyle w:val="CompactBody"/>
      </w:pPr>
      <w:r>
        <w:t>Forbidden product responsibilities: granting reviewed skills, final grading without a human, auto-rejecting candidates, claiming plagiarism certainty, predicting personality or inferring protected traits. Do not use facial analysis, emotion detection or webcam monitoring as proof of competence. Do not invent courses, sources, partnerships or job opportunities.</w:t>
      </w:r>
    </w:p>
    <w:p>
      <w:pPr>
        <w:pStyle w:val="Heading2"/>
      </w:pPr>
      <w:r>
        <w:t>9. AI interface contract</w:t>
      </w:r>
    </w:p>
    <w:p>
      <w:pPr>
        <w:pStyle w:val="CompactBody"/>
      </w:pPr>
      <w:r>
        <w:t>The adapter accepts task_type, redacted input, allowed_skill_ids, prompt_version and a bounded output schema. Requirement draft output contains suggested skills, rationale and unresolved_terms; it cannot publish. Reject unknown skill IDs, unsupported levels and malformed JSON. Keep temperature and model selection explicit but do not assume the provider supports a particular option until implemented against its current documentation.</w:t>
      </w:r>
    </w:p>
    <w:p>
      <w:pPr>
        <w:pStyle w:val="CompactBody"/>
      </w:pPr>
      <w:r>
        <w:t>Treat job descriptions and submitted work as untrusted content. They may contain instructions to ignore policy or disclose secrets; the model must not receive tools or credentials that would make those instructions effective. Limit text size and output tokens, apply timeouts and allow one bounded retry. Fall back to the original editable form.</w:t>
      </w:r>
    </w:p>
    <w:p>
      <w:pPr>
        <w:pStyle w:val="Heading2"/>
      </w:pPr>
      <w:r>
        <w:t>10. Evaluation</w:t>
      </w:r>
    </w:p>
    <w:p>
      <w:pPr>
        <w:pStyle w:val="CompactBody"/>
      </w:pPr>
      <w:r>
        <w:t>Prepare 20 manually annotated role snippets for skill-mapping experiments and record agreement with two human reviewers. Measure incorrect additions and missed skills separately. For feedback drafts, ask reviewers whether the text accurately reflects their scores and whether editing takes less time. For matching, test determinism, evidence revocation, missing data and the worked example. No accuracy or fairness claim is justified before this evaluation.</w:t>
      </w:r>
    </w:p>
    <w:p>
      <w:pPr>
        <w:pStyle w:val="Heading2"/>
      </w:pPr>
      <w:r>
        <w:t>11. Review integrity</w:t>
      </w:r>
    </w:p>
    <w:p>
      <w:pPr>
        <w:pStyle w:val="CompactBody"/>
      </w:pPr>
      <w:r>
        <w:t>Require contribution statements and permit brief follow-up explanations for uncertain work. P1 can record a short reviewer discussion outcome, with consent. A hash or similarity signal can flag duplicate artifacts for review but cannot prove authorship or misconduct. Students receive reasons and a correction path. Calibrate reviewers using shared samples and compare disagreement before scaling.</w:t>
      </w:r>
    </w:p>
    <w:p>
      <w:r>
        <w:br w:type="page"/>
      </w:r>
    </w:p>
    <w:p>
      <w:pPr>
        <w:pStyle w:val="Heading1"/>
      </w:pPr>
      <w:r>
        <w:t>Security and privacy specification</w:t>
      </w:r>
    </w:p>
    <w:p>
      <w:pPr>
        <w:pStyle w:val="Heading2"/>
      </w:pPr>
      <w:r>
        <w:t>1. Protection goals</w:t>
      </w:r>
    </w:p>
    <w:p>
      <w:pPr/>
      <w:r>
        <w:t>Protect student work, identity, application status and reviewer decisions. Prevent one employer from browsing another employer's candidates. Prevent a student from changing reviewed skills. Preserve a traceable record of meaningful changes. Give students understandable sharing controls. These are product and engineering safeguards; this document is not a legal compliance certification.</w:t>
      </w:r>
    </w:p>
    <w:p>
      <w:pPr>
        <w:pStyle w:val="Heading2"/>
      </w:pPr>
      <w:r>
        <w:t>2. Threat model</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2700"/>
        <w:gridCol w:w="3300"/>
        <w:gridCol w:w="3360"/>
      </w:tblGrid>
      <w:tr>
        <w:trPr>
          <w:cantSplit/>
          <w:tblHeader/>
        </w:trPr>
        <w:tc>
          <w:tcPr>
            <w:tcW w:type="dxa" w:w="2700"/>
            <w:shd w:fill="E8EEF5"/>
          </w:tcPr>
          <w:p>
            <w:pPr>
              <w:pStyle w:val="TableText"/>
            </w:pPr>
            <w:r>
              <w:rPr>
                <w:b/>
              </w:rPr>
              <w:t>Threat</w:t>
            </w:r>
          </w:p>
        </w:tc>
        <w:tc>
          <w:tcPr>
            <w:tcW w:type="dxa" w:w="3300"/>
            <w:shd w:fill="E8EEF5"/>
          </w:tcPr>
          <w:p>
            <w:pPr>
              <w:pStyle w:val="TableText"/>
            </w:pPr>
            <w:r>
              <w:rPr>
                <w:b/>
              </w:rPr>
              <w:t>Example</w:t>
            </w:r>
          </w:p>
        </w:tc>
        <w:tc>
          <w:tcPr>
            <w:tcW w:type="dxa" w:w="3360"/>
            <w:shd w:fill="E8EEF5"/>
          </w:tcPr>
          <w:p>
            <w:pPr>
              <w:pStyle w:val="TableText"/>
            </w:pPr>
            <w:r>
              <w:rPr>
                <w:b/>
              </w:rPr>
              <w:t>Required control</w:t>
            </w:r>
          </w:p>
        </w:tc>
      </w:tr>
      <w:tr>
        <w:trPr>
          <w:cantSplit/>
        </w:trPr>
        <w:tc>
          <w:tcPr>
            <w:tcW w:type="dxa" w:w="2700"/>
          </w:tcPr>
          <w:p>
            <w:pPr>
              <w:pStyle w:val="TableText"/>
            </w:pPr>
            <w:r>
              <w:t>Object-level access failure</w:t>
            </w:r>
          </w:p>
        </w:tc>
        <w:tc>
          <w:tcPr>
            <w:tcW w:type="dxa" w:w="3300"/>
          </w:tcPr>
          <w:p>
            <w:pPr>
              <w:pStyle w:val="TableText"/>
            </w:pPr>
            <w:r>
              <w:t>Change an application UUID</w:t>
            </w:r>
          </w:p>
        </w:tc>
        <w:tc>
          <w:tcPr>
            <w:tcW w:type="dxa" w:w="3360"/>
          </w:tcPr>
          <w:p>
            <w:pPr>
              <w:pStyle w:val="TableText"/>
            </w:pPr>
            <w:r>
              <w:t>Check owner/org/grant at API and DB</w:t>
            </w:r>
          </w:p>
        </w:tc>
      </w:tr>
      <w:tr>
        <w:trPr>
          <w:cantSplit/>
        </w:trPr>
        <w:tc>
          <w:tcPr>
            <w:tcW w:type="dxa" w:w="2700"/>
          </w:tcPr>
          <w:p>
            <w:pPr>
              <w:pStyle w:val="TableText"/>
            </w:pPr>
            <w:r>
              <w:t>Privilege escalation</w:t>
            </w:r>
          </w:p>
        </w:tc>
        <w:tc>
          <w:tcPr>
            <w:tcW w:type="dxa" w:w="3300"/>
          </w:tcPr>
          <w:p>
            <w:pPr>
              <w:pStyle w:val="TableText"/>
            </w:pPr>
            <w:r>
              <w:t>Submit role=admin</w:t>
            </w:r>
          </w:p>
        </w:tc>
        <w:tc>
          <w:tcPr>
            <w:tcW w:type="dxa" w:w="3360"/>
          </w:tcPr>
          <w:p>
            <w:pPr>
              <w:pStyle w:val="TableText"/>
            </w:pPr>
            <w:r>
              <w:t>Membership controlled by privileged workflow</w:t>
            </w:r>
          </w:p>
        </w:tc>
      </w:tr>
      <w:tr>
        <w:trPr>
          <w:cantSplit/>
        </w:trPr>
        <w:tc>
          <w:tcPr>
            <w:tcW w:type="dxa" w:w="2700"/>
          </w:tcPr>
          <w:p>
            <w:pPr>
              <w:pStyle w:val="TableText"/>
            </w:pPr>
            <w:r>
              <w:t>Score tampering</w:t>
            </w:r>
          </w:p>
        </w:tc>
        <w:tc>
          <w:tcPr>
            <w:tcW w:type="dxa" w:w="3300"/>
          </w:tcPr>
          <w:p>
            <w:pPr>
              <w:pStyle w:val="TableText"/>
            </w:pPr>
            <w:r>
              <w:t>Post reviewed_level=4</w:t>
            </w:r>
          </w:p>
        </w:tc>
        <w:tc>
          <w:tcPr>
            <w:tcW w:type="dxa" w:w="3360"/>
          </w:tcPr>
          <w:p>
            <w:pPr>
              <w:pStyle w:val="TableText"/>
            </w:pPr>
            <w:r>
              <w:t>Attainments only from publish-review transaction</w:t>
            </w:r>
          </w:p>
        </w:tc>
      </w:tr>
      <w:tr>
        <w:trPr>
          <w:cantSplit/>
        </w:trPr>
        <w:tc>
          <w:tcPr>
            <w:tcW w:type="dxa" w:w="2700"/>
          </w:tcPr>
          <w:p>
            <w:pPr>
              <w:pStyle w:val="TableText"/>
            </w:pPr>
            <w:r>
              <w:t>Stored script injection</w:t>
            </w:r>
          </w:p>
        </w:tc>
        <w:tc>
          <w:tcPr>
            <w:tcW w:type="dxa" w:w="3300"/>
          </w:tcPr>
          <w:p>
            <w:pPr>
              <w:pStyle w:val="TableText"/>
            </w:pPr>
            <w:r>
              <w:t>Script in evidence text</w:t>
            </w:r>
          </w:p>
        </w:tc>
        <w:tc>
          <w:tcPr>
            <w:tcW w:type="dxa" w:w="3360"/>
          </w:tcPr>
          <w:p>
            <w:pPr>
              <w:pStyle w:val="TableText"/>
            </w:pPr>
            <w:r>
              <w:t>Escape output; no raw HTML</w:t>
            </w:r>
          </w:p>
        </w:tc>
      </w:tr>
      <w:tr>
        <w:trPr>
          <w:cantSplit/>
        </w:trPr>
        <w:tc>
          <w:tcPr>
            <w:tcW w:type="dxa" w:w="2700"/>
          </w:tcPr>
          <w:p>
            <w:pPr>
              <w:pStyle w:val="TableText"/>
            </w:pPr>
            <w:r>
              <w:t>Link abuse</w:t>
            </w:r>
          </w:p>
        </w:tc>
        <w:tc>
          <w:tcPr>
            <w:tcW w:type="dxa" w:w="3300"/>
          </w:tcPr>
          <w:p>
            <w:pPr>
              <w:pStyle w:val="TableText"/>
            </w:pPr>
            <w:r>
              <w:t>Unsafe protocol or server fetch</w:t>
            </w:r>
          </w:p>
        </w:tc>
        <w:tc>
          <w:tcPr>
            <w:tcW w:type="dxa" w:w="3360"/>
          </w:tcPr>
          <w:p>
            <w:pPr>
              <w:pStyle w:val="TableText"/>
            </w:pPr>
            <w:r>
              <w:t>HTTPS allowlist; no server fetch in P0</w:t>
            </w:r>
          </w:p>
        </w:tc>
      </w:tr>
      <w:tr>
        <w:trPr>
          <w:cantSplit/>
        </w:trPr>
        <w:tc>
          <w:tcPr>
            <w:tcW w:type="dxa" w:w="2700"/>
          </w:tcPr>
          <w:p>
            <w:pPr>
              <w:pStyle w:val="TableText"/>
            </w:pPr>
            <w:r>
              <w:t>CSRF</w:t>
            </w:r>
          </w:p>
        </w:tc>
        <w:tc>
          <w:tcPr>
            <w:tcW w:type="dxa" w:w="3300"/>
          </w:tcPr>
          <w:p>
            <w:pPr>
              <w:pStyle w:val="TableText"/>
            </w:pPr>
            <w:r>
              <w:t>External form triggers a stage change</w:t>
            </w:r>
          </w:p>
        </w:tc>
        <w:tc>
          <w:tcPr>
            <w:tcW w:type="dxa" w:w="3360"/>
          </w:tcPr>
          <w:p>
            <w:pPr>
              <w:pStyle w:val="TableText"/>
            </w:pPr>
            <w:r>
              <w:t>Origin/session safeguards</w:t>
            </w:r>
          </w:p>
        </w:tc>
      </w:tr>
      <w:tr>
        <w:trPr>
          <w:cantSplit/>
        </w:trPr>
        <w:tc>
          <w:tcPr>
            <w:tcW w:type="dxa" w:w="2700"/>
          </w:tcPr>
          <w:p>
            <w:pPr>
              <w:pStyle w:val="TableText"/>
            </w:pPr>
            <w:r>
              <w:t>Prompt injection</w:t>
            </w:r>
          </w:p>
        </w:tc>
        <w:tc>
          <w:tcPr>
            <w:tcW w:type="dxa" w:w="3300"/>
          </w:tcPr>
          <w:p>
            <w:pPr>
              <w:pStyle w:val="TableText"/>
            </w:pPr>
            <w:r>
              <w:t>Evidence tells AI to leak data</w:t>
            </w:r>
          </w:p>
        </w:tc>
        <w:tc>
          <w:tcPr>
            <w:tcW w:type="dxa" w:w="3360"/>
          </w:tcPr>
          <w:p>
            <w:pPr>
              <w:pStyle w:val="TableText"/>
            </w:pPr>
            <w:r>
              <w:t>No tools/secrets; schema validation</w:t>
            </w:r>
          </w:p>
        </w:tc>
      </w:tr>
      <w:tr>
        <w:trPr>
          <w:cantSplit/>
        </w:trPr>
        <w:tc>
          <w:tcPr>
            <w:tcW w:type="dxa" w:w="2700"/>
          </w:tcPr>
          <w:p>
            <w:pPr>
              <w:pStyle w:val="TableText"/>
            </w:pPr>
            <w:r>
              <w:t>Review conflict</w:t>
            </w:r>
          </w:p>
        </w:tc>
        <w:tc>
          <w:tcPr>
            <w:tcW w:type="dxa" w:w="3300"/>
          </w:tcPr>
          <w:p>
            <w:pPr>
              <w:pStyle w:val="TableText"/>
            </w:pPr>
            <w:r>
              <w:t>Review own submission</w:t>
            </w:r>
          </w:p>
        </w:tc>
        <w:tc>
          <w:tcPr>
            <w:tcW w:type="dxa" w:w="3360"/>
          </w:tcPr>
          <w:p>
            <w:pPr>
              <w:pStyle w:val="TableText"/>
            </w:pPr>
            <w:r>
              <w:t>Assignment and identity check</w:t>
            </w:r>
          </w:p>
        </w:tc>
      </w:tr>
      <w:tr>
        <w:trPr>
          <w:cantSplit/>
        </w:trPr>
        <w:tc>
          <w:tcPr>
            <w:tcW w:type="dxa" w:w="2700"/>
          </w:tcPr>
          <w:p>
            <w:pPr>
              <w:pStyle w:val="TableText"/>
            </w:pPr>
            <w:r>
              <w:t>Oversharing</w:t>
            </w:r>
          </w:p>
        </w:tc>
        <w:tc>
          <w:tcPr>
            <w:tcW w:type="dxa" w:w="3300"/>
          </w:tcPr>
          <w:p>
            <w:pPr>
              <w:pStyle w:val="TableText"/>
            </w:pPr>
            <w:r>
              <w:t>Export all student records</w:t>
            </w:r>
          </w:p>
        </w:tc>
        <w:tc>
          <w:tcPr>
            <w:tcW w:type="dxa" w:w="3360"/>
          </w:tcPr>
          <w:p>
            <w:pPr>
              <w:pStyle w:val="TableText"/>
            </w:pPr>
            <w:r>
              <w:t>Minimal scoped fields and consent</w:t>
            </w:r>
          </w:p>
        </w:tc>
      </w:tr>
      <w:tr>
        <w:trPr>
          <w:cantSplit/>
        </w:trPr>
        <w:tc>
          <w:tcPr>
            <w:tcW w:type="dxa" w:w="2700"/>
          </w:tcPr>
          <w:p>
            <w:pPr>
              <w:pStyle w:val="TableText"/>
            </w:pPr>
            <w:r>
              <w:t>Duplicate action</w:t>
            </w:r>
          </w:p>
        </w:tc>
        <w:tc>
          <w:tcPr>
            <w:tcW w:type="dxa" w:w="3300"/>
          </w:tcPr>
          <w:p>
            <w:pPr>
              <w:pStyle w:val="TableText"/>
            </w:pPr>
            <w:r>
              <w:t>Retried offer/application</w:t>
            </w:r>
          </w:p>
        </w:tc>
        <w:tc>
          <w:tcPr>
            <w:tcW w:type="dxa" w:w="3360"/>
          </w:tcPr>
          <w:p>
            <w:pPr>
              <w:pStyle w:val="TableText"/>
            </w:pPr>
            <w:r>
              <w:t>Idempotency and transaction constraints</w:t>
            </w:r>
          </w:p>
        </w:tc>
      </w:tr>
    </w:tbl>
    <w:p>
      <w:pPr>
        <w:pStyle w:val="TableSource"/>
      </w:pPr>
    </w:p>
    <w:p>
      <w:pPr/>
      <w:r>
        <w:t>Use the OWASP API Security project as a review checklist for API risks. [S7] The controls here are proposed design requirements; they still need implementation and testing.</w:t>
      </w:r>
    </w:p>
    <w:p>
      <w:pPr>
        <w:pStyle w:val="Heading2"/>
      </w:pPr>
      <w:r>
        <w:t>3. Permission model</w:t>
      </w:r>
    </w:p>
    <w:p>
      <w:pPr/>
      <w:r>
        <w:t>Deny access by default. Validate a current approved membership on every privileged operation. Use object-specific evidence grants for employers. Ensure direct Supabase API paths cannot bypass business restrictions. Revoke client writes to published reviews, attainments, audit events and organization approvals. Audit elevated database functions and security-definer behavior carefully.</w:t>
      </w:r>
    </w:p>
    <w:p>
      <w:pPr/>
      <w:r>
        <w:t>Suspending an employer blocks new publication, assignments and candidate decisions. Existing students retain their own records. Revoking a reviewer membership prevents future review publication. A platform admin must enter a reason for evidence access or review voiding; log actor, scope and time.</w:t>
      </w:r>
    </w:p>
    <w:p>
      <w:pPr>
        <w:pStyle w:val="Heading2"/>
      </w:pPr>
      <w:r>
        <w:t>4. Evidence sharing UX</w:t>
      </w:r>
    </w:p>
    <w:p>
      <w:pPr/>
      <w:r>
        <w:t>Before applying, show the employer, purpose and exact evidence revisions selected. Explain that access persists while the application is active under the adopted policy. Withdrawal revokes future in-app access. Explain that copies already downloaded or viewed cannot be recalled. Public sharing is disabled in P0. Never preselect unrelated private artifacts merely to increase a match score.</w:t>
      </w:r>
    </w:p>
    <w:p>
      <w:pPr/>
      <w:r>
        <w:t>Students can inspect their sharing history and request correction of a review. Coordinator access is limited to enrollment and aggregate participation information unless a separate justified grant exists. Employer access to an application never becomes a permission to browse the student's private passport.</w:t>
      </w:r>
    </w:p>
    <w:p>
      <w:pPr>
        <w:pStyle w:val="Heading2"/>
      </w:pPr>
      <w:r>
        <w:t>5. Data minimization and retention</w:t>
      </w:r>
    </w:p>
    <w:p>
      <w:pPr/>
      <w:r>
        <w:t>Collect display name, account identity, program, graduation year, optional headline and evidence needed for the workflow. Do not request Aadhaar, bank details, caste, religion, medical information or family income for P0. Do not infer protected attributes for ranking. Avoid collecting dates of birth unless a later eligibility requirement has a legitimate basis.</w:t>
      </w:r>
    </w:p>
    <w:p>
      <w:pPr/>
      <w:r>
        <w:t>Before a real pilot, adopt and publish retention windows with institutional review. Proposed operational starting points for discussion: short-lived application logs, deletion of failed AI drafts after troubleshooting, and a defined end-of-pilot cleanup date. Do not label those as legal requirements. Keep data export, deletion and backup treatment in the policy so users understand residual retention.</w:t>
      </w:r>
    </w:p>
    <w:p>
      <w:pPr>
        <w:pStyle w:val="Heading2"/>
      </w:pPr>
      <w:r>
        <w:t>6. File handling — P1 gate</w:t>
      </w:r>
    </w:p>
    <w:p>
      <w:pPr/>
      <w:r>
        <w:t>Private uploads require owner-prefixed random object keys, maximum size/type limits, file signature inspection, malware scanning or quarantine, safe content-disposition and short-lived signed download URLs. A failed or pending scan blocks preview. Never execute submitted code in the app server. Browser previews must not render arbitrary HTML or active office content. Text/link-only P0 avoids this subsystem entirely.</w:t>
      </w:r>
    </w:p>
    <w:p>
      <w:pPr>
        <w:pStyle w:val="Heading2"/>
      </w:pPr>
      <w:r>
        <w:t>7. Account and secret handling</w:t>
      </w:r>
    </w:p>
    <w:p>
      <w:pPr/>
      <w:r>
        <w:t>Keep secrets in environment management, not source or AI prompts. Use separate dev/demo/prod environments. Restrict administrator access and consider MFA before real production use. Rate-limit auth and sensitive mutation routes. On leaked credentials, revoke/rotate, assess access logs and notify affected parties through the agreed incident process. A demo login should have only its role's privileges and use synthetic records.</w:t>
      </w:r>
    </w:p>
    <w:p>
      <w:pPr>
        <w:pStyle w:val="Heading2"/>
      </w:pPr>
      <w:r>
        <w:t>8. Incident and operational response</w:t>
      </w:r>
    </w:p>
    <w:p>
      <w:pPr/>
      <w:r>
        <w:t>Assign an incident owner. For suspected data exposure, disable the affected function or suspend the account, preserve minimal relevant logs, assess scope, fix the authorization flaw and verify with denial tests. Follow the applicable institutional and legal notification process after determining obligations; do not invent a universal notification deadline. Keep a documented contact route for student complaints and review disputes.</w:t>
      </w:r>
    </w:p>
    <w:p>
      <w:pPr>
        <w:pStyle w:val="Heading2"/>
      </w:pPr>
      <w:r>
        <w:t>9. Real-pilot readiness questions</w:t>
      </w:r>
    </w:p>
    <w:p>
      <w:pPr/>
      <w:r>
        <w:t>Who controls student data? Who approves employer participation? Who is allowed to review? What happens when a student withdraws? How long are applications retained? Are all participants adults, and what policy applies otherwise? Which model providers, if any, receive personal data? Which agreements cover employer work samples? Resolve these with the institution before collecting real pilot data. Synthetic hackathon demonstration can proceed without representing these agreements as signed.</w:t>
      </w:r>
    </w:p>
    <w:p>
      <w:r>
        <w:br w:type="page"/>
      </w:r>
    </w:p>
    <w:p>
      <w:pPr>
        <w:pStyle w:val="Heading1"/>
      </w:pPr>
      <w:r>
        <w:t>Testing and acceptance plan</w:t>
      </w:r>
    </w:p>
    <w:p>
      <w:pPr>
        <w:pStyle w:val="Heading2"/>
      </w:pPr>
      <w:r>
        <w:t>1. Testing strategy</w:t>
      </w:r>
    </w:p>
    <w:p>
      <w:pPr/>
      <w:r>
        <w:t>Prioritize failures that invalidate the project: unauthorized data access, fake reviewed skills, broken review-to-match updates, duplicate applications and lost submissions. Unit tests check deterministic rules; database tests check constraints and grants; API tests check contracts; end-to-end tests check the role journeys. Visual/manual checks cover clarity, accessibility and demo readiness. These are planned tests, not claims that an application has passed them.</w:t>
      </w:r>
    </w:p>
    <w:p>
      <w:pPr>
        <w:pStyle w:val="Heading2"/>
      </w:pPr>
      <w:r>
        <w:t>2. Required P0 scenarios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2700"/>
        <w:gridCol w:w="3300"/>
        <w:gridCol w:w="3360"/>
      </w:tblGrid>
      <w:tr>
        <w:trPr>
          <w:cantSplit/>
          <w:tblHeader/>
        </w:trPr>
        <w:tc>
          <w:tcPr>
            <w:tcW w:type="dxa" w:w="2700"/>
            <w:shd w:fill="E8EEF5"/>
          </w:tcPr>
          <w:p>
            <w:pPr>
              <w:pStyle w:val="TableText"/>
            </w:pPr>
            <w:r>
              <w:rPr>
                <w:b/>
              </w:rPr>
              <w:t>ID</w:t>
            </w:r>
          </w:p>
        </w:tc>
        <w:tc>
          <w:tcPr>
            <w:tcW w:type="dxa" w:w="3300"/>
            <w:shd w:fill="E8EEF5"/>
          </w:tcPr>
          <w:p>
            <w:pPr>
              <w:pStyle w:val="TableText"/>
            </w:pPr>
            <w:r>
              <w:rPr>
                <w:b/>
              </w:rPr>
              <w:t>Scenario</w:t>
            </w:r>
          </w:p>
        </w:tc>
        <w:tc>
          <w:tcPr>
            <w:tcW w:type="dxa" w:w="3360"/>
            <w:shd w:fill="E8EEF5"/>
          </w:tcPr>
          <w:p>
            <w:pPr>
              <w:pStyle w:val="TableText"/>
            </w:pPr>
            <w:r>
              <w:rPr>
                <w:b/>
              </w:rPr>
              <w:t>Expected result</w:t>
            </w:r>
          </w:p>
        </w:tc>
      </w:tr>
      <w:tr>
        <w:trPr>
          <w:cantSplit/>
        </w:trPr>
        <w:tc>
          <w:tcPr>
            <w:tcW w:type="dxa" w:w="2700"/>
          </w:tcPr>
          <w:p>
            <w:pPr>
              <w:pStyle w:val="TableText"/>
            </w:pPr>
            <w:r>
              <w:t>T-01</w:t>
            </w:r>
          </w:p>
        </w:tc>
        <w:tc>
          <w:tcPr>
            <w:tcW w:type="dxa" w:w="3300"/>
          </w:tcPr>
          <w:p>
            <w:pPr>
              <w:pStyle w:val="TableText"/>
            </w:pPr>
            <w:r>
              <w:t>Student calls employer publish endpoint</w:t>
            </w:r>
          </w:p>
        </w:tc>
        <w:tc>
          <w:tcPr>
            <w:tcW w:type="dxa" w:w="3360"/>
          </w:tcPr>
          <w:p>
            <w:pPr>
              <w:pStyle w:val="TableText"/>
            </w:pPr>
            <w:r>
              <w:t>Denied; no record changed</w:t>
            </w:r>
          </w:p>
        </w:tc>
      </w:tr>
      <w:tr>
        <w:trPr>
          <w:cantSplit/>
        </w:trPr>
        <w:tc>
          <w:tcPr>
            <w:tcW w:type="dxa" w:w="2700"/>
          </w:tcPr>
          <w:p>
            <w:pPr>
              <w:pStyle w:val="TableText"/>
            </w:pPr>
            <w:r>
              <w:t>T-02</w:t>
            </w:r>
          </w:p>
        </w:tc>
        <w:tc>
          <w:tcPr>
            <w:tcW w:type="dxa" w:w="3300"/>
          </w:tcPr>
          <w:p>
            <w:pPr>
              <w:pStyle w:val="TableText"/>
            </w:pPr>
            <w:r>
              <w:t>Employer B requests Employer A applicant</w:t>
            </w:r>
          </w:p>
        </w:tc>
        <w:tc>
          <w:tcPr>
            <w:tcW w:type="dxa" w:w="3360"/>
          </w:tcPr>
          <w:p>
            <w:pPr>
              <w:pStyle w:val="TableText"/>
            </w:pPr>
            <w:r>
              <w:t>404/denied; no private fields</w:t>
            </w:r>
          </w:p>
        </w:tc>
      </w:tr>
      <w:tr>
        <w:trPr>
          <w:cantSplit/>
        </w:trPr>
        <w:tc>
          <w:tcPr>
            <w:tcW w:type="dxa" w:w="2700"/>
          </w:tcPr>
          <w:p>
            <w:pPr>
              <w:pStyle w:val="TableText"/>
            </w:pPr>
            <w:r>
              <w:t>T-03</w:t>
            </w:r>
          </w:p>
        </w:tc>
        <w:tc>
          <w:tcPr>
            <w:tcW w:type="dxa" w:w="3300"/>
          </w:tcPr>
          <w:p>
            <w:pPr>
              <w:pStyle w:val="TableText"/>
            </w:pPr>
            <w:r>
              <w:t>Student inserts skill attainment directly</w:t>
            </w:r>
          </w:p>
        </w:tc>
        <w:tc>
          <w:tcPr>
            <w:tcW w:type="dxa" w:w="3360"/>
          </w:tcPr>
          <w:p>
            <w:pPr>
              <w:pStyle w:val="TableText"/>
            </w:pPr>
            <w:r>
              <w:t>Database denies</w:t>
            </w:r>
          </w:p>
        </w:tc>
      </w:tr>
      <w:tr>
        <w:trPr>
          <w:cantSplit/>
        </w:trPr>
        <w:tc>
          <w:tcPr>
            <w:tcW w:type="dxa" w:w="2700"/>
          </w:tcPr>
          <w:p>
            <w:pPr>
              <w:pStyle w:val="TableText"/>
            </w:pPr>
            <w:r>
              <w:t>T-04</w:t>
            </w:r>
          </w:p>
        </w:tc>
        <w:tc>
          <w:tcPr>
            <w:tcW w:type="dxa" w:w="3300"/>
          </w:tcPr>
          <w:p>
            <w:pPr>
              <w:pStyle w:val="TableText"/>
            </w:pPr>
            <w:r>
              <w:t>Submit challenge after deadline</w:t>
            </w:r>
          </w:p>
        </w:tc>
        <w:tc>
          <w:tcPr>
            <w:tcW w:type="dxa" w:w="3360"/>
          </w:tcPr>
          <w:p>
            <w:pPr>
              <w:pStyle w:val="TableText"/>
            </w:pPr>
            <w:r>
              <w:t>DEADLINE_PASSED</w:t>
            </w:r>
          </w:p>
        </w:tc>
      </w:tr>
      <w:tr>
        <w:trPr>
          <w:cantSplit/>
        </w:trPr>
        <w:tc>
          <w:tcPr>
            <w:tcW w:type="dxa" w:w="2700"/>
          </w:tcPr>
          <w:p>
            <w:pPr>
              <w:pStyle w:val="TableText"/>
            </w:pPr>
            <w:r>
              <w:t>T-05</w:t>
            </w:r>
          </w:p>
        </w:tc>
        <w:tc>
          <w:tcPr>
            <w:tcW w:type="dxa" w:w="3300"/>
          </w:tcPr>
          <w:p>
            <w:pPr>
              <w:pStyle w:val="TableText"/>
            </w:pPr>
            <w:r>
              <w:t>Finalize same draft twice with same key</w:t>
            </w:r>
          </w:p>
        </w:tc>
        <w:tc>
          <w:tcPr>
            <w:tcW w:type="dxa" w:w="3360"/>
          </w:tcPr>
          <w:p>
            <w:pPr>
              <w:pStyle w:val="TableText"/>
            </w:pPr>
            <w:r>
              <w:t>Same submission result</w:t>
            </w:r>
          </w:p>
        </w:tc>
      </w:tr>
      <w:tr>
        <w:trPr>
          <w:cantSplit/>
        </w:trPr>
        <w:tc>
          <w:tcPr>
            <w:tcW w:type="dxa" w:w="2700"/>
          </w:tcPr>
          <w:p>
            <w:pPr>
              <w:pStyle w:val="TableText"/>
            </w:pPr>
            <w:r>
              <w:t>T-06</w:t>
            </w:r>
          </w:p>
        </w:tc>
        <w:tc>
          <w:tcPr>
            <w:tcW w:type="dxa" w:w="3300"/>
          </w:tcPr>
          <w:p>
            <w:pPr>
              <w:pStyle w:val="TableText"/>
            </w:pPr>
            <w:r>
              <w:t>Unassigned reviewer publishes</w:t>
            </w:r>
          </w:p>
        </w:tc>
        <w:tc>
          <w:tcPr>
            <w:tcW w:type="dxa" w:w="3360"/>
          </w:tcPr>
          <w:p>
            <w:pPr>
              <w:pStyle w:val="TableText"/>
            </w:pPr>
            <w:r>
              <w:t>Denied</w:t>
            </w:r>
          </w:p>
        </w:tc>
      </w:tr>
      <w:tr>
        <w:trPr>
          <w:cantSplit/>
        </w:trPr>
        <w:tc>
          <w:tcPr>
            <w:tcW w:type="dxa" w:w="2700"/>
          </w:tcPr>
          <w:p>
            <w:pPr>
              <w:pStyle w:val="TableText"/>
            </w:pPr>
            <w:r>
              <w:t>T-07</w:t>
            </w:r>
          </w:p>
        </w:tc>
        <w:tc>
          <w:tcPr>
            <w:tcW w:type="dxa" w:w="3300"/>
          </w:tcPr>
          <w:p>
            <w:pPr>
              <w:pStyle w:val="TableText"/>
            </w:pPr>
            <w:r>
              <w:t>Review has missing criterion</w:t>
            </w:r>
          </w:p>
        </w:tc>
        <w:tc>
          <w:tcPr>
            <w:tcW w:type="dxa" w:w="3360"/>
          </w:tcPr>
          <w:p>
            <w:pPr>
              <w:pStyle w:val="TableText"/>
            </w:pPr>
            <w:r>
              <w:t>422; no attainments</w:t>
            </w:r>
          </w:p>
        </w:tc>
      </w:tr>
      <w:tr>
        <w:trPr>
          <w:cantSplit/>
        </w:trPr>
        <w:tc>
          <w:tcPr>
            <w:tcW w:type="dxa" w:w="2700"/>
          </w:tcPr>
          <w:p>
            <w:pPr>
              <w:pStyle w:val="TableText"/>
            </w:pPr>
            <w:r>
              <w:t>T-08</w:t>
            </w:r>
          </w:p>
        </w:tc>
        <w:tc>
          <w:tcPr>
            <w:tcW w:type="dxa" w:w="3300"/>
          </w:tcPr>
          <w:p>
            <w:pPr>
              <w:pStyle w:val="TableText"/>
            </w:pPr>
            <w:r>
              <w:t>Review transaction fails midway</w:t>
            </w:r>
          </w:p>
        </w:tc>
        <w:tc>
          <w:tcPr>
            <w:tcW w:type="dxa" w:w="3360"/>
          </w:tcPr>
          <w:p>
            <w:pPr>
              <w:pStyle w:val="TableText"/>
            </w:pPr>
            <w:r>
              <w:t>Entire publish rolled back</w:t>
            </w:r>
          </w:p>
        </w:tc>
      </w:tr>
      <w:tr>
        <w:trPr>
          <w:cantSplit/>
        </w:trPr>
        <w:tc>
          <w:tcPr>
            <w:tcW w:type="dxa" w:w="2700"/>
          </w:tcPr>
          <w:p>
            <w:pPr>
              <w:pStyle w:val="TableText"/>
            </w:pPr>
            <w:r>
              <w:t>T-09</w:t>
            </w:r>
          </w:p>
        </w:tc>
        <w:tc>
          <w:tcPr>
            <w:tcW w:type="dxa" w:w="3300"/>
          </w:tcPr>
          <w:p>
            <w:pPr>
              <w:pStyle w:val="TableText"/>
            </w:pPr>
            <w:r>
              <w:t>Worked example before/after review</w:t>
            </w:r>
          </w:p>
        </w:tc>
        <w:tc>
          <w:tcPr>
            <w:tcW w:type="dxa" w:w="3360"/>
          </w:tcPr>
          <w:p>
            <w:pPr>
              <w:pStyle w:val="TableText"/>
            </w:pPr>
            <w:r>
              <w:t>Exactly 61 then 96</w:t>
            </w:r>
          </w:p>
        </w:tc>
      </w:tr>
      <w:tr>
        <w:trPr>
          <w:cantSplit/>
        </w:trPr>
        <w:tc>
          <w:tcPr>
            <w:tcW w:type="dxa" w:w="2700"/>
          </w:tcPr>
          <w:p>
            <w:pPr>
              <w:pStyle w:val="TableText"/>
            </w:pPr>
            <w:r>
              <w:t>T-10</w:t>
            </w:r>
          </w:p>
        </w:tc>
        <w:tc>
          <w:tcPr>
            <w:tcW w:type="dxa" w:w="3300"/>
          </w:tcPr>
          <w:p>
            <w:pPr>
              <w:pStyle w:val="TableText"/>
            </w:pPr>
            <w:r>
              <w:t>Save review draft only</w:t>
            </w:r>
          </w:p>
        </w:tc>
        <w:tc>
          <w:tcPr>
            <w:tcW w:type="dxa" w:w="3360"/>
          </w:tcPr>
          <w:p>
            <w:pPr>
              <w:pStyle w:val="TableText"/>
            </w:pPr>
            <w:r>
              <w:t>Coverage remains 61</w:t>
            </w:r>
          </w:p>
        </w:tc>
      </w:tr>
      <w:tr>
        <w:trPr>
          <w:cantSplit/>
        </w:trPr>
        <w:tc>
          <w:tcPr>
            <w:tcW w:type="dxa" w:w="2700"/>
          </w:tcPr>
          <w:p>
            <w:pPr>
              <w:pStyle w:val="TableText"/>
            </w:pPr>
            <w:r>
              <w:t>T-11</w:t>
            </w:r>
          </w:p>
        </w:tc>
        <w:tc>
          <w:tcPr>
            <w:tcW w:type="dxa" w:w="3300"/>
          </w:tcPr>
          <w:p>
            <w:pPr>
              <w:pStyle w:val="TableText"/>
            </w:pPr>
            <w:r>
              <w:t>Apply twice concurrently</w:t>
            </w:r>
          </w:p>
        </w:tc>
        <w:tc>
          <w:tcPr>
            <w:tcW w:type="dxa" w:w="3360"/>
          </w:tcPr>
          <w:p>
            <w:pPr>
              <w:pStyle w:val="TableText"/>
            </w:pPr>
            <w:r>
              <w:t>Exactly one application</w:t>
            </w:r>
          </w:p>
        </w:tc>
      </w:tr>
      <w:tr>
        <w:trPr>
          <w:cantSplit/>
        </w:trPr>
        <w:tc>
          <w:tcPr>
            <w:tcW w:type="dxa" w:w="2700"/>
          </w:tcPr>
          <w:p>
            <w:pPr>
              <w:pStyle w:val="TableText"/>
            </w:pPr>
            <w:r>
              <w:t>T-12</w:t>
            </w:r>
          </w:p>
        </w:tc>
        <w:tc>
          <w:tcPr>
            <w:tcW w:type="dxa" w:w="3300"/>
          </w:tcPr>
          <w:p>
            <w:pPr>
              <w:pStyle w:val="TableText"/>
            </w:pPr>
            <w:r>
              <w:t>Student supplies another student's evidence</w:t>
            </w:r>
          </w:p>
        </w:tc>
        <w:tc>
          <w:tcPr>
            <w:tcW w:type="dxa" w:w="3360"/>
          </w:tcPr>
          <w:p>
            <w:pPr>
              <w:pStyle w:val="TableText"/>
            </w:pPr>
            <w:r>
              <w:t>EVIDENCE_NOT_OWNED</w:t>
            </w:r>
          </w:p>
        </w:tc>
      </w:tr>
      <w:tr>
        <w:trPr>
          <w:cantSplit/>
        </w:trPr>
        <w:tc>
          <w:tcPr>
            <w:tcW w:type="dxa" w:w="2700"/>
          </w:tcPr>
          <w:p>
            <w:pPr>
              <w:pStyle w:val="TableText"/>
            </w:pPr>
            <w:r>
              <w:t>T-13</w:t>
            </w:r>
          </w:p>
        </w:tc>
        <w:tc>
          <w:tcPr>
            <w:tcW w:type="dxa" w:w="3300"/>
          </w:tcPr>
          <w:p>
            <w:pPr>
              <w:pStyle w:val="TableText"/>
            </w:pPr>
            <w:r>
              <w:t>Withdraw application</w:t>
            </w:r>
          </w:p>
        </w:tc>
        <w:tc>
          <w:tcPr>
            <w:tcW w:type="dxa" w:w="3360"/>
          </w:tcPr>
          <w:p>
            <w:pPr>
              <w:pStyle w:val="TableText"/>
            </w:pPr>
            <w:r>
              <w:t>Employer evidence grant revoked</w:t>
            </w:r>
          </w:p>
        </w:tc>
      </w:tr>
      <w:tr>
        <w:trPr>
          <w:cantSplit/>
        </w:trPr>
        <w:tc>
          <w:tcPr>
            <w:tcW w:type="dxa" w:w="2700"/>
          </w:tcPr>
          <w:p>
            <w:pPr>
              <w:pStyle w:val="TableText"/>
            </w:pPr>
            <w:r>
              <w:t>T-14</w:t>
            </w:r>
          </w:p>
        </w:tc>
        <w:tc>
          <w:tcPr>
            <w:tcW w:type="dxa" w:w="3300"/>
          </w:tcPr>
          <w:p>
            <w:pPr>
              <w:pStyle w:val="TableText"/>
            </w:pPr>
            <w:r>
              <w:t>Stale application version transition</w:t>
            </w:r>
          </w:p>
        </w:tc>
        <w:tc>
          <w:tcPr>
            <w:tcW w:type="dxa" w:w="3360"/>
          </w:tcPr>
          <w:p>
            <w:pPr>
              <w:pStyle w:val="TableText"/>
            </w:pPr>
            <w:r>
              <w:t>409; original state preserved</w:t>
            </w:r>
          </w:p>
        </w:tc>
      </w:tr>
      <w:tr>
        <w:trPr>
          <w:cantSplit/>
        </w:trPr>
        <w:tc>
          <w:tcPr>
            <w:tcW w:type="dxa" w:w="2700"/>
          </w:tcPr>
          <w:p>
            <w:pPr>
              <w:pStyle w:val="TableText"/>
            </w:pPr>
            <w:r>
              <w:t>T-15</w:t>
            </w:r>
          </w:p>
        </w:tc>
        <w:tc>
          <w:tcPr>
            <w:tcW w:type="dxa" w:w="3300"/>
          </w:tcPr>
          <w:p>
            <w:pPr>
              <w:pStyle w:val="TableText"/>
            </w:pPr>
            <w:r>
              <w:t>Voided review</w:t>
            </w:r>
          </w:p>
        </w:tc>
        <w:tc>
          <w:tcPr>
            <w:tcW w:type="dxa" w:w="3360"/>
          </w:tcPr>
          <w:p>
            <w:pPr>
              <w:pStyle w:val="TableText"/>
            </w:pPr>
            <w:r>
              <w:t>Excluded from live score; history flagged</w:t>
            </w:r>
          </w:p>
        </w:tc>
      </w:tr>
      <w:tr>
        <w:trPr>
          <w:cantSplit/>
        </w:trPr>
        <w:tc>
          <w:tcPr>
            <w:tcW w:type="dxa" w:w="2700"/>
          </w:tcPr>
          <w:p>
            <w:pPr>
              <w:pStyle w:val="TableText"/>
            </w:pPr>
            <w:r>
              <w:t>T-16</w:t>
            </w:r>
          </w:p>
        </w:tc>
        <w:tc>
          <w:tcPr>
            <w:tcW w:type="dxa" w:w="3300"/>
          </w:tcPr>
          <w:p>
            <w:pPr>
              <w:pStyle w:val="TableText"/>
            </w:pPr>
            <w:r>
              <w:t>AI disabled/unavailable</w:t>
            </w:r>
          </w:p>
        </w:tc>
        <w:tc>
          <w:tcPr>
            <w:tcW w:type="dxa" w:w="3360"/>
          </w:tcPr>
          <w:p>
            <w:pPr>
              <w:pStyle w:val="TableText"/>
            </w:pPr>
            <w:r>
              <w:t>Entire P0 loop still works</w:t>
            </w:r>
          </w:p>
        </w:tc>
      </w:tr>
      <w:tr>
        <w:trPr>
          <w:cantSplit/>
        </w:trPr>
        <w:tc>
          <w:tcPr>
            <w:tcW w:type="dxa" w:w="2700"/>
          </w:tcPr>
          <w:p>
            <w:pPr>
              <w:pStyle w:val="TableText"/>
            </w:pPr>
            <w:r>
              <w:t>T-17</w:t>
            </w:r>
          </w:p>
        </w:tc>
        <w:tc>
          <w:tcPr>
            <w:tcW w:type="dxa" w:w="3300"/>
          </w:tcPr>
          <w:p>
            <w:pPr>
              <w:pStyle w:val="TableText"/>
            </w:pPr>
            <w:r>
              <w:t>Small real cohort report</w:t>
            </w:r>
          </w:p>
        </w:tc>
        <w:tc>
          <w:tcPr>
            <w:tcW w:type="dxa" w:w="3360"/>
          </w:tcPr>
          <w:p>
            <w:pPr>
              <w:pStyle w:val="TableText"/>
            </w:pPr>
            <w:r>
              <w:t>Counts suppressed</w:t>
            </w:r>
          </w:p>
        </w:tc>
      </w:tr>
      <w:tr>
        <w:trPr>
          <w:cantSplit/>
        </w:trPr>
        <w:tc>
          <w:tcPr>
            <w:tcW w:type="dxa" w:w="2700"/>
          </w:tcPr>
          <w:p>
            <w:pPr>
              <w:pStyle w:val="TableText"/>
            </w:pPr>
            <w:r>
              <w:t>T-18</w:t>
            </w:r>
          </w:p>
        </w:tc>
        <w:tc>
          <w:tcPr>
            <w:tcW w:type="dxa" w:w="3300"/>
          </w:tcPr>
          <w:p>
            <w:pPr>
              <w:pStyle w:val="TableText"/>
            </w:pPr>
            <w:r>
              <w:t>Logout then new account</w:t>
            </w:r>
          </w:p>
        </w:tc>
        <w:tc>
          <w:tcPr>
            <w:tcW w:type="dxa" w:w="3360"/>
          </w:tcPr>
          <w:p>
            <w:pPr>
              <w:pStyle w:val="TableText"/>
            </w:pPr>
            <w:r>
              <w:t>No previous private cache visible</w:t>
            </w:r>
          </w:p>
        </w:tc>
      </w:tr>
      <w:tr>
        <w:trPr>
          <w:cantSplit/>
        </w:trPr>
        <w:tc>
          <w:tcPr>
            <w:tcW w:type="dxa" w:w="2700"/>
          </w:tcPr>
          <w:p>
            <w:pPr>
              <w:pStyle w:val="TableText"/>
            </w:pPr>
            <w:r>
              <w:t>T-19</w:t>
            </w:r>
          </w:p>
        </w:tc>
        <w:tc>
          <w:tcPr>
            <w:tcW w:type="dxa" w:w="3300"/>
          </w:tcPr>
          <w:p>
            <w:pPr>
              <w:pStyle w:val="TableText"/>
            </w:pPr>
            <w:r>
              <w:t>Suspended employer publishes/reviews</w:t>
            </w:r>
          </w:p>
        </w:tc>
        <w:tc>
          <w:tcPr>
            <w:tcW w:type="dxa" w:w="3360"/>
          </w:tcPr>
          <w:p>
            <w:pPr>
              <w:pStyle w:val="TableText"/>
            </w:pPr>
            <w:r>
              <w:t>Denied</w:t>
            </w:r>
          </w:p>
        </w:tc>
      </w:tr>
      <w:tr>
        <w:trPr>
          <w:cantSplit/>
        </w:trPr>
        <w:tc>
          <w:tcPr>
            <w:tcW w:type="dxa" w:w="2700"/>
          </w:tcPr>
          <w:p>
            <w:pPr>
              <w:pStyle w:val="TableText"/>
            </w:pPr>
            <w:r>
              <w:t>T-20</w:t>
            </w:r>
          </w:p>
        </w:tc>
        <w:tc>
          <w:tcPr>
            <w:tcW w:type="dxa" w:w="3300"/>
          </w:tcPr>
          <w:p>
            <w:pPr>
              <w:pStyle w:val="TableText"/>
            </w:pPr>
            <w:r>
              <w:t>Page refresh after every major action</w:t>
            </w:r>
          </w:p>
        </w:tc>
        <w:tc>
          <w:tcPr>
            <w:tcW w:type="dxa" w:w="3360"/>
          </w:tcPr>
          <w:p>
            <w:pPr>
              <w:pStyle w:val="TableText"/>
            </w:pPr>
            <w:r>
              <w:t>Persistent correct state</w:t>
            </w:r>
          </w:p>
        </w:tc>
      </w:tr>
    </w:tbl>
    <w:p>
      <w:pPr>
        <w:pStyle w:val="TableSource"/>
      </w:pPr>
    </w:p>
    <w:p>
      <w:pPr>
        <w:pStyle w:val="Heading2"/>
      </w:pPr>
      <w:r>
        <w:t>3. Unit and property checks</w:t>
      </w:r>
    </w:p>
    <w:p>
      <w:pPr/>
      <w:r>
        <w:t>Coverage stays in 0–100 for valid inputs. Empty evidence gives zero reviewed coverage. Weights not totaling 100 are rejected before publication. Exceeding required level does not exceed a skill's weight. Adding unrelated evidence does not alter the score. Tie resolution is deterministic. Self-declared levels never affect reviewed coverage. Review voiding removes only the affected active attainment, allowing another valid attainment to take its place.</w:t>
      </w:r>
    </w:p>
    <w:p>
      <w:pPr/>
      <w:r>
        <w:t>Transition tests cover every allowed edge and representative denied edges. Review criteria must belong to the fixed rubric version. Application snapshot calculation includes only shared revisions. Date boundary tests use server UTC just before, at and after deadline; equality with deadline is closed for new submissions/applications.</w:t>
      </w:r>
    </w:p>
    <w:p>
      <w:pPr>
        <w:pStyle w:val="Heading2"/>
      </w:pPr>
      <w:r>
        <w:t>4. Authorization tests</w:t>
      </w:r>
    </w:p>
    <w:p>
      <w:pPr/>
      <w:r>
        <w:t>Create Student A and Student B at Institution A, Student C at Institution B, Recruiter A and B at different employers, an assigned reviewer and an unassigned reviewer. Use authenticated tokens and direct database access through the normal client role. Assert both positive and negative access for SELECT, INSERT, UPDATE and DELETE where applicable. A passing UI test does not establish RLS correctness.</w:t>
      </w:r>
    </w:p>
    <w:p>
      <w:pPr/>
      <w:r>
        <w:t>Test organization-membership revocation, evidence grant revocation and cross-organization foreign-key combinations. Verify views/functions do not accidentally return protected rows. Test service-role absence in browser bundles and logs. Test that query parameters cannot widen institution report scope.</w:t>
      </w:r>
    </w:p>
    <w:p>
      <w:pPr>
        <w:pStyle w:val="Heading2"/>
      </w:pPr>
      <w:r>
        <w:t>5. End-to-end demo test</w:t>
      </w:r>
    </w:p>
    <w:p>
      <w:pPr/>
      <w:r>
        <w:t>Recruiter publishes a valid role/challenge. Student opens the role and sees 61 coverage from seeded prior reviews. Student submits SQL evidence. Assigned reviewer publishes level 3. Student sees 96 after refetch and refresh. Student selects reviewed evidence and applies. Recruiter inspects the submission snapshot and shortlists. Coordinator sees the updated cohort gap. A separate test progresses through offer, acceptance and simulated internship completion.</w:t>
      </w:r>
    </w:p>
    <w:p>
      <w:pPr>
        <w:pStyle w:val="Heading2"/>
      </w:pPr>
      <w:r>
        <w:t>6. Performance checks</w:t>
      </w:r>
    </w:p>
    <w:p>
      <w:pPr/>
      <w:r>
        <w:t>Seed a representative synthetic pilot dataset: 100 students, 20 opportunities, 30 challenges and 500 attainments. This is a load fixture, not a product traction claim. Measure p95 response times at 20 concurrent sessions for opportunity list, passport, application list and a cohort report. Record environment and dataset size with results. If a query is slow, inspect its plan and ownership indexes before introducing caching or infrastructure.</w:t>
      </w:r>
    </w:p>
    <w:p>
      <w:pPr>
        <w:pStyle w:val="Heading2"/>
      </w:pPr>
      <w:r>
        <w:t>7. Accessibility and usability</w:t>
      </w:r>
    </w:p>
    <w:p>
      <w:pPr/>
      <w:r>
        <w:t>Manually complete login, challenge submission, review and application by keyboard. Check focus, labels, dialog dismissal, announced errors and zoom. Test 360 px mobile width. Ask a beginner to explain a coverage score and locate its evidence without help. Ask a reviewer to publish a complete assessment. Record task success, confusion and time rather than using an ungrounded “intuitive UI” claim.</w:t>
      </w:r>
    </w:p>
    <w:p>
      <w:pPr>
        <w:pStyle w:val="Heading2"/>
      </w:pPr>
      <w:r>
        <w:t>8. Release gate and defect severity</w:t>
      </w:r>
    </w:p>
    <w:p>
      <w:pPr/>
      <w:r>
        <w:t>Block release for any cross-tenant leak, score tampering, broken transaction, lost finalized work or inability to complete the core journey. Fix major form errors and confusing sharing behavior before a real pilot. Cosmetic issues can be documented if they do not block understanding. AI drafting, uploads, chat and advanced analytics are not allowed to displace P0 fixes.</w:t>
      </w:r>
    </w:p>
    <w:p>
      <w:pPr/>
      <w:r>
        <w:t>Completion evidence: clean migration run, relevant automated test outputs, production build, role journey recording, measured performance notes and an honest known-limitations list. Stop optional testing once the concrete gates pass; use remaining time for the presentation and contingency rehearsal.</w:t>
      </w:r>
    </w:p>
    <w:p>
      <w:r>
        <w:br w:type="page"/>
      </w:r>
    </w:p>
    <w:p>
      <w:pPr>
        <w:pStyle w:val="Heading1"/>
      </w:pPr>
      <w:r>
        <w:t>Roadmap, four-person team plan and Antigravity guide</w:t>
      </w:r>
    </w:p>
    <w:p>
      <w:pPr>
        <w:pStyle w:val="Heading2"/>
      </w:pPr>
      <w:r>
        <w:t>1. Planning assumptions</w:t>
      </w:r>
    </w:p>
    <w:p>
      <w:pPr/>
      <w:r>
        <w:t>The plan assumes four student team members, including beginners, using an AI coding assistant. It is an effort allocation proposal, not a guaranteed completion estimate. Exact event duration and available preparation time remain unknown. Confirm them before scheduling. One experienced owner must review security-sensitive generated code and integration changes.</w:t>
      </w:r>
    </w:p>
    <w:p>
      <w:pPr>
        <w:pStyle w:val="Heading2"/>
      </w:pPr>
      <w:r>
        <w:t>2. Dependency-based phases</w:t>
      </w:r>
    </w:p>
    <w:p>
      <w:pPr/>
      <w:r>
        <w:t>Phase A — foundations: scaffold application, session handling, migrations, seed data and organization isolation. Exit when student and employer accounts see separate authorized workspaces.</w:t>
      </w:r>
    </w:p>
    <w:p>
      <w:pPr/>
      <w:r>
        <w:t>Phase B — evidence loop: challenge display, draft/final submission, reviewer assignment, rubric draft and atomic publication. Exit when reviewed evidence persists and cannot be written by a student.</w:t>
      </w:r>
    </w:p>
    <w:p>
      <w:pPr/>
      <w:r>
        <w:t>Phase C — opportunity loop: role requirements, deterministic coverage, application snapshots and stage transitions. Exit when the 61-to-96 demo and employer shortlist work using real data.</w:t>
      </w:r>
    </w:p>
    <w:p>
      <w:pPr/>
      <w:r>
        <w:t>Phase D — college view and polish: aggregate gap table, sample labels, privacy controls, error states and responsive QA. Exit when the coordinator can explain the report's denominator.</w:t>
      </w:r>
    </w:p>
    <w:p>
      <w:pPr/>
      <w:r>
        <w:t>Phase E — release and story: permissions tests, build, deployed demo check, synthetic reset and recorded backup. Freeze dependencies and feature scope. Only after these phases should AI drafts or uploads begin.</w:t>
      </w:r>
    </w:p>
    <w:p>
      <w:pPr>
        <w:pStyle w:val="Heading2"/>
      </w:pPr>
      <w:r>
        <w:t>3. Suggested 48-hour work window</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2700"/>
        <w:gridCol w:w="3300"/>
        <w:gridCol w:w="3360"/>
      </w:tblGrid>
      <w:tr>
        <w:trPr>
          <w:cantSplit/>
          <w:tblHeader/>
        </w:trPr>
        <w:tc>
          <w:tcPr>
            <w:tcW w:type="dxa" w:w="2700"/>
            <w:shd w:fill="E8EEF5"/>
          </w:tcPr>
          <w:p>
            <w:pPr>
              <w:pStyle w:val="TableText"/>
            </w:pPr>
            <w:r>
              <w:rPr>
                <w:b/>
              </w:rPr>
              <w:t>Window</w:t>
            </w:r>
          </w:p>
        </w:tc>
        <w:tc>
          <w:tcPr>
            <w:tcW w:type="dxa" w:w="3300"/>
            <w:shd w:fill="E8EEF5"/>
          </w:tcPr>
          <w:p>
            <w:pPr>
              <w:pStyle w:val="TableText"/>
            </w:pPr>
            <w:r>
              <w:rPr>
                <w:b/>
              </w:rPr>
              <w:t>Goal</w:t>
            </w:r>
          </w:p>
        </w:tc>
        <w:tc>
          <w:tcPr>
            <w:tcW w:type="dxa" w:w="3360"/>
            <w:shd w:fill="E8EEF5"/>
          </w:tcPr>
          <w:p>
            <w:pPr>
              <w:pStyle w:val="TableText"/>
            </w:pPr>
            <w:r>
              <w:rPr>
                <w:b/>
              </w:rPr>
              <w:t>Exit evidence</w:t>
            </w:r>
          </w:p>
        </w:tc>
      </w:tr>
      <w:tr>
        <w:trPr>
          <w:cantSplit/>
        </w:trPr>
        <w:tc>
          <w:tcPr>
            <w:tcW w:type="dxa" w:w="2700"/>
          </w:tcPr>
          <w:p>
            <w:pPr>
              <w:pStyle w:val="TableText"/>
            </w:pPr>
            <w:r>
              <w:t>Hours 0–4</w:t>
            </w:r>
          </w:p>
        </w:tc>
        <w:tc>
          <w:tcPr>
            <w:tcW w:type="dxa" w:w="3300"/>
          </w:tcPr>
          <w:p>
            <w:pPr>
              <w:pStyle w:val="TableText"/>
            </w:pPr>
            <w:r>
              <w:t>Scope and foundations</w:t>
            </w:r>
          </w:p>
        </w:tc>
        <w:tc>
          <w:tcPr>
            <w:tcW w:type="dxa" w:w="3360"/>
          </w:tcPr>
          <w:p>
            <w:pPr>
              <w:pStyle w:val="TableText"/>
            </w:pPr>
            <w:r>
              <w:t>Shared schema and seeded identities</w:t>
            </w:r>
          </w:p>
        </w:tc>
      </w:tr>
      <w:tr>
        <w:trPr>
          <w:cantSplit/>
        </w:trPr>
        <w:tc>
          <w:tcPr>
            <w:tcW w:type="dxa" w:w="2700"/>
          </w:tcPr>
          <w:p>
            <w:pPr>
              <w:pStyle w:val="TableText"/>
            </w:pPr>
            <w:r>
              <w:t>Hours 4–14</w:t>
            </w:r>
          </w:p>
        </w:tc>
        <w:tc>
          <w:tcPr>
            <w:tcW w:type="dxa" w:w="3300"/>
          </w:tcPr>
          <w:p>
            <w:pPr>
              <w:pStyle w:val="TableText"/>
            </w:pPr>
            <w:r>
              <w:t>Challenge and review loop</w:t>
            </w:r>
          </w:p>
        </w:tc>
        <w:tc>
          <w:tcPr>
            <w:tcW w:type="dxa" w:w="3360"/>
          </w:tcPr>
          <w:p>
            <w:pPr>
              <w:pStyle w:val="TableText"/>
            </w:pPr>
            <w:r>
              <w:t>Published review in database</w:t>
            </w:r>
          </w:p>
        </w:tc>
      </w:tr>
      <w:tr>
        <w:trPr>
          <w:cantSplit/>
        </w:trPr>
        <w:tc>
          <w:tcPr>
            <w:tcW w:type="dxa" w:w="2700"/>
          </w:tcPr>
          <w:p>
            <w:pPr>
              <w:pStyle w:val="TableText"/>
            </w:pPr>
            <w:r>
              <w:t>Hours 14–24</w:t>
            </w:r>
          </w:p>
        </w:tc>
        <w:tc>
          <w:tcPr>
            <w:tcW w:type="dxa" w:w="3300"/>
          </w:tcPr>
          <w:p>
            <w:pPr>
              <w:pStyle w:val="TableText"/>
            </w:pPr>
            <w:r>
              <w:t>Matching and applications</w:t>
            </w:r>
          </w:p>
        </w:tc>
        <w:tc>
          <w:tcPr>
            <w:tcW w:type="dxa" w:w="3360"/>
          </w:tcPr>
          <w:p>
            <w:pPr>
              <w:pStyle w:val="TableText"/>
            </w:pPr>
            <w:r>
              <w:t>Complete student-to-recruiter flow</w:t>
            </w:r>
          </w:p>
        </w:tc>
      </w:tr>
      <w:tr>
        <w:trPr>
          <w:cantSplit/>
        </w:trPr>
        <w:tc>
          <w:tcPr>
            <w:tcW w:type="dxa" w:w="2700"/>
          </w:tcPr>
          <w:p>
            <w:pPr>
              <w:pStyle w:val="TableText"/>
            </w:pPr>
            <w:r>
              <w:t>Hours 24–32</w:t>
            </w:r>
          </w:p>
        </w:tc>
        <w:tc>
          <w:tcPr>
            <w:tcW w:type="dxa" w:w="3300"/>
          </w:tcPr>
          <w:p>
            <w:pPr>
              <w:pStyle w:val="TableText"/>
            </w:pPr>
            <w:r>
              <w:t>College report and permissions</w:t>
            </w:r>
          </w:p>
        </w:tc>
        <w:tc>
          <w:tcPr>
            <w:tcW w:type="dxa" w:w="3360"/>
          </w:tcPr>
          <w:p>
            <w:pPr>
              <w:pStyle w:val="TableText"/>
            </w:pPr>
            <w:r>
              <w:t>Isolation checks and gap view</w:t>
            </w:r>
          </w:p>
        </w:tc>
      </w:tr>
      <w:tr>
        <w:trPr>
          <w:cantSplit/>
        </w:trPr>
        <w:tc>
          <w:tcPr>
            <w:tcW w:type="dxa" w:w="2700"/>
          </w:tcPr>
          <w:p>
            <w:pPr>
              <w:pStyle w:val="TableText"/>
            </w:pPr>
            <w:r>
              <w:t>Hours 32–40</w:t>
            </w:r>
          </w:p>
        </w:tc>
        <w:tc>
          <w:tcPr>
            <w:tcW w:type="dxa" w:w="3300"/>
          </w:tcPr>
          <w:p>
            <w:pPr>
              <w:pStyle w:val="TableText"/>
            </w:pPr>
            <w:r>
              <w:t>Integration and visual fixes</w:t>
            </w:r>
          </w:p>
        </w:tc>
        <w:tc>
          <w:tcPr>
            <w:tcW w:type="dxa" w:w="3360"/>
          </w:tcPr>
          <w:p>
            <w:pPr>
              <w:pStyle w:val="TableText"/>
            </w:pPr>
            <w:r>
              <w:t>Reliable full rehearsal</w:t>
            </w:r>
          </w:p>
        </w:tc>
      </w:tr>
      <w:tr>
        <w:trPr>
          <w:cantSplit/>
        </w:trPr>
        <w:tc>
          <w:tcPr>
            <w:tcW w:type="dxa" w:w="2700"/>
          </w:tcPr>
          <w:p>
            <w:pPr>
              <w:pStyle w:val="TableText"/>
            </w:pPr>
            <w:r>
              <w:t>Hours 40–48</w:t>
            </w:r>
          </w:p>
        </w:tc>
        <w:tc>
          <w:tcPr>
            <w:tcW w:type="dxa" w:w="3300"/>
          </w:tcPr>
          <w:p>
            <w:pPr>
              <w:pStyle w:val="TableText"/>
            </w:pPr>
            <w:r>
              <w:t>Freeze, pitch and contingency</w:t>
            </w:r>
          </w:p>
        </w:tc>
        <w:tc>
          <w:tcPr>
            <w:tcW w:type="dxa" w:w="3360"/>
          </w:tcPr>
          <w:p>
            <w:pPr>
              <w:pStyle w:val="TableText"/>
            </w:pPr>
            <w:r>
              <w:t>Recording and known limitations</w:t>
            </w:r>
          </w:p>
        </w:tc>
      </w:tr>
    </w:tbl>
    <w:p>
      <w:pPr>
        <w:pStyle w:val="TableSource"/>
      </w:pPr>
    </w:p>
    <w:p>
      <w:pPr/>
      <w:r>
        <w:t>These windows include overlap between people; they are not 48 uninterrupted coding hours for each member. Reserve rest and handoff time. If only 24 hours are available, seed publications and reviewer assignments, keep a text-only submission, and demonstrate one role/challenge path. Do not remove authorization or human review to save time.</w:t>
      </w:r>
    </w:p>
    <w:p>
      <w:pPr>
        <w:pStyle w:val="Heading2"/>
      </w:pPr>
      <w:r>
        <w:t>4. Four-person responsibilities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2700"/>
        <w:gridCol w:w="3300"/>
        <w:gridCol w:w="3360"/>
      </w:tblGrid>
      <w:tr>
        <w:trPr>
          <w:cantSplit/>
          <w:tblHeader/>
        </w:trPr>
        <w:tc>
          <w:tcPr>
            <w:tcW w:type="dxa" w:w="2700"/>
            <w:shd w:fill="E8EEF5"/>
          </w:tcPr>
          <w:p>
            <w:pPr>
              <w:pStyle w:val="TableText"/>
            </w:pPr>
            <w:r>
              <w:rPr>
                <w:b/>
              </w:rPr>
              <w:t>Member</w:t>
            </w:r>
          </w:p>
        </w:tc>
        <w:tc>
          <w:tcPr>
            <w:tcW w:type="dxa" w:w="3300"/>
            <w:shd w:fill="E8EEF5"/>
          </w:tcPr>
          <w:p>
            <w:pPr>
              <w:pStyle w:val="TableText"/>
            </w:pPr>
            <w:r>
              <w:rPr>
                <w:b/>
              </w:rPr>
              <w:t>Primary ownership</w:t>
            </w:r>
          </w:p>
        </w:tc>
        <w:tc>
          <w:tcPr>
            <w:tcW w:type="dxa" w:w="3360"/>
            <w:shd w:fill="E8EEF5"/>
          </w:tcPr>
          <w:p>
            <w:pPr>
              <w:pStyle w:val="TableText"/>
            </w:pPr>
            <w:r>
              <w:rPr>
                <w:b/>
              </w:rPr>
              <w:t>Suitable bounded tasks</w:t>
            </w:r>
          </w:p>
        </w:tc>
      </w:tr>
      <w:tr>
        <w:trPr>
          <w:cantSplit/>
        </w:trPr>
        <w:tc>
          <w:tcPr>
            <w:tcW w:type="dxa" w:w="2700"/>
          </w:tcPr>
          <w:p>
            <w:pPr>
              <w:pStyle w:val="TableText"/>
            </w:pPr>
            <w:r>
              <w:t>Akshar / integration lead</w:t>
            </w:r>
          </w:p>
        </w:tc>
        <w:tc>
          <w:tcPr>
            <w:tcW w:type="dxa" w:w="3300"/>
          </w:tcPr>
          <w:p>
            <w:pPr>
              <w:pStyle w:val="TableText"/>
            </w:pPr>
            <w:r>
              <w:t>Schema, backend, matching, merge review</w:t>
            </w:r>
          </w:p>
        </w:tc>
        <w:tc>
          <w:tcPr>
            <w:tcW w:type="dxa" w:w="3360"/>
          </w:tcPr>
          <w:p>
            <w:pPr>
              <w:pStyle w:val="TableText"/>
            </w:pPr>
            <w:r>
              <w:t>Atomic transitions, permissions, deployments</w:t>
            </w:r>
          </w:p>
        </w:tc>
      </w:tr>
      <w:tr>
        <w:trPr>
          <w:cantSplit/>
        </w:trPr>
        <w:tc>
          <w:tcPr>
            <w:tcW w:type="dxa" w:w="2700"/>
          </w:tcPr>
          <w:p>
            <w:pPr>
              <w:pStyle w:val="TableText"/>
            </w:pPr>
            <w:r>
              <w:t>Member 2</w:t>
            </w:r>
          </w:p>
        </w:tc>
        <w:tc>
          <w:tcPr>
            <w:tcW w:type="dxa" w:w="3300"/>
          </w:tcPr>
          <w:p>
            <w:pPr>
              <w:pStyle w:val="TableText"/>
            </w:pPr>
            <w:r>
              <w:t>Student frontend</w:t>
            </w:r>
          </w:p>
        </w:tc>
        <w:tc>
          <w:tcPr>
            <w:tcW w:type="dxa" w:w="3360"/>
          </w:tcPr>
          <w:p>
            <w:pPr>
              <w:pStyle w:val="TableText"/>
            </w:pPr>
            <w:r>
              <w:t>Passport, challenge form, applications</w:t>
            </w:r>
          </w:p>
        </w:tc>
      </w:tr>
      <w:tr>
        <w:trPr>
          <w:cantSplit/>
        </w:trPr>
        <w:tc>
          <w:tcPr>
            <w:tcW w:type="dxa" w:w="2700"/>
          </w:tcPr>
          <w:p>
            <w:pPr>
              <w:pStyle w:val="TableText"/>
            </w:pPr>
            <w:r>
              <w:t>Member 3</w:t>
            </w:r>
          </w:p>
        </w:tc>
        <w:tc>
          <w:tcPr>
            <w:tcW w:type="dxa" w:w="3300"/>
          </w:tcPr>
          <w:p>
            <w:pPr>
              <w:pStyle w:val="TableText"/>
            </w:pPr>
            <w:r>
              <w:t>Employer/reviewer frontend</w:t>
            </w:r>
          </w:p>
        </w:tc>
        <w:tc>
          <w:tcPr>
            <w:tcW w:type="dxa" w:w="3360"/>
          </w:tcPr>
          <w:p>
            <w:pPr>
              <w:pStyle w:val="TableText"/>
            </w:pPr>
            <w:r>
              <w:t>Review rubric, applicant view, empty states</w:t>
            </w:r>
          </w:p>
        </w:tc>
      </w:tr>
      <w:tr>
        <w:trPr>
          <w:cantSplit/>
        </w:trPr>
        <w:tc>
          <w:tcPr>
            <w:tcW w:type="dxa" w:w="2700"/>
          </w:tcPr>
          <w:p>
            <w:pPr>
              <w:pStyle w:val="TableText"/>
            </w:pPr>
            <w:r>
              <w:t>Member 4</w:t>
            </w:r>
          </w:p>
        </w:tc>
        <w:tc>
          <w:tcPr>
            <w:tcW w:type="dxa" w:w="3300"/>
          </w:tcPr>
          <w:p>
            <w:pPr>
              <w:pStyle w:val="TableText"/>
            </w:pPr>
            <w:r>
              <w:t>College view, fixtures, QA, pitch</w:t>
            </w:r>
          </w:p>
        </w:tc>
        <w:tc>
          <w:tcPr>
            <w:tcW w:type="dxa" w:w="3360"/>
          </w:tcPr>
          <w:p>
            <w:pPr>
              <w:pStyle w:val="TableText"/>
            </w:pPr>
            <w:r>
              <w:t>Gap table, test journeys, demo script</w:t>
            </w:r>
          </w:p>
        </w:tc>
      </w:tr>
    </w:tbl>
    <w:p>
      <w:pPr>
        <w:pStyle w:val="TableSource"/>
      </w:pPr>
    </w:p>
    <w:p>
      <w:pPr/>
      <w:r>
        <w:t>Names other than Akshar are placeholders. Adapt assignments to actual ability. Beginners can own a screen and its acceptance checks rather than infrastructure. Each member should explain what their screen reads, writes and shows when an API fails. Keep one person responsible for shared schema/API changes to prevent conflicting generated implementations.</w:t>
      </w:r>
    </w:p>
    <w:p>
      <w:pPr>
        <w:pStyle w:val="Heading2"/>
      </w:pPr>
      <w:r>
        <w:t>5. Repository layout</w:t>
      </w:r>
    </w:p>
    <w:p>
      <w:pPr/>
      <w:r>
        <w:t>At the repository root, keep docs/, src/, supabase/, tests/ and public/. Under src/app, group public/auth/student/employer/reviewer/institution routes and api/v1. Under src/modules, keep identity, opportunities, challenges, evidence, reviews, matching, applications and insights. Shared UI belongs in src/components; validated contracts in src/contracts; server-only database/session helpers in src/lib/server. Supabase migrations, seeds and authorization tests belong under supabase/. Do not store real secrets or private evidence in public/.</w:t>
      </w:r>
    </w:p>
    <w:p>
      <w:pPr>
        <w:pStyle w:val="Heading2"/>
      </w:pPr>
      <w:r>
        <w:t>6. How to use the pack with Antigravity</w:t>
      </w:r>
    </w:p>
    <w:p>
      <w:pPr/>
      <w:r>
        <w:t>Start with 00_START_HERE, the PRD, architecture, database and API documents. Ask the agent to read them and summarize the P0 dependencies before changing files. Work one vertical slice at a time, keeping the relevant screen/backend contracts in context. After each slice, inspect the actual UI and database behavior. Do not equate a generated screenshot with a working application.</w:t>
      </w:r>
    </w:p>
    <w:p>
      <w:pPr>
        <w:pStyle w:val="Heading3"/>
      </w:pPr>
      <w:r>
        <w:t>Prompt 1 — scaffold</w:t>
      </w:r>
    </w:p>
    <w:p>
      <w:pPr/>
      <w:r>
        <w:t>“Read docs/00_START_HERE.md, 03_PRD.md, 04_ARCHITECTURE.md and 05_TECH_STACK.md. Implement only the P0 scaffold, authentication shell and environment example. Pin compatible dependencies and create role workspaces using verified memberships. Do not add optional AI, uploads or fake business successes. Report changed files, verification and remaining gaps.”</w:t>
      </w:r>
    </w:p>
    <w:p>
      <w:pPr>
        <w:pStyle w:val="Heading3"/>
      </w:pPr>
      <w:r>
        <w:t>Prompt 2 — schema and authorization</w:t>
      </w:r>
    </w:p>
    <w:p>
      <w:pPr/>
      <w:r>
        <w:t>“Read 08_DATABASE_DOC.md and 12_SECURITY_PRIVACY.md. Implement migrations, explicit grants, RLS and scoped transaction functions. Seed two institutions and two employers with synthetic accounts. Add meaningful allow/deny tests. Students must not insert reviewed attainments, and Employer B must not read Employer A applications. Do not use a service-role client for ordinary user requests.”</w:t>
      </w:r>
    </w:p>
    <w:p>
      <w:pPr>
        <w:pStyle w:val="Heading3"/>
      </w:pPr>
      <w:r>
        <w:t>Prompt 3 — evidence loop</w:t>
      </w:r>
    </w:p>
    <w:p>
      <w:pPr/>
      <w:r>
        <w:t>“Implement submission drafts, finalization, assigned review drafts and atomic review publication according to the PRD and API contracts. Keep published revisions immutable. Student coverage must not change when a review is only saved as a draft. Wire real UI forms with pending, validation, conflict and error states.”</w:t>
      </w:r>
    </w:p>
    <w:p>
      <w:pPr>
        <w:pStyle w:val="Heading3"/>
      </w:pPr>
      <w:r>
        <w:t>Prompt 4 — matching and applications</w:t>
      </w:r>
    </w:p>
    <w:p>
      <w:pPr/>
      <w:r>
        <w:t>“Implement coverage-v1 from 11_SKILL_MAPPING_AND_AI.md and verify the exact 61-to-96 example. Keep eligibility separate. Apply using selected evidence only, create an immutable snapshot and scoped grants, and enforce the application state machine. Withdrawal must revoke grants. Do not use client-provided scores.”</w:t>
      </w:r>
    </w:p>
    <w:p>
      <w:pPr>
        <w:pStyle w:val="Heading3"/>
      </w:pPr>
      <w:r>
        <w:t>Prompt 5 — college and release</w:t>
      </w:r>
    </w:p>
    <w:p>
      <w:pPr/>
      <w:r>
        <w:t>“Implement the scoped cohort-gap table with denominator, opportunity sample and small-group suppression. Follow 10_DESIGN_DOC.md for responsive/accessibility behavior. Run the P0 acceptance checks from 13_TESTING_AND_ACCEPTANCE.md, fix concrete failures and document limitations. Do not implement P1 features until the full journey is reliable.”</w:t>
      </w:r>
    </w:p>
    <w:p>
      <w:pPr>
        <w:pStyle w:val="Heading2"/>
      </w:pPr>
      <w:r>
        <w:t>7. Agent working rules for the project</w:t>
      </w:r>
    </w:p>
    <w:p>
      <w:pPr/>
      <w:r>
        <w:t>Read relevant docs before editing. Inspect existing code before creating duplicate components. Keep changes small and reviewable. Never delete data or disable policies to make a test pass. Never place privileged keys in the browser. If a specification is inconsistent, explain the issue and propose the smallest correction. Record schema/API changes together. Use synthetic fixtures and do not contact employers, publish public data or claim partnerships without explicit team authorization.</w:t>
      </w:r>
    </w:p>
    <w:p>
      <w:pPr>
        <w:pStyle w:val="Heading2"/>
      </w:pPr>
      <w:r>
        <w:t>8. Integration and source-control habits</w:t>
      </w:r>
    </w:p>
    <w:p>
      <w:pPr/>
      <w:r>
        <w:t>Use short-lived branches or isolated worktrees when working concurrently. Assign file ownership for schema and shared contracts. Merge and run the complete core flow regularly rather than saving integration for the final hour. Before the demo freeze, record the known-good commit and database seed version. Keep a rollback plan that does not depend on internet access to recover a video or screenshots.</w:t>
      </w:r>
    </w:p>
    <w:p>
      <w:pPr>
        <w:pStyle w:val="Heading2"/>
      </w:pPr>
      <w:r>
        <w:t>9. Pilot roadmap</w:t>
      </w:r>
    </w:p>
    <w:p>
      <w:pPr/>
      <w:r>
        <w:t>P1 adds private safe uploads, AI drafting, intervention tracking, sharing/export controls and review calibration after the core passes. P2 explores cross-college collaboration, team skill composition, integrations and richer evidence portability. Graduation to a real pilot requires policy decisions, consent, named reviewers and a support owner. Expansion is conditional on demonstrated utility and review capacity.</w:t>
      </w:r>
    </w:p>
    <w:p>
      <w:r>
        <w:br w:type="page"/>
      </w:r>
    </w:p>
    <w:p>
      <w:pPr>
        <w:pStyle w:val="Heading1"/>
      </w:pPr>
      <w:r>
        <w:t>Demo, pitch and judging preparation</w:t>
      </w:r>
    </w:p>
    <w:p>
      <w:pPr>
        <w:pStyle w:val="Heading2"/>
      </w:pPr>
      <w:r>
        <w:t>1. Five-minute demo story</w:t>
      </w:r>
    </w:p>
    <w:p>
      <w:pPr/>
      <w:r>
        <w:t>0:00–0:35 — State the problem: skills, evidence and hiring decisions are disconnected. Introduce the fictional student Meera and a sample analyst internship. Say that all displayed records are synthetic.</w:t>
      </w:r>
    </w:p>
    <w:p>
      <w:pPr/>
      <w:r>
        <w:t>0:35–1:15 — Open the role. Show 61% reviewed coverage, explain the missing SQL evidence and point out that coverage is not a job probability. Open the associated challenge and visible rubric.</w:t>
      </w:r>
    </w:p>
    <w:p>
      <w:pPr/>
      <w:r>
        <w:t>1:15–2:00 — Show the student's draft work and contribution statement. Finalize the submission. Use prepared synthetic work so the presentation does not spend two minutes typing. Explain that preparing the artifact in advance does not bypass final submission or review.</w:t>
      </w:r>
    </w:p>
    <w:p>
      <w:pPr/>
      <w:r>
        <w:t>2:00–2:50 — Sign in as the assigned reviewer in a separate browser profile. Inspect the work, choose SQL level 3 and publish a rationale. Return to the student view and show 96% with the changed contribution.</w:t>
      </w:r>
    </w:p>
    <w:p>
      <w:pPr/>
      <w:r>
        <w:t>2:50–3:40 — Apply with selected evidence. Open the recruiter view, inspect the frozen evidence snapshot and shortlist the student. Explain that the human makes the hiring decision.</w:t>
      </w:r>
    </w:p>
    <w:p>
      <w:pPr/>
      <w:r>
        <w:t>3:40–4:25 — Open the college report. Show the sample size and SQL gap count before/after. Explain how a coordinator could use the report to plan a workshop; intervention creation is P1 if not implemented.</w:t>
      </w:r>
    </w:p>
    <w:p>
      <w:pPr/>
      <w:r>
        <w:t>4:25–5:00 — Close with what works, what is simulated and the pilot you want to run. Do not rush through an unimplemented feature list. If time permits, show a seeded later-stage outcome labeled simulated rather than pretending the live shortlist produced an internship instantly.</w:t>
      </w:r>
    </w:p>
    <w:p>
      <w:pPr>
        <w:pStyle w:val="Heading2"/>
      </w:pPr>
      <w:r>
        <w:t>2. Synthetic fixture specification</w:t>
      </w:r>
    </w:p>
    <w:p>
      <w:pPr/>
      <w:r>
        <w:t>Institution A: Demo College of Computing; Institution B: Sample Institute of Technology. Employer A: Sample Analytics Studio; Employer B: Example Web Lab. These are fictional display names with no partnership implication. Avoid real logos or addresses.</w:t>
      </w:r>
    </w:p>
    <w:p>
      <w:pPr/>
      <w:r>
        <w:t>Student Meera has reviewed spreadsheet level 3, communication level 3 and analytical reasoning level 3. The sample internship requires SQL level 3 weight 35, spreadsheets level 3 weight 25, communication level 4 weight 16 and reasoning level 3 weight 24. Seed these reviews through the same controlled domain process or a clearly isolated trusted fixture script; never make a production privilege shortcut.</w:t>
      </w:r>
    </w:p>
    <w:p>
      <w:pPr/>
      <w:r>
        <w:t>Create at least six synthetic students in Institution A so the demo can show meaningful counts, while still labeling data as synthetic. Include one new student with no evidence, one changes-requested submission and one closed opportunity. Employer B exists to demonstrate isolation. A separate assignment belongs to an unassigned reviewer for a denial test.</w:t>
      </w:r>
    </w:p>
    <w:p>
      <w:pPr>
        <w:pStyle w:val="Heading2"/>
      </w:pPr>
      <w:r>
        <w:t>3. Demo challenge</w:t>
      </w:r>
    </w:p>
    <w:p>
      <w:pPr/>
      <w:r>
        <w:t>Title: “Explain monthly sales from a messy dataset.” Estimated effort: two hours outside the presentation. Provide a small synthetic orders/customers dataset with nulls and duplicate-like rows. Deliverables: three SQL queries, a short result explanation and a validation note. Published rubric assesses joins, aggregation, null handling and validation under one SQL skill criterion with anchored levels. AI use is allowed with disclosure, and the reviewer may ask for an explanation of a query decision.</w:t>
      </w:r>
    </w:p>
    <w:p>
      <w:pPr/>
      <w:r>
        <w:t>This is a proposed fixture, not an attached completed dataset or student solution. The build team should create the dataset and expected results during implementation and verify them before demonstrating the rubric. Do not use confidential employer data.</w:t>
      </w:r>
    </w:p>
    <w:p>
      <w:pPr>
        <w:pStyle w:val="Heading2"/>
      </w:pPr>
      <w:r>
        <w:t>4. Suggested slide structure</w:t>
      </w:r>
    </w:p>
    <w:p>
      <w:pPr/>
      <w:r>
        <w:t>Slide 1: name, problem statement and one sentence of value. Slide 2: the disconnected current workflow, framed as a hypothesis supported by initial interviews if conducted. Slide 3: the connected evidence workflow. Slide 4: the student's before/after evidence example. Slide 5: live demo or concise screenshots. Slide 6: architecture and human/AI boundary. Slide 7: pilot plan and measurable outcomes. Slide 8: limitations, next steps and team contribution.</w:t>
      </w:r>
    </w:p>
    <w:p>
      <w:pPr/>
      <w:r>
        <w:t>This document is a slide outline, not a generated presentation file. Follow the actual event's template and time limit once confirmed.</w:t>
      </w:r>
    </w:p>
    <w:p>
      <w:pPr>
        <w:pStyle w:val="Heading2"/>
      </w:pPr>
      <w:r>
        <w:t>5. Likely judge questions</w:t>
      </w:r>
    </w:p>
    <w:p>
      <w:pPr/>
      <w:r>
        <w:t>“How is this different from an internship portal?” — The proposed distinction is the connected workflow: explicit requirements, reviewed task evidence, explainable gaps and college feedback. Existing products overlap with individual features; we are testing whether this integration improves decisions for our pilot users.</w:t>
      </w:r>
    </w:p>
    <w:p>
      <w:pPr/>
      <w:r>
        <w:t>“Why use AI?” — The core works without AI. Optional AI helps employers draft a task or rubric, but humans approve requirements and assess work. We chose that boundary to keep the system understandable and reliable.</w:t>
      </w:r>
    </w:p>
    <w:p>
      <w:pPr/>
      <w:r>
        <w:t>“Can students submit AI-generated work?” — Challenge rules state what assistance is permitted. Contribution statements and reviewer follow-up assess understanding. We do not claim reliable AI-content detection.</w:t>
      </w:r>
    </w:p>
    <w:p>
      <w:pPr/>
      <w:r>
        <w:t>“Who validates skills?” — A named assigned reviewer assesses specific evidence against a rubric. It is a contextual review, not a universal certification. Calibration and correction handling are pilot requirements.</w:t>
      </w:r>
    </w:p>
    <w:p>
      <w:pPr/>
      <w:r>
        <w:t>“How does the score work?” — Show the weights and ratio formula. Missing SQL accounts for 35 points in our synthetic example. The score is role-specific reviewed coverage, not a prediction of placement.</w:t>
      </w:r>
    </w:p>
    <w:p>
      <w:pPr/>
      <w:r>
        <w:t>“What is actually built?” — List only features working in the current commit. Explicitly distinguish synthetic data, prepared artifacts, optional modules and future roadmap items.</w:t>
      </w:r>
    </w:p>
    <w:p>
      <w:pPr/>
      <w:r>
        <w:t>“How will you get employers?” — Start with a department's existing relationships and a few bounded challenge templates, then measure review effort and repeat participation. No partnership is claimed until confirmed.</w:t>
      </w:r>
    </w:p>
    <w:p>
      <w:pPr/>
      <w:r>
        <w:t>“Why will colleges use this?” — The hypothesis is clearer gap visibility and reduced coordination work. Test with a small pilot and compare against the existing spreadsheet process rather than assuming adoption.</w:t>
      </w:r>
    </w:p>
    <w:p>
      <w:pPr>
        <w:pStyle w:val="Heading2"/>
      </w:pPr>
      <w:r>
        <w:t>6. Contingency checklist</w:t>
      </w:r>
    </w:p>
    <w:p>
      <w:pPr/>
      <w:r>
        <w:t>Have a short local recording of the actual working flow, local screenshots, demo account credentials stored safely and a documented reset script restricted to the synthetic environment. Open role sessions in separate browser profiles. Disable optional AI dependencies during the primary demonstration. If the network fails, say that you are showing a recorded run. Do not present a recording as a live transaction.</w:t>
      </w:r>
    </w:p>
    <w:p>
      <w:pPr>
        <w:pStyle w:val="Heading2"/>
      </w:pPr>
      <w:r>
        <w:t>7. Claims checklist</w:t>
      </w:r>
    </w:p>
    <w:p>
      <w:pPr/>
      <w:r>
        <w:t>Never claim real placements from simulated outcomes, real partners from fictional companies, unbiased hiring from a hidden-name view or verified authorship from a hash. No invented market-size, accuracy or success-rate number belongs on the slides. The most defensible claim is the observable one: the prototype links a published requirement, submitted work, human review and an explainable application decision.</w:t>
      </w:r>
    </w:p>
    <w:p>
      <w:r>
        <w:br w:type="page"/>
      </w:r>
    </w:p>
    <w:p>
      <w:pPr>
        <w:pStyle w:val="Heading1"/>
      </w:pPr>
      <w:r>
        <w:t>Validation, adoption, business and impact</w:t>
      </w:r>
    </w:p>
    <w:p>
      <w:pPr>
        <w:pStyle w:val="Heading2"/>
      </w:pPr>
      <w:r>
        <w:t>1. Research questions</w:t>
      </w:r>
    </w:p>
    <w:p>
      <w:pPr/>
      <w:r>
        <w:t>Does reviewed evidence change what recruiters can understand about a candidate? Is the review effort acceptable? Does a specific challenge help a beginner take action? Can a college coordinator use the gap report to choose an intervention? Will stakeholders use a shared system instead of creating additional spreadsheets? These questions should guide product iteration.</w:t>
      </w:r>
    </w:p>
    <w:p>
      <w:pPr>
        <w:pStyle w:val="Heading2"/>
      </w:pPr>
      <w:r>
        <w:t>2. Interview guide</w:t>
      </w:r>
    </w:p>
    <w:p>
      <w:pPr/>
      <w:r>
        <w:t>Ask students to describe their last internship application, what evidence they included, what confused them and what feedback they received. Ask them to show the workflow if comfortable. Do not lead with “would you use our AI portal?” Ask whether a short task feels helpful or like unpaid work, and what time commitment is reasonable.</w:t>
      </w:r>
    </w:p>
    <w:p>
      <w:pPr/>
      <w:r>
        <w:t>Ask employers how they currently shortlist, what evidence they trust, how long screening takes and who could review a challenge. Show one normal profile and one evidence-based profile and ask them to explain their decision. Ask what information they would never upload and how they handle candidate complaints.</w:t>
      </w:r>
    </w:p>
    <w:p>
      <w:pPr/>
      <w:r>
        <w:t>Ask faculty/placement staff which reports they maintain, where data becomes stale and what actual training decision they made recently. Show the gap table and ask what they would do next. If they cannot name an action, simplify or reconsider the report.</w:t>
      </w:r>
    </w:p>
    <w:p>
      <w:pPr/>
      <w:r>
        <w:t>Target five students, three employers and two faculty/coordinators for initial discovery. This is a proposed qualitative sample, not statistically representative research. Record consent and anonymize notes. Do not claim these interviews have occurred.</w:t>
      </w:r>
    </w:p>
    <w:p>
      <w:pPr>
        <w:pStyle w:val="Heading2"/>
      </w:pPr>
      <w:r>
        <w:t>3. Pilot design</w:t>
      </w:r>
    </w:p>
    <w:p>
      <w:pPr/>
      <w:r>
        <w:t>Propose a four-week pilot with one department, roughly 20 consenting students, two participating employers and three scoped challenges. These numbers are planning assumptions. Week 1: baseline workflow and rubric calibration. Week 2: challenge participation. Week 3: review, feedback and applications. Week 4: interviews with users and workflow evaluation. Employment outcomes need longer follow-up.</w:t>
      </w:r>
    </w:p>
    <w:p>
      <w:pPr/>
      <w:r>
        <w:t>Have reviewers assess a few shared samples before live submissions and record disagreements. Limit the number of submissions per reviewer. If queues grow, pause challenge intake or add approved reviewers rather than promising immediate review.</w:t>
      </w:r>
    </w:p>
    <w:p>
      <w:pPr>
        <w:pStyle w:val="Heading2"/>
      </w:pPr>
      <w:r>
        <w:t>4. Measurement dictionary</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2700"/>
        <w:gridCol w:w="3300"/>
        <w:gridCol w:w="3360"/>
      </w:tblGrid>
      <w:tr>
        <w:trPr>
          <w:cantSplit/>
          <w:tblHeader/>
        </w:trPr>
        <w:tc>
          <w:tcPr>
            <w:tcW w:type="dxa" w:w="2700"/>
            <w:shd w:fill="E8EEF5"/>
          </w:tcPr>
          <w:p>
            <w:pPr>
              <w:pStyle w:val="TableText"/>
            </w:pPr>
            <w:r>
              <w:rPr>
                <w:b/>
              </w:rPr>
              <w:t>Metric</w:t>
            </w:r>
          </w:p>
        </w:tc>
        <w:tc>
          <w:tcPr>
            <w:tcW w:type="dxa" w:w="3300"/>
            <w:shd w:fill="E8EEF5"/>
          </w:tcPr>
          <w:p>
            <w:pPr>
              <w:pStyle w:val="TableText"/>
            </w:pPr>
            <w:r>
              <w:rPr>
                <w:b/>
              </w:rPr>
              <w:t>Definition</w:t>
            </w:r>
          </w:p>
        </w:tc>
        <w:tc>
          <w:tcPr>
            <w:tcW w:type="dxa" w:w="3360"/>
            <w:shd w:fill="E8EEF5"/>
          </w:tcPr>
          <w:p>
            <w:pPr>
              <w:pStyle w:val="TableText"/>
            </w:pPr>
            <w:r>
              <w:rPr>
                <w:b/>
              </w:rPr>
              <w:t>Interpretation</w:t>
            </w:r>
          </w:p>
        </w:tc>
      </w:tr>
      <w:tr>
        <w:trPr>
          <w:cantSplit/>
        </w:trPr>
        <w:tc>
          <w:tcPr>
            <w:tcW w:type="dxa" w:w="2700"/>
          </w:tcPr>
          <w:p>
            <w:pPr>
              <w:pStyle w:val="TableText"/>
            </w:pPr>
            <w:r>
              <w:t>Evidence activation</w:t>
            </w:r>
          </w:p>
        </w:tc>
        <w:tc>
          <w:tcPr>
            <w:tcW w:type="dxa" w:w="3300"/>
          </w:tcPr>
          <w:p>
            <w:pPr>
              <w:pStyle w:val="TableText"/>
            </w:pPr>
            <w:r>
              <w:t>Students with ≥1 published review / active participants</w:t>
            </w:r>
          </w:p>
        </w:tc>
        <w:tc>
          <w:tcPr>
            <w:tcW w:type="dxa" w:w="3360"/>
          </w:tcPr>
          <w:p>
            <w:pPr>
              <w:pStyle w:val="TableText"/>
            </w:pPr>
            <w:r>
              <w:t>Core adoption</w:t>
            </w:r>
          </w:p>
        </w:tc>
      </w:tr>
      <w:tr>
        <w:trPr>
          <w:cantSplit/>
        </w:trPr>
        <w:tc>
          <w:tcPr>
            <w:tcW w:type="dxa" w:w="2700"/>
          </w:tcPr>
          <w:p>
            <w:pPr>
              <w:pStyle w:val="TableText"/>
            </w:pPr>
            <w:r>
              <w:t>Evidence-to-application use</w:t>
            </w:r>
          </w:p>
        </w:tc>
        <w:tc>
          <w:tcPr>
            <w:tcW w:type="dxa" w:w="3300"/>
          </w:tcPr>
          <w:p>
            <w:pPr>
              <w:pStyle w:val="TableText"/>
            </w:pPr>
            <w:r>
              <w:t>Students applying with reviewed evidence / active participants</w:t>
            </w:r>
          </w:p>
        </w:tc>
        <w:tc>
          <w:tcPr>
            <w:tcW w:type="dxa" w:w="3360"/>
          </w:tcPr>
          <w:p>
            <w:pPr>
              <w:pStyle w:val="TableText"/>
            </w:pPr>
            <w:r>
              <w:t>North-star pilot measure</w:t>
            </w:r>
          </w:p>
        </w:tc>
      </w:tr>
      <w:tr>
        <w:trPr>
          <w:cantSplit/>
        </w:trPr>
        <w:tc>
          <w:tcPr>
            <w:tcW w:type="dxa" w:w="2700"/>
          </w:tcPr>
          <w:p>
            <w:pPr>
              <w:pStyle w:val="TableText"/>
            </w:pPr>
            <w:r>
              <w:t>Review turnaround</w:t>
            </w:r>
          </w:p>
        </w:tc>
        <w:tc>
          <w:tcPr>
            <w:tcW w:type="dxa" w:w="3300"/>
          </w:tcPr>
          <w:p>
            <w:pPr>
              <w:pStyle w:val="TableText"/>
            </w:pPr>
            <w:r>
              <w:t>Median hours from finalization to publication</w:t>
            </w:r>
          </w:p>
        </w:tc>
        <w:tc>
          <w:tcPr>
            <w:tcW w:type="dxa" w:w="3360"/>
          </w:tcPr>
          <w:p>
            <w:pPr>
              <w:pStyle w:val="TableText"/>
            </w:pPr>
            <w:r>
              <w:t>Service burden</w:t>
            </w:r>
          </w:p>
        </w:tc>
      </w:tr>
      <w:tr>
        <w:trPr>
          <w:cantSplit/>
        </w:trPr>
        <w:tc>
          <w:tcPr>
            <w:tcW w:type="dxa" w:w="2700"/>
          </w:tcPr>
          <w:p>
            <w:pPr>
              <w:pStyle w:val="TableText"/>
            </w:pPr>
            <w:r>
              <w:t>Review effort</w:t>
            </w:r>
          </w:p>
        </w:tc>
        <w:tc>
          <w:tcPr>
            <w:tcW w:type="dxa" w:w="3300"/>
          </w:tcPr>
          <w:p>
            <w:pPr>
              <w:pStyle w:val="TableText"/>
            </w:pPr>
            <w:r>
              <w:t>Median reviewer minutes per submission</w:t>
            </w:r>
          </w:p>
        </w:tc>
        <w:tc>
          <w:tcPr>
            <w:tcW w:type="dxa" w:w="3360"/>
          </w:tcPr>
          <w:p>
            <w:pPr>
              <w:pStyle w:val="TableText"/>
            </w:pPr>
            <w:r>
              <w:t>Scalability constraint</w:t>
            </w:r>
          </w:p>
        </w:tc>
      </w:tr>
      <w:tr>
        <w:trPr>
          <w:cantSplit/>
        </w:trPr>
        <w:tc>
          <w:tcPr>
            <w:tcW w:type="dxa" w:w="2700"/>
          </w:tcPr>
          <w:p>
            <w:pPr>
              <w:pStyle w:val="TableText"/>
            </w:pPr>
            <w:r>
              <w:t>Applicant-to-interview</w:t>
            </w:r>
          </w:p>
        </w:tc>
        <w:tc>
          <w:tcPr>
            <w:tcW w:type="dxa" w:w="3300"/>
          </w:tcPr>
          <w:p>
            <w:pPr>
              <w:pStyle w:val="TableText"/>
            </w:pPr>
            <w:r>
              <w:t>Interviewed applicants / submitted applications</w:t>
            </w:r>
          </w:p>
        </w:tc>
        <w:tc>
          <w:tcPr>
            <w:tcW w:type="dxa" w:w="3360"/>
          </w:tcPr>
          <w:p>
            <w:pPr>
              <w:pStyle w:val="TableText"/>
            </w:pPr>
            <w:r>
              <w:t>Funnel, not causal uplift</w:t>
            </w:r>
          </w:p>
        </w:tc>
      </w:tr>
      <w:tr>
        <w:trPr>
          <w:cantSplit/>
        </w:trPr>
        <w:tc>
          <w:tcPr>
            <w:tcW w:type="dxa" w:w="2700"/>
          </w:tcPr>
          <w:p>
            <w:pPr>
              <w:pStyle w:val="TableText"/>
            </w:pPr>
            <w:r>
              <w:t>Confirmed completion</w:t>
            </w:r>
          </w:p>
        </w:tc>
        <w:tc>
          <w:tcPr>
            <w:tcW w:type="dxa" w:w="3300"/>
          </w:tcPr>
          <w:p>
            <w:pPr>
              <w:pStyle w:val="TableText"/>
            </w:pPr>
            <w:r>
              <w:t>Confirmed completed internships / accepted internships due to finish</w:t>
            </w:r>
          </w:p>
        </w:tc>
        <w:tc>
          <w:tcPr>
            <w:tcW w:type="dxa" w:w="3360"/>
          </w:tcPr>
          <w:p>
            <w:pPr>
              <w:pStyle w:val="TableText"/>
            </w:pPr>
            <w:r>
              <w:t>Outcome integrity</w:t>
            </w:r>
          </w:p>
        </w:tc>
      </w:tr>
      <w:tr>
        <w:trPr>
          <w:cantSplit/>
        </w:trPr>
        <w:tc>
          <w:tcPr>
            <w:tcW w:type="dxa" w:w="2700"/>
          </w:tcPr>
          <w:p>
            <w:pPr>
              <w:pStyle w:val="TableText"/>
            </w:pPr>
            <w:r>
              <w:t>Gap action rate</w:t>
            </w:r>
          </w:p>
        </w:tc>
        <w:tc>
          <w:tcPr>
            <w:tcW w:type="dxa" w:w="3300"/>
          </w:tcPr>
          <w:p>
            <w:pPr>
              <w:pStyle w:val="TableText"/>
            </w:pPr>
            <w:r>
              <w:t>Coordinators recording an intervention / report viewers</w:t>
            </w:r>
          </w:p>
        </w:tc>
        <w:tc>
          <w:tcPr>
            <w:tcW w:type="dxa" w:w="3360"/>
          </w:tcPr>
          <w:p>
            <w:pPr>
              <w:pStyle w:val="TableText"/>
            </w:pPr>
            <w:r>
              <w:t>P1 actionability</w:t>
            </w:r>
          </w:p>
        </w:tc>
      </w:tr>
      <w:tr>
        <w:trPr>
          <w:cantSplit/>
        </w:trPr>
        <w:tc>
          <w:tcPr>
            <w:tcW w:type="dxa" w:w="2700"/>
          </w:tcPr>
          <w:p>
            <w:pPr>
              <w:pStyle w:val="TableText"/>
            </w:pPr>
            <w:r>
              <w:t>Correction rate</w:t>
            </w:r>
          </w:p>
        </w:tc>
        <w:tc>
          <w:tcPr>
            <w:tcW w:type="dxa" w:w="3300"/>
          </w:tcPr>
          <w:p>
            <w:pPr>
              <w:pStyle w:val="TableText"/>
            </w:pPr>
            <w:r>
              <w:t>Correction requests / published reviews</w:t>
            </w:r>
          </w:p>
        </w:tc>
        <w:tc>
          <w:tcPr>
            <w:tcW w:type="dxa" w:w="3360"/>
          </w:tcPr>
          <w:p>
            <w:pPr>
              <w:pStyle w:val="TableText"/>
            </w:pPr>
            <w:r>
              <w:t>Diagnostic, not automatically failure</w:t>
            </w:r>
          </w:p>
        </w:tc>
      </w:tr>
    </w:tbl>
    <w:p>
      <w:pPr>
        <w:pStyle w:val="TableSource"/>
      </w:pPr>
    </w:p>
    <w:p>
      <w:pPr/>
      <w:r>
        <w:t>Deduplicate by the relevant student/application ID. State observation windows and exclude not-yet-due internships from completion denominators. Track qualitative complaints and withdrawals alongside positive metrics.</w:t>
      </w:r>
    </w:p>
    <w:p>
      <w:pPr>
        <w:pStyle w:val="Heading2"/>
      </w:pPr>
      <w:r>
        <w:t>5. Proposed pilot decision thresholds</w:t>
      </w:r>
    </w:p>
    <w:p>
      <w:pPr/>
      <w:r>
        <w:t>Discussion targets: at least half of participating students complete one reviewed artifact; median review effort below 15 minutes for the bounded challenge; most tested recruiters can explain the score and evidence without coaching; at least one coordinator identifies a concrete support action. These are proposed go/no-go criteria, not achieved outcomes. Revise them with stakeholders before the pilot.</w:t>
      </w:r>
    </w:p>
    <w:p>
      <w:pPr/>
      <w:r>
        <w:t>Do not infer placement uplift from a small self-selected group. Compare screening time on equivalent tasks and record selection bias. A high completion rate with poor student experience is not success. A low correction rate may reflect difficulty reporting problems, so inspect the reporting process.</w:t>
      </w:r>
    </w:p>
    <w:p>
      <w:pPr>
        <w:pStyle w:val="Heading2"/>
      </w:pPr>
      <w:r>
        <w:t>6. Adoption strategy</w:t>
      </w:r>
    </w:p>
    <w:p>
      <w:pPr/>
      <w:r>
        <w:t>Start from an existing college–employer relationship. Offer a ready-to-edit challenge template and a short onboarding walkthrough. Keep the first pilot narrow: one role family, clear deadlines and named reviewers. Recruit students through approved college channels after consent. Do not scrape resumes or send outreach without authorization.</w:t>
      </w:r>
    </w:p>
    <w:p>
      <w:pPr/>
      <w:r>
        <w:t>Avoid the marketplace cold-start trap by scheduling a cohort challenge with a known reviewer before opening public signups. The portal should support the collaboration already being organized; a network effect cannot substitute for initial relationships.</w:t>
      </w:r>
    </w:p>
    <w:p>
      <w:pPr>
        <w:pStyle w:val="Heading2"/>
      </w:pPr>
      <w:r>
        <w:t>7. Business hypotheses</w:t>
      </w:r>
    </w:p>
    <w:p>
      <w:pPr/>
      <w:r>
        <w:t>Keep student access free. Test an institutional subscription for workflow/reporting and optional employer-sponsored challenge programs. Do not charge for a stronger skill score or a favorable review. Avoid selling student data. Pricing requires discovery, procurement understanding and cost measurement; no revenue forecast is presented as established.</w:t>
      </w:r>
    </w:p>
    <w:p>
      <w:pPr/>
      <w:r>
        <w:t>Costs include hosting, database, support and reviewer coordination. For a challenge program, contribution margin equals program revenue minus reviewer/support time and attributable infrastructure costs. Even if software hosting is inexpensive, human review can dominate cost. Investigate whether employers, institutions or both are willing to own that work.</w:t>
      </w:r>
    </w:p>
    <w:p>
      <w:pPr>
        <w:pStyle w:val="Heading2"/>
      </w:pPr>
      <w:r>
        <w:t>8. Long-term defensibility</w:t>
      </w:r>
    </w:p>
    <w:p>
      <w:pPr/>
      <w:r>
        <w:t>Potential strengths are trusted reviewer relationships, reusable high-quality rubrics, institutional workflow fit and consented longitudinal evidence. A large AI prompt or a generic score is easy to copy. Portability and transparent evaluation can improve trust, but must be tested rather than treated as automatic competitive advantages.</w:t>
      </w:r>
    </w:p>
    <w:p>
      <w:pPr>
        <w:pStyle w:val="Heading2"/>
      </w:pPr>
      <w:r>
        <w:t>9. Social impact and unintended effects</w:t>
      </w:r>
    </w:p>
    <w:p>
      <w:pPr/>
      <w:r>
        <w:t>Potential benefits include a clearer route for students without polished resumes and better recognition of practical projects. Potential harms include extra unpaid work, reviewer favoritism, overreliance on numbers and exclusion of students with limited connectivity. Mitigate with bounded tasks, transparent criteria, alternative evidence formats, human decisions and accessible low-bandwidth screens. Measure who drops out and why before claiming inclusion.</w:t>
      </w:r>
    </w:p>
    <w:p>
      <w:r>
        <w:br w:type="page"/>
      </w:r>
    </w:p>
    <w:p>
      <w:pPr>
        <w:pStyle w:val="Heading1"/>
      </w:pPr>
      <w:r>
        <w:t>Risks, decisions, assumptions and source register</w:t>
      </w:r>
    </w:p>
    <w:p>
      <w:pPr>
        <w:pStyle w:val="Heading2"/>
      </w:pPr>
      <w:r>
        <w:t>1. Decision log</w:t>
      </w:r>
    </w:p>
    <w:p>
      <w:pPr/>
      <w:r>
        <w:t>ADR-01: Choose a modular monolith to reduce team coordination and deployment overhead. Revisit only after measured scaling or ownership needs.</w:t>
      </w:r>
    </w:p>
    <w:p>
      <w:pPr/>
      <w:r>
        <w:t>ADR-02: Use deterministic role coverage, not AI ranking. Reason: explainability, repeatability and a reliable demo. Revisit with measured evaluation and a human decision boundary.</w:t>
      </w:r>
    </w:p>
    <w:p>
      <w:pPr/>
      <w:r>
        <w:t>ADR-03: Human review creates attainments. Self-declared claims and AI outputs remain separate. Reason: meaningful provenance and avoidance of fabricated verification.</w:t>
      </w:r>
    </w:p>
    <w:p>
      <w:pPr/>
      <w:r>
        <w:t>ADR-04: P0 evidence is text plus human-opened HTTPS links. Reason: reduce upload/parser/security scope while preserving the central workflow.</w:t>
      </w:r>
    </w:p>
    <w:p>
      <w:pPr/>
      <w:r>
        <w:t>ADR-05: Private evidence with application-specific sharing. Reason: students should control what an employer receives. Public portfolios are P1.</w:t>
      </w:r>
    </w:p>
    <w:p>
      <w:pPr/>
      <w:r>
        <w:t>ADR-06: Compute live matches on read; freeze application snapshots. Reason: simple correctness plus historical explainability. Cache only after profiling.</w:t>
      </w:r>
    </w:p>
    <w:p>
      <w:pPr/>
      <w:r>
        <w:t>ADR-07: One active institution per student and one active reviewer assignment per revision in P0. Reason: bounded permission and workflow complexity. Multi-institution enrollment and panel review are later extensions.</w:t>
      </w:r>
    </w:p>
    <w:p>
      <w:pPr/>
      <w:r>
        <w:t>ADR-08: Faculty intervention creation is P1, while a scoped gap report is P0. Reason: demonstrate academia participation without hiding an unbuilt workflow behind a button.</w:t>
      </w:r>
    </w:p>
    <w:p>
      <w:pPr>
        <w:pStyle w:val="Heading2"/>
      </w:pPr>
      <w:r>
        <w:t>2. Risk register</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DFE7"/>
          <w:left w:val="single" w:sz="4" w:color="D9DFE7"/>
          <w:bottom w:val="single" w:sz="4" w:color="D9DFE7"/>
          <w:right w:val="single" w:sz="4" w:color="D9DFE7"/>
          <w:insideH w:val="single" w:sz="4" w:color="D9DFE7"/>
          <w:insideV w:val="single" w:sz="4" w:color="D9DFE7"/>
        </w:tblBorders>
      </w:tblPr>
      <w:tblGrid>
        <w:gridCol w:w="2700"/>
        <w:gridCol w:w="3300"/>
        <w:gridCol w:w="3360"/>
      </w:tblGrid>
      <w:tr>
        <w:trPr>
          <w:cantSplit/>
          <w:tblHeader/>
        </w:trPr>
        <w:tc>
          <w:tcPr>
            <w:tcW w:type="dxa" w:w="2700"/>
            <w:shd w:fill="E8EEF5"/>
          </w:tcPr>
          <w:p>
            <w:pPr>
              <w:pStyle w:val="TableText"/>
            </w:pPr>
            <w:r>
              <w:rPr>
                <w:b/>
              </w:rPr>
              <w:t>Risk</w:t>
            </w:r>
          </w:p>
        </w:tc>
        <w:tc>
          <w:tcPr>
            <w:tcW w:type="dxa" w:w="3300"/>
            <w:shd w:fill="E8EEF5"/>
          </w:tcPr>
          <w:p>
            <w:pPr>
              <w:pStyle w:val="TableText"/>
            </w:pPr>
            <w:r>
              <w:rPr>
                <w:b/>
              </w:rPr>
              <w:t>Severity</w:t>
            </w:r>
          </w:p>
        </w:tc>
        <w:tc>
          <w:tcPr>
            <w:tcW w:type="dxa" w:w="3360"/>
            <w:shd w:fill="E8EEF5"/>
          </w:tcPr>
          <w:p>
            <w:pPr>
              <w:pStyle w:val="TableText"/>
            </w:pPr>
            <w:r>
              <w:rPr>
                <w:b/>
              </w:rPr>
              <w:t>Mitigation / owner</w:t>
            </w:r>
          </w:p>
        </w:tc>
      </w:tr>
      <w:tr>
        <w:trPr>
          <w:cantSplit/>
        </w:trPr>
        <w:tc>
          <w:tcPr>
            <w:tcW w:type="dxa" w:w="2700"/>
          </w:tcPr>
          <w:p>
            <w:pPr>
              <w:pStyle w:val="TableText"/>
            </w:pPr>
            <w:r>
              <w:t>Overbuilding before demo</w:t>
            </w:r>
          </w:p>
        </w:tc>
        <w:tc>
          <w:tcPr>
            <w:tcW w:type="dxa" w:w="3300"/>
          </w:tcPr>
          <w:p>
            <w:pPr>
              <w:pStyle w:val="TableText"/>
            </w:pPr>
            <w:r>
              <w:t>High</w:t>
            </w:r>
          </w:p>
        </w:tc>
        <w:tc>
          <w:tcPr>
            <w:tcW w:type="dxa" w:w="3360"/>
          </w:tcPr>
          <w:p>
            <w:pPr>
              <w:pStyle w:val="TableText"/>
            </w:pPr>
            <w:r>
              <w:t>Freeze P0; integration lead</w:t>
            </w:r>
          </w:p>
        </w:tc>
      </w:tr>
      <w:tr>
        <w:trPr>
          <w:cantSplit/>
        </w:trPr>
        <w:tc>
          <w:tcPr>
            <w:tcW w:type="dxa" w:w="2700"/>
          </w:tcPr>
          <w:p>
            <w:pPr>
              <w:pStyle w:val="TableText"/>
            </w:pPr>
            <w:r>
              <w:t>Cross-organization exposure</w:t>
            </w:r>
          </w:p>
        </w:tc>
        <w:tc>
          <w:tcPr>
            <w:tcW w:type="dxa" w:w="3300"/>
          </w:tcPr>
          <w:p>
            <w:pPr>
              <w:pStyle w:val="TableText"/>
            </w:pPr>
            <w:r>
              <w:t>Critical</w:t>
            </w:r>
          </w:p>
        </w:tc>
        <w:tc>
          <w:tcPr>
            <w:tcW w:type="dxa" w:w="3360"/>
          </w:tcPr>
          <w:p>
            <w:pPr>
              <w:pStyle w:val="TableText"/>
            </w:pPr>
            <w:r>
              <w:t>RLS + API denial tests; backend owner</w:t>
            </w:r>
          </w:p>
        </w:tc>
      </w:tr>
      <w:tr>
        <w:trPr>
          <w:cantSplit/>
        </w:trPr>
        <w:tc>
          <w:tcPr>
            <w:tcW w:type="dxa" w:w="2700"/>
          </w:tcPr>
          <w:p>
            <w:pPr>
              <w:pStyle w:val="TableText"/>
            </w:pPr>
            <w:r>
              <w:t>Review bottleneck</w:t>
            </w:r>
          </w:p>
        </w:tc>
        <w:tc>
          <w:tcPr>
            <w:tcW w:type="dxa" w:w="3300"/>
          </w:tcPr>
          <w:p>
            <w:pPr>
              <w:pStyle w:val="TableText"/>
            </w:pPr>
            <w:r>
              <w:t>High</w:t>
            </w:r>
          </w:p>
        </w:tc>
        <w:tc>
          <w:tcPr>
            <w:tcW w:type="dxa" w:w="3360"/>
          </w:tcPr>
          <w:p>
            <w:pPr>
              <w:pStyle w:val="TableText"/>
            </w:pPr>
            <w:r>
              <w:t>Bounded challenge intake; pilot coordinator</w:t>
            </w:r>
          </w:p>
        </w:tc>
      </w:tr>
      <w:tr>
        <w:trPr>
          <w:cantSplit/>
        </w:trPr>
        <w:tc>
          <w:tcPr>
            <w:tcW w:type="dxa" w:w="2700"/>
          </w:tcPr>
          <w:p>
            <w:pPr>
              <w:pStyle w:val="TableText"/>
            </w:pPr>
            <w:r>
              <w:t>Inconsistent reviewer levels</w:t>
            </w:r>
          </w:p>
        </w:tc>
        <w:tc>
          <w:tcPr>
            <w:tcW w:type="dxa" w:w="3300"/>
          </w:tcPr>
          <w:p>
            <w:pPr>
              <w:pStyle w:val="TableText"/>
            </w:pPr>
            <w:r>
              <w:t>High</w:t>
            </w:r>
          </w:p>
        </w:tc>
        <w:tc>
          <w:tcPr>
            <w:tcW w:type="dxa" w:w="3360"/>
          </w:tcPr>
          <w:p>
            <w:pPr>
              <w:pStyle w:val="TableText"/>
            </w:pPr>
            <w:r>
              <w:t>Anchored rubric/calibration; review lead</w:t>
            </w:r>
          </w:p>
        </w:tc>
      </w:tr>
      <w:tr>
        <w:trPr>
          <w:cantSplit/>
        </w:trPr>
        <w:tc>
          <w:tcPr>
            <w:tcW w:type="dxa" w:w="2700"/>
          </w:tcPr>
          <w:p>
            <w:pPr>
              <w:pStyle w:val="TableText"/>
            </w:pPr>
            <w:r>
              <w:t>Unpaid production work</w:t>
            </w:r>
          </w:p>
        </w:tc>
        <w:tc>
          <w:tcPr>
            <w:tcW w:type="dxa" w:w="3300"/>
          </w:tcPr>
          <w:p>
            <w:pPr>
              <w:pStyle w:val="TableText"/>
            </w:pPr>
            <w:r>
              <w:t>High</w:t>
            </w:r>
          </w:p>
        </w:tc>
        <w:tc>
          <w:tcPr>
            <w:tcW w:type="dxa" w:w="3360"/>
          </w:tcPr>
          <w:p>
            <w:pPr>
              <w:pStyle w:val="TableText"/>
            </w:pPr>
            <w:r>
              <w:t>Moderation and effort cap; employer coordinator</w:t>
            </w:r>
          </w:p>
        </w:tc>
      </w:tr>
      <w:tr>
        <w:trPr>
          <w:cantSplit/>
        </w:trPr>
        <w:tc>
          <w:tcPr>
            <w:tcW w:type="dxa" w:w="2700"/>
          </w:tcPr>
          <w:p>
            <w:pPr>
              <w:pStyle w:val="TableText"/>
            </w:pPr>
            <w:r>
              <w:t>AI fabricated requirements</w:t>
            </w:r>
          </w:p>
        </w:tc>
        <w:tc>
          <w:tcPr>
            <w:tcW w:type="dxa" w:w="3300"/>
          </w:tcPr>
          <w:p>
            <w:pPr>
              <w:pStyle w:val="TableText"/>
            </w:pPr>
            <w:r>
              <w:t>Medium</w:t>
            </w:r>
          </w:p>
        </w:tc>
        <w:tc>
          <w:tcPr>
            <w:tcW w:type="dxa" w:w="3360"/>
          </w:tcPr>
          <w:p>
            <w:pPr>
              <w:pStyle w:val="TableText"/>
            </w:pPr>
            <w:r>
              <w:t>Human approval/manual fallback; product owner</w:t>
            </w:r>
          </w:p>
        </w:tc>
      </w:tr>
      <w:tr>
        <w:trPr>
          <w:cantSplit/>
        </w:trPr>
        <w:tc>
          <w:tcPr>
            <w:tcW w:type="dxa" w:w="2700"/>
          </w:tcPr>
          <w:p>
            <w:pPr>
              <w:pStyle w:val="TableText"/>
            </w:pPr>
            <w:r>
              <w:t>Weak or absent partnerships</w:t>
            </w:r>
          </w:p>
        </w:tc>
        <w:tc>
          <w:tcPr>
            <w:tcW w:type="dxa" w:w="3300"/>
          </w:tcPr>
          <w:p>
            <w:pPr>
              <w:pStyle w:val="TableText"/>
            </w:pPr>
            <w:r>
              <w:t>High</w:t>
            </w:r>
          </w:p>
        </w:tc>
        <w:tc>
          <w:tcPr>
            <w:tcW w:type="dxa" w:w="3360"/>
          </w:tcPr>
          <w:p>
            <w:pPr>
              <w:pStyle w:val="TableText"/>
            </w:pPr>
            <w:r>
              <w:t>Pilot discovery; team lead</w:t>
            </w:r>
          </w:p>
        </w:tc>
      </w:tr>
      <w:tr>
        <w:trPr>
          <w:cantSplit/>
        </w:trPr>
        <w:tc>
          <w:tcPr>
            <w:tcW w:type="dxa" w:w="2700"/>
          </w:tcPr>
          <w:p>
            <w:pPr>
              <w:pStyle w:val="TableText"/>
            </w:pPr>
            <w:r>
              <w:t>Demo internet failure</w:t>
            </w:r>
          </w:p>
        </w:tc>
        <w:tc>
          <w:tcPr>
            <w:tcW w:type="dxa" w:w="3300"/>
          </w:tcPr>
          <w:p>
            <w:pPr>
              <w:pStyle w:val="TableText"/>
            </w:pPr>
            <w:r>
              <w:t>Medium</w:t>
            </w:r>
          </w:p>
        </w:tc>
        <w:tc>
          <w:tcPr>
            <w:tcW w:type="dxa" w:w="3360"/>
          </w:tcPr>
          <w:p>
            <w:pPr>
              <w:pStyle w:val="TableText"/>
            </w:pPr>
            <w:r>
              <w:t>Recorded actual run; demo owner</w:t>
            </w:r>
          </w:p>
        </w:tc>
      </w:tr>
      <w:tr>
        <w:trPr>
          <w:cantSplit/>
        </w:trPr>
        <w:tc>
          <w:tcPr>
            <w:tcW w:type="dxa" w:w="2700"/>
          </w:tcPr>
          <w:p>
            <w:pPr>
              <w:pStyle w:val="TableText"/>
            </w:pPr>
            <w:r>
              <w:t>Misleading score interpretation</w:t>
            </w:r>
          </w:p>
        </w:tc>
        <w:tc>
          <w:tcPr>
            <w:tcW w:type="dxa" w:w="3300"/>
          </w:tcPr>
          <w:p>
            <w:pPr>
              <w:pStyle w:val="TableText"/>
            </w:pPr>
            <w:r>
              <w:t>High</w:t>
            </w:r>
          </w:p>
        </w:tc>
        <w:tc>
          <w:tcPr>
            <w:tcW w:type="dxa" w:w="3360"/>
          </w:tcPr>
          <w:p>
            <w:pPr>
              <w:pStyle w:val="TableText"/>
            </w:pPr>
            <w:r>
              <w:t>Labels/formula/usability checks; design owner</w:t>
            </w:r>
          </w:p>
        </w:tc>
      </w:tr>
      <w:tr>
        <w:trPr>
          <w:cantSplit/>
        </w:trPr>
        <w:tc>
          <w:tcPr>
            <w:tcW w:type="dxa" w:w="2700"/>
          </w:tcPr>
          <w:p>
            <w:pPr>
              <w:pStyle w:val="TableText"/>
            </w:pPr>
            <w:r>
              <w:t>Agent-generated security shortcut</w:t>
            </w:r>
          </w:p>
        </w:tc>
        <w:tc>
          <w:tcPr>
            <w:tcW w:type="dxa" w:w="3300"/>
          </w:tcPr>
          <w:p>
            <w:pPr>
              <w:pStyle w:val="TableText"/>
            </w:pPr>
            <w:r>
              <w:t>Critical</w:t>
            </w:r>
          </w:p>
        </w:tc>
        <w:tc>
          <w:tcPr>
            <w:tcW w:type="dxa" w:w="3360"/>
          </w:tcPr>
          <w:p>
            <w:pPr>
              <w:pStyle w:val="TableText"/>
            </w:pPr>
            <w:r>
              <w:t>Manual review and direct API tests; lead</w:t>
            </w:r>
          </w:p>
        </w:tc>
      </w:tr>
    </w:tbl>
    <w:p>
      <w:pPr>
        <w:pStyle w:val="TableSource"/>
      </w:pPr>
    </w:p>
    <w:p>
      <w:pPr>
        <w:pStyle w:val="Heading2"/>
      </w:pPr>
      <w:r>
        <w:t>3. Assumptions to confirm</w:t>
      </w:r>
    </w:p>
    <w:p>
      <w:pPr/>
      <w:r>
        <w:t>The team reports final-round selection and the supplied statement. The exact competition deadline, required artifacts, rubric and demo duration are unknown. Four-person planning reflects the team's recent context and should be adjusted if composition changed. Employer participation, student consent and institutional approval are not established. The working name has not undergone trademark/domain checks. The stack is proposed and dependency versions remain to be pinned. The 48-hour plan is an illustrative allocation, not a delivery promise.</w:t>
      </w:r>
    </w:p>
    <w:p>
      <w:pPr>
        <w:pStyle w:val="Heading2"/>
      </w:pPr>
      <w:r>
        <w:t>4. Source use and limits</w:t>
      </w:r>
    </w:p>
    <w:p>
      <w:pPr/>
      <w:r>
        <w:t>Sources were consulted on 8 September 2026 for public product context and official engineering guidance. These documents are a product design proposal, not a comprehensive market review or a Deep Research report. Source descriptions establish context only; proposed features, formula, architecture, targets and business hypotheses are original design recommendations for this project. No market size, placement uplift or model accuracy is inferred from them.</w:t>
      </w:r>
    </w:p>
    <w:p>
      <w:pPr/>
      <w:r>
        <w:t xml:space="preserve">S1 — Handshake student offering. Supports the statement that an existing platform offers career opportunities and employer connections. It does not establish that Handshake lacks evidence workflows. </w:t>
      </w:r>
      <w:hyperlink r:id="rId12">
        <w:r>
          <w:rPr>
            <w:color w:val="185ADB"/>
          </w:rPr>
          <w:t>https://joinhandshake.com/students/</w:t>
        </w:r>
      </w:hyperlink>
      <w:r/>
    </w:p>
    <w:p>
      <w:pPr/>
      <w:r>
        <w:t xml:space="preserve">S2 — Forage. Supports the existence of work-like job simulations and the need to distinguish simulation from employment. It does not establish novelty of challenge-based learning. </w:t>
      </w:r>
      <w:hyperlink r:id="rId13">
        <w:r>
          <w:rPr>
            <w:color w:val="185ADB"/>
          </w:rPr>
          <w:t>https://www.theforage.com/</w:t>
        </w:r>
      </w:hyperlink>
      <w:r/>
    </w:p>
    <w:p>
      <w:pPr/>
      <w:r>
        <w:t xml:space="preserve">S3 — AICTE National Internship Portal. Supports the presence of an internship portal in the Indian context. No integration, endorsement or partnership is implied. </w:t>
      </w:r>
      <w:hyperlink r:id="rId14">
        <w:r>
          <w:rPr>
            <w:color w:val="185ADB"/>
          </w:rPr>
          <w:t>https://internship.aicte-india.org/</w:t>
        </w:r>
      </w:hyperlink>
      <w:r/>
    </w:p>
    <w:p>
      <w:pPr/>
      <w:r>
        <w:t xml:space="preserve">S4 — Next.js route handlers. Official implementation reference for the selected HTTP boundary. </w:t>
      </w:r>
      <w:hyperlink r:id="rId15">
        <w:r>
          <w:rPr>
            <w:color w:val="185ADB"/>
          </w:rPr>
          <w:t>https://nextjs.org/docs/app/getting-started/route-handlers</w:t>
        </w:r>
      </w:hyperlink>
      <w:r/>
    </w:p>
    <w:p>
      <w:pPr/>
      <w:r>
        <w:t xml:space="preserve">S5 — Supabase server-side client guidance. Official session/client integration reference; follow the current framework-specific instructions during implementation. </w:t>
      </w:r>
      <w:hyperlink r:id="rId16">
        <w:r>
          <w:rPr>
            <w:color w:val="185ADB"/>
          </w:rPr>
          <w:t>https://supabase.com/docs/guides/auth/server-side/creating-a-client?queryGroups=framework&amp;framework=nextjs</w:t>
        </w:r>
      </w:hyperlink>
      <w:r/>
    </w:p>
    <w:p>
      <w:pPr/>
      <w:r>
        <w:t xml:space="preserve">S6 — Supabase Row Level Security. Official reference for grants, policies and scoped database access. </w:t>
      </w:r>
      <w:hyperlink r:id="rId17">
        <w:r>
          <w:rPr>
            <w:color w:val="185ADB"/>
          </w:rPr>
          <w:t>https://supabase.com/docs/guides/database/postgres/row-level-security</w:t>
        </w:r>
      </w:hyperlink>
      <w:r/>
    </w:p>
    <w:p>
      <w:pPr/>
      <w:r>
        <w:t xml:space="preserve">S7 — OWASP API Security Project. Reference checklist for reviewing API threats. This is not a claim of completed security certification. </w:t>
      </w:r>
      <w:hyperlink r:id="rId18">
        <w:r>
          <w:rPr>
            <w:color w:val="185ADB"/>
          </w:rPr>
          <w:t>https://owasp.org/www-project-api-security/</w:t>
        </w:r>
      </w:hyperlink>
      <w:r/>
    </w:p>
    <w:p>
      <w:pPr/>
      <w:r>
        <w:t xml:space="preserve">S8 — W3C WCAG 2.2. Accessibility target reference. Conformance requires implementation evaluation. </w:t>
      </w:r>
      <w:hyperlink r:id="rId19">
        <w:r>
          <w:rPr>
            <w:color w:val="185ADB"/>
          </w:rPr>
          <w:t>https://www.w3.org/TR/WCAG22/</w:t>
        </w:r>
      </w:hyperlink>
      <w:r/>
    </w:p>
    <w:p>
      <w:pPr>
        <w:pStyle w:val="Heading2"/>
      </w:pPr>
      <w:r>
        <w:t>5. Glossary</w:t>
      </w:r>
    </w:p>
    <w:p>
      <w:pPr/>
      <w:r>
        <w:t>Attainment: a skill level attributed to reviewed evidence. Coverage: weighted comparison of active reviewed attainments against a role. Evidence Passport: the student's organized evidence and review history. Grant: permission for an employer to read a specific shared revision. Rubric: anchored criteria for assessing submitted work. Snapshot: frozen requirements, evidence selection and score at application time. Tenant: an organization boundary. P0: core hackathon scope. P1: pilot extension. P2: longer-term exploration.</w:t>
      </w:r>
    </w:p>
    <w:p>
      <w:pPr>
        <w:pStyle w:val="Heading2"/>
      </w:pPr>
      <w:r>
        <w:t>6. Consistency rules for future edits</w:t>
      </w:r>
    </w:p>
    <w:p>
      <w:pPr/>
      <w:r>
        <w:t>If the scoring formula changes, update the worked example, seed fixtures, API response and tests together. If sharing changes, update PRD, database grants, backend transactions and privacy copy. If a feature moves into P0, add endpoints, tables and acceptance criteria before implementation. Keep claims about implementation separate from design intent. Date and attribute all research, pilot results and genuine partner confirmations.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Proposed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PROOFBRIDGE  /  PRODUCT &amp;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lvl w:ilvl="0">
      <w:start w:val="1"/>
      <w:numFmt w:val="bullet"/>
      <w:lvlText w:val="•"/>
      <w:lvlJc w:val="left"/>
      <w:pPr>
        <w:tabs>
          <w:tab w:val="num" w:pos="540"/>
        </w:tabs>
        <w:ind w:left="540" w:hanging="271"/>
      </w:pPr>
    </w:lvl>
  </w:abstractNum>
  <w:num w:numId="80">
    <w:abstractNumId w:val="80"/>
  </w:num>
  <w:abstractNum w:abstractNumId="81">
    <w:lvl w:ilvl="0">
      <w:start w:val="1"/>
      <w:numFmt w:val="decimal"/>
      <w:lvlText w:val="%1."/>
      <w:lvlJc w:val="left"/>
      <w:pPr>
        <w:tabs>
          <w:tab w:val="num" w:pos="540"/>
        </w:tabs>
        <w:ind w:left="540" w:hanging="271"/>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7212F"/>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26071"/>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26071"/>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300" w:lineRule="auto" w:before="0"/>
      <w:contextualSpacing/>
    </w:pPr>
    <w:rPr>
      <w:rFonts w:asciiTheme="majorHAnsi" w:eastAsiaTheme="majorEastAsia" w:hAnsiTheme="majorHAnsi" w:cstheme="majorBidi" w:ascii="Calibri" w:hAnsi="Calibri"/>
      <w:b/>
      <w:color w:val="17212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300" w:lineRule="auto"/>
    </w:pPr>
    <w:rPr>
      <w:rFonts w:asciiTheme="majorHAnsi" w:eastAsiaTheme="majorEastAsia" w:hAnsiTheme="majorHAnsi" w:cstheme="majorBidi" w:ascii="Calibri" w:hAnsi="Calibri"/>
      <w:b w:val="0"/>
      <w:i/>
      <w:iCs/>
      <w:color w:val="52607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pPr>
    <w:rPr>
      <w:rFonts w:ascii="Calibri" w:hAnsi="Calibri"/>
      <w:b w:val="0"/>
      <w:color w:val="17212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contextualSpacing/>
    </w:pPr>
    <w:rPr>
      <w:rFonts w:ascii="Calibri" w:hAnsi="Calibri"/>
      <w:b w:val="0"/>
      <w:color w:val="17212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120"/>
    </w:pPr>
    <w:rPr>
      <w:rFonts w:ascii="Calibri" w:hAnsi="Calibri"/>
      <w:b w:val="0"/>
      <w:bCs/>
      <w:color w:val="52607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before="0" w:after="60" w:line="264" w:lineRule="auto"/>
    </w:pPr>
    <w:rPr>
      <w:rFonts w:ascii="Calibri" w:hAnsi="Calibri"/>
      <w:b w:val="0"/>
      <w:color w:val="17212F"/>
      <w:sz w:val="18"/>
    </w:rPr>
  </w:style>
  <w:style w:type="paragraph" w:customStyle="1" w:styleId="TableSource">
    <w:name w:val="Table Source"/>
    <w:pPr>
      <w:widowControl/>
      <w:spacing w:before="80" w:after="80" w:line="264" w:lineRule="auto"/>
    </w:pPr>
    <w:rPr>
      <w:rFonts w:ascii="Calibri" w:hAnsi="Calibri"/>
      <w:b w:val="0"/>
      <w:color w:val="526071"/>
      <w:sz w:val="18"/>
    </w:rPr>
  </w:style>
  <w:style w:type="paragraph" w:customStyle="1" w:styleId="CompactBody">
    <w:name w:val="Compact Body"/>
    <w:pPr>
      <w:widowControl/>
      <w:spacing w:before="0" w:after="120" w:line="264" w:lineRule="auto"/>
    </w:pPr>
    <w:rPr>
      <w:rFonts w:ascii="Calibri" w:hAnsi="Calibri"/>
      <w:b w:val="0"/>
      <w:color w:val="17212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joinhandshake.com/students/" TargetMode="External"/><Relationship Id="rId13" Type="http://schemas.openxmlformats.org/officeDocument/2006/relationships/hyperlink" Target="https://www.theforage.com/" TargetMode="External"/><Relationship Id="rId14" Type="http://schemas.openxmlformats.org/officeDocument/2006/relationships/hyperlink" Target="https://internship.aicte-india.org/" TargetMode="External"/><Relationship Id="rId15" Type="http://schemas.openxmlformats.org/officeDocument/2006/relationships/hyperlink" Target="https://nextjs.org/docs/app/getting-started/route-handlers" TargetMode="External"/><Relationship Id="rId16" Type="http://schemas.openxmlformats.org/officeDocument/2006/relationships/hyperlink" Target="https://supabase.com/docs/guides/auth/server-side/creating-a-client?queryGroups=framework&amp;framework=nextjs" TargetMode="External"/><Relationship Id="rId17" Type="http://schemas.openxmlformats.org/officeDocument/2006/relationships/hyperlink" Target="https://supabase.com/docs/guides/database/postgres/row-level-security" TargetMode="External"/><Relationship Id="rId18" Type="http://schemas.openxmlformats.org/officeDocument/2006/relationships/hyperlink" Target="https://owasp.org/www-project-api-security/" TargetMode="External"/><Relationship Id="rId19"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