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80F7" w14:textId="77777777" w:rsidR="00E16F7C" w:rsidRPr="00863927" w:rsidRDefault="00E16F7C" w:rsidP="00E16F7C">
      <w:pPr>
        <w:pStyle w:val="Ttulo1"/>
        <w:rPr>
          <w:lang w:val="es-EC"/>
        </w:rPr>
      </w:pPr>
      <w:r w:rsidRPr="00863927">
        <w:rPr>
          <w:lang w:val="es-EC"/>
        </w:rPr>
        <w:t>Matriz de Evaluación de Viabilidad del Proyecto de Telecomunicaciones</w:t>
      </w:r>
    </w:p>
    <w:p w14:paraId="779981E1" w14:textId="0E8F1377" w:rsidR="00863927" w:rsidRPr="00863927" w:rsidRDefault="00863927" w:rsidP="00863927">
      <w:pPr>
        <w:jc w:val="both"/>
        <w:rPr>
          <w:b/>
          <w:bCs/>
          <w:sz w:val="32"/>
          <w:szCs w:val="32"/>
          <w:lang w:val="es-EC"/>
        </w:rPr>
      </w:pPr>
      <w:r w:rsidRPr="00863927">
        <w:rPr>
          <w:b/>
          <w:bCs/>
          <w:sz w:val="32"/>
          <w:szCs w:val="32"/>
          <w:lang w:val="es-EC"/>
        </w:rPr>
        <w:t>Viabilidad Técnica</w:t>
      </w:r>
    </w:p>
    <w:p w14:paraId="72BD4D8F" w14:textId="77777777" w:rsidR="000C7BF6" w:rsidRPr="000C7BF6" w:rsidRDefault="000C7BF6" w:rsidP="000C7BF6">
      <w:pPr>
        <w:jc w:val="both"/>
        <w:rPr>
          <w:lang w:val="es-EC"/>
        </w:rPr>
      </w:pPr>
      <w:r w:rsidRPr="000C7BF6">
        <w:rPr>
          <w:lang w:val="es-EC"/>
        </w:rPr>
        <w:t xml:space="preserve">La viabilidad técnica de este proyecto ha sido evaluada de manera exhaustiva, confirmando que el diseño propuesto es completamente factible y se alinea con las capacidades tecnológicas actuales. Se ha verificado la existencia de espacios adecuados para la canalización, tanto vertical como horizontal, lo que permitirá el despliegue eficiente del cableado. Las distancias calculadas para los 22 puntos de red, así como el </w:t>
      </w:r>
      <w:proofErr w:type="spellStart"/>
      <w:r w:rsidRPr="000C7BF6">
        <w:rPr>
          <w:lang w:val="es-EC"/>
        </w:rPr>
        <w:t>backbone</w:t>
      </w:r>
      <w:proofErr w:type="spellEnd"/>
      <w:r w:rsidRPr="000C7BF6">
        <w:rPr>
          <w:lang w:val="es-EC"/>
        </w:rPr>
        <w:t xml:space="preserve"> de fibra óptica entre los pisos, se encuentran dentro de los límites y estándares de rendimiento establecidos por las normativas de telecomunicaciones, asegurando la integridad de la señal y la capacidad de ancho de banda requerida para los servicios de voz, datos, CCTV y </w:t>
      </w:r>
      <w:proofErr w:type="spellStart"/>
      <w:r w:rsidRPr="000C7BF6">
        <w:rPr>
          <w:lang w:val="es-EC"/>
        </w:rPr>
        <w:t>Wi</w:t>
      </w:r>
      <w:proofErr w:type="spellEnd"/>
      <w:r w:rsidRPr="000C7BF6">
        <w:rPr>
          <w:lang w:val="es-EC"/>
        </w:rPr>
        <w:t>-Fi.</w:t>
      </w:r>
    </w:p>
    <w:p w14:paraId="6C2EE796" w14:textId="77777777" w:rsidR="000C7BF6" w:rsidRPr="000C7BF6" w:rsidRDefault="000C7BF6" w:rsidP="000C7BF6">
      <w:pPr>
        <w:jc w:val="both"/>
        <w:rPr>
          <w:lang w:val="es-EC"/>
        </w:rPr>
      </w:pPr>
      <w:r w:rsidRPr="000C7BF6">
        <w:rPr>
          <w:lang w:val="es-EC"/>
        </w:rPr>
        <w:t>Se ha validado la compatibilidad de los equipos activos seleccionados (</w:t>
      </w:r>
      <w:proofErr w:type="spellStart"/>
      <w:r w:rsidRPr="000C7BF6">
        <w:rPr>
          <w:lang w:val="es-EC"/>
        </w:rPr>
        <w:t>router</w:t>
      </w:r>
      <w:proofErr w:type="spellEnd"/>
      <w:r w:rsidRPr="000C7BF6">
        <w:rPr>
          <w:lang w:val="es-EC"/>
        </w:rPr>
        <w:t xml:space="preserve">, switches, puntos de acceso y NVR) con la infraestructura pasiva y entre sí, garantizando una operación fluida e integrada. La elección de tecnologías probadas y la adherencia a estándares de la industria, como los de TIA/EIA e ISO/IEC, minimizan los riesgos de incompatibilidad o limitaciones técnicas. Además, la capacidad de los equipos para soportar </w:t>
      </w:r>
      <w:proofErr w:type="spellStart"/>
      <w:r w:rsidRPr="000C7BF6">
        <w:rPr>
          <w:lang w:val="es-EC"/>
        </w:rPr>
        <w:t>Power</w:t>
      </w:r>
      <w:proofErr w:type="spellEnd"/>
      <w:r w:rsidRPr="000C7BF6">
        <w:rPr>
          <w:lang w:val="es-EC"/>
        </w:rPr>
        <w:t xml:space="preserve"> </w:t>
      </w:r>
      <w:proofErr w:type="spellStart"/>
      <w:r w:rsidRPr="000C7BF6">
        <w:rPr>
          <w:lang w:val="es-EC"/>
        </w:rPr>
        <w:t>over</w:t>
      </w:r>
      <w:proofErr w:type="spellEnd"/>
      <w:r w:rsidRPr="000C7BF6">
        <w:rPr>
          <w:lang w:val="es-EC"/>
        </w:rPr>
        <w:t xml:space="preserve"> Ethernet (</w:t>
      </w:r>
      <w:proofErr w:type="spellStart"/>
      <w:r w:rsidRPr="000C7BF6">
        <w:rPr>
          <w:lang w:val="es-EC"/>
        </w:rPr>
        <w:t>PoE</w:t>
      </w:r>
      <w:proofErr w:type="spellEnd"/>
      <w:r w:rsidRPr="000C7BF6">
        <w:rPr>
          <w:lang w:val="es-EC"/>
        </w:rPr>
        <w:t>+) facilita la alimentación de dispositivos como cámaras y teléfonos IP, simplificando la instalación y reduciendo la necesidad de múltiples fuentes de energía.</w:t>
      </w:r>
    </w:p>
    <w:p w14:paraId="6AC4E9C1" w14:textId="650A1E87" w:rsidR="00863927" w:rsidRPr="000C7BF6" w:rsidRDefault="000C7BF6" w:rsidP="000C7BF6">
      <w:pPr>
        <w:jc w:val="both"/>
        <w:rPr>
          <w:lang w:val="es-EC"/>
        </w:rPr>
      </w:pPr>
      <w:r w:rsidRPr="000C7BF6">
        <w:rPr>
          <w:lang w:val="es-EC"/>
        </w:rPr>
        <w:t>En resumen, desde una perspectiva técnica, el proyecto es viable. Se dispone de los conocimientos, la tecnología y los recursos de diseño para llevar a cabo la implementación con éxito. La planificación ha considerado la correcta ubicación del Cuarto de Telecomunicaciones Principal y los puntos de distribución en cada piso, así como la selección de materiales que garantizan la calidad y el rendimiento. Esto asegura que la infraestructura resultante será robusta, confiable y capaz de satisfacer las exigencias operativas y de conectividad del entorno universitario.</w:t>
      </w:r>
    </w:p>
    <w:p w14:paraId="03E92615" w14:textId="77777777" w:rsidR="00863927" w:rsidRPr="00863927" w:rsidRDefault="00863927" w:rsidP="00863927">
      <w:pPr>
        <w:rPr>
          <w:b/>
          <w:bCs/>
          <w:sz w:val="32"/>
          <w:szCs w:val="32"/>
          <w:lang w:val="es-EC"/>
        </w:rPr>
      </w:pPr>
      <w:r w:rsidRPr="00863927">
        <w:rPr>
          <w:b/>
          <w:bCs/>
          <w:sz w:val="32"/>
          <w:szCs w:val="32"/>
          <w:lang w:val="es-EC"/>
        </w:rPr>
        <w:t>Viabilidad Económica</w:t>
      </w:r>
    </w:p>
    <w:p w14:paraId="5B43D556" w14:textId="77777777" w:rsidR="00E03EAD" w:rsidRPr="00E03EAD" w:rsidRDefault="00E03EAD" w:rsidP="00E03EAD">
      <w:pPr>
        <w:jc w:val="both"/>
        <w:rPr>
          <w:lang w:val="es-EC"/>
        </w:rPr>
      </w:pPr>
      <w:r w:rsidRPr="00E03EAD">
        <w:rPr>
          <w:lang w:val="es-EC"/>
        </w:rPr>
        <w:t xml:space="preserve">La evaluación de la viabilidad económica es un pilar fundamental para la concreción de este proyecto de infraestructura de telecomunicaciones. El costo total estimado, derivado de la suma de los materiales activos como el </w:t>
      </w:r>
      <w:proofErr w:type="spellStart"/>
      <w:r w:rsidRPr="00E03EAD">
        <w:rPr>
          <w:lang w:val="es-EC"/>
        </w:rPr>
        <w:t>router</w:t>
      </w:r>
      <w:proofErr w:type="spellEnd"/>
      <w:r w:rsidRPr="00E03EAD">
        <w:rPr>
          <w:lang w:val="es-EC"/>
        </w:rPr>
        <w:t xml:space="preserve"> de borde (Cisco ISR 4331) y los switches (Cisco </w:t>
      </w:r>
      <w:proofErr w:type="spellStart"/>
      <w:r w:rsidRPr="00E03EAD">
        <w:rPr>
          <w:lang w:val="es-EC"/>
        </w:rPr>
        <w:t>Catalyst</w:t>
      </w:r>
      <w:proofErr w:type="spellEnd"/>
      <w:r w:rsidRPr="00E03EAD">
        <w:rPr>
          <w:lang w:val="es-EC"/>
        </w:rPr>
        <w:t xml:space="preserve"> 1000 Series), junto con los componentes pasivos como los 900 metros de cable UTP Categoría 6, los racks, paneles de parcheo y las canaletas, asciende a un valor preliminar de $7,291.40. Esta cifra abarca el equipamiento tangible, constituyendo la base del presupuesto de inversión directa para el hardware y el cableado.</w:t>
      </w:r>
    </w:p>
    <w:p w14:paraId="1631360B" w14:textId="77777777" w:rsidR="00E03EAD" w:rsidRPr="00E03EAD" w:rsidRDefault="00E03EAD" w:rsidP="00E03EAD">
      <w:pPr>
        <w:jc w:val="both"/>
        <w:rPr>
          <w:lang w:val="es-EC"/>
        </w:rPr>
      </w:pPr>
      <w:r w:rsidRPr="00E03EAD">
        <w:rPr>
          <w:lang w:val="es-EC"/>
        </w:rPr>
        <w:t xml:space="preserve">Es crucial, sin embargo, considerar que un presupuesto integral va más allá de los materiales. La mano de obra e instalación representan un componente significativo, incluyendo salarios de técnicos, ingenieros y especialistas en cableado estructurado, cuyo </w:t>
      </w:r>
      <w:r w:rsidRPr="00E03EAD">
        <w:rPr>
          <w:lang w:val="es-EC"/>
        </w:rPr>
        <w:lastRenderedPageBreak/>
        <w:t>costo varía según la complejidad y el tiempo de ejecución. Adicionalmente, existen costos ocultos que, de no ser previstos, pueden generar brechas financieras importantes. Estos incluyen licencias de software para la gestión de equipos de red, la certificación profesional del cableado instalado para garantizar el cumplimiento de estándares (TIA/EIA, ISO/IEC), así como herramientas especializadas y equipos de prueba que, aunque se incluyeron algunas básicas, podrían requerir inversión adicional si no se dispone de un inventario completo.</w:t>
      </w:r>
    </w:p>
    <w:p w14:paraId="70717073" w14:textId="77777777" w:rsidR="00E03EAD" w:rsidRPr="00E03EAD" w:rsidRDefault="00E03EAD" w:rsidP="00E03EAD">
      <w:pPr>
        <w:jc w:val="both"/>
        <w:rPr>
          <w:lang w:val="es-EC"/>
        </w:rPr>
      </w:pPr>
      <w:r w:rsidRPr="00E03EAD">
        <w:rPr>
          <w:lang w:val="es-EC"/>
        </w:rPr>
        <w:t xml:space="preserve">Finalmente, si el análisis comparativo entre el costo total estimado y el presupuesto disponible revelara una brecha financiera, se deberá evaluar la posibilidad de ejecutar el proyecto por fases. Esta estrategia permitiría priorizar la implementación de los servicios más críticos (ej., conectividad de datos básica y </w:t>
      </w:r>
      <w:proofErr w:type="spellStart"/>
      <w:r w:rsidRPr="00E03EAD">
        <w:rPr>
          <w:lang w:val="es-EC"/>
        </w:rPr>
        <w:t>Wi</w:t>
      </w:r>
      <w:proofErr w:type="spellEnd"/>
      <w:r w:rsidRPr="00E03EAD">
        <w:rPr>
          <w:lang w:val="es-EC"/>
        </w:rPr>
        <w:t>-Fi en áreas clave) en una primera etapa, posponiendo servicios menos urgentes o ampliaciones de cobertura para fases posteriores, conforme se disponga de los recursos económicos necesarios. El presupuesto preliminar, detallado en formato Excel, servirá como herramienta base para este análisis financiero y la toma de decisiones estratégicas.</w:t>
      </w:r>
    </w:p>
    <w:p w14:paraId="3BB6FC4C" w14:textId="2AD2B798" w:rsidR="00863927" w:rsidRPr="00863927" w:rsidRDefault="00863927" w:rsidP="00863927">
      <w:pPr>
        <w:rPr>
          <w:lang w:val="es-EC"/>
        </w:rPr>
      </w:pPr>
    </w:p>
    <w:p w14:paraId="65FF4B70" w14:textId="77777777" w:rsidR="00863927" w:rsidRPr="00863927" w:rsidRDefault="00863927" w:rsidP="00863927">
      <w:pPr>
        <w:rPr>
          <w:b/>
          <w:bCs/>
          <w:sz w:val="32"/>
          <w:szCs w:val="32"/>
          <w:lang w:val="es-EC"/>
        </w:rPr>
      </w:pPr>
      <w:r w:rsidRPr="00863927">
        <w:rPr>
          <w:b/>
          <w:bCs/>
          <w:sz w:val="32"/>
          <w:szCs w:val="32"/>
          <w:lang w:val="es-EC"/>
        </w:rPr>
        <w:t>Viabilidad Operativa y de Mantenimiento</w:t>
      </w:r>
    </w:p>
    <w:p w14:paraId="658CD9E0" w14:textId="77777777" w:rsidR="00E03EAD" w:rsidRPr="00E03EAD" w:rsidRDefault="00E03EAD" w:rsidP="00E03EAD">
      <w:pPr>
        <w:jc w:val="both"/>
        <w:rPr>
          <w:lang w:val="es-EC"/>
        </w:rPr>
      </w:pPr>
      <w:r w:rsidRPr="00E03EAD">
        <w:rPr>
          <w:lang w:val="es-EC"/>
        </w:rPr>
        <w:t>La viabilidad operativa y de mantenimiento es un aspecto crítico para asegurar la longevidad y eficiencia de la infraestructura de red en el edificio de posgrado. Se ha diseñado la ubicación de los racks en el Cuarto de Telecomunicaciones Principal (CPD) y en los puntos de distribución de cada piso considerando no solo el acceso, sino también la ventilación adecuada para prevenir el sobrecalentamiento y garantizar el rendimiento óptimo de los equipos activos. La topología de Estrella Jerárquica seleccionada es inherentemente escalable, lo que facilita la adición de nuevos nodos y servicios sin interrupciones significativas, permitiendo que la red crezca a la par con las futuras necesidades de la universidad. Además, se pondrá un énfasis primordial en la creación de una documentación técnica clara y exhaustiva, incluyendo diagramas lógicos y físicos, listas de equipos, configuraciones y procedimientos, lo cual es indispensable para la gestión diaria y la resolución eficiente de cualquier incidente.</w:t>
      </w:r>
    </w:p>
    <w:p w14:paraId="03A7DC10" w14:textId="008EB0A4" w:rsidR="00863927" w:rsidRPr="00E03EAD" w:rsidRDefault="00E03EAD" w:rsidP="00E03EAD">
      <w:pPr>
        <w:jc w:val="both"/>
        <w:rPr>
          <w:lang w:val="es-EC"/>
        </w:rPr>
      </w:pPr>
      <w:r w:rsidRPr="00E03EAD">
        <w:rPr>
          <w:lang w:val="es-EC"/>
        </w:rPr>
        <w:t>Para que la red pueda operarse y ampliarse con facilidad, es fundamental que el cliente, la Universidad Técnica Estatal de Quevedo, cuente con personal capacitado para operar y mantener la infraestructura. Se recomienda la formación continua de dicho personal en la gestión de equipos Cisco y en las buenas prácticas de cableado estructurado. Los riesgos potenciales asociados a la operación incluyen la falta de personal cualificado, fallas en la gestión del cambio o deficiencias en el monitoreo. Por ello, las recomendaciones de mantenimiento incluyen el establecimiento de rutinas de monitoreo activo de la red, actualizaciones de firmware programadas para los equipos, y la implementación de un plan de contingencia para la gestión de incidencias, asegurando así la máxima disponibilidad y el rendimiento sostenible del sistema.</w:t>
      </w:r>
    </w:p>
    <w:tbl>
      <w:tblPr>
        <w:tblStyle w:val="Tablaconcuadrcula"/>
        <w:tblW w:w="0" w:type="auto"/>
        <w:tblLook w:val="04A0" w:firstRow="1" w:lastRow="0" w:firstColumn="1" w:lastColumn="0" w:noHBand="0" w:noVBand="1"/>
      </w:tblPr>
      <w:tblGrid>
        <w:gridCol w:w="1401"/>
        <w:gridCol w:w="1708"/>
        <w:gridCol w:w="1266"/>
        <w:gridCol w:w="4481"/>
      </w:tblGrid>
      <w:tr w:rsidR="00E03EAD" w:rsidRPr="00E03EAD" w14:paraId="735D60DA" w14:textId="77777777" w:rsidTr="00E03EAD">
        <w:tc>
          <w:tcPr>
            <w:tcW w:w="0" w:type="auto"/>
            <w:hideMark/>
          </w:tcPr>
          <w:p w14:paraId="5B95DB1F" w14:textId="77777777" w:rsidR="00E03EAD" w:rsidRPr="00E03EAD" w:rsidRDefault="00E03EAD" w:rsidP="00E03EAD">
            <w:pPr>
              <w:spacing w:after="200" w:line="276" w:lineRule="auto"/>
              <w:rPr>
                <w:b/>
                <w:bCs/>
                <w:lang w:val="es-EC"/>
              </w:rPr>
            </w:pPr>
            <w:r w:rsidRPr="00E03EAD">
              <w:rPr>
                <w:b/>
                <w:bCs/>
                <w:lang w:val="es-EC"/>
              </w:rPr>
              <w:lastRenderedPageBreak/>
              <w:t>Criterio</w:t>
            </w:r>
          </w:p>
        </w:tc>
        <w:tc>
          <w:tcPr>
            <w:tcW w:w="0" w:type="auto"/>
            <w:hideMark/>
          </w:tcPr>
          <w:p w14:paraId="1F042B2D" w14:textId="77777777" w:rsidR="00E03EAD" w:rsidRPr="00E03EAD" w:rsidRDefault="00E03EAD" w:rsidP="00E03EAD">
            <w:pPr>
              <w:spacing w:after="200" w:line="276" w:lineRule="auto"/>
              <w:rPr>
                <w:b/>
                <w:bCs/>
                <w:lang w:val="es-EC"/>
              </w:rPr>
            </w:pPr>
            <w:r w:rsidRPr="00E03EAD">
              <w:rPr>
                <w:b/>
                <w:bCs/>
                <w:lang w:val="es-EC"/>
              </w:rPr>
              <w:t>Descripción</w:t>
            </w:r>
          </w:p>
        </w:tc>
        <w:tc>
          <w:tcPr>
            <w:tcW w:w="0" w:type="auto"/>
            <w:hideMark/>
          </w:tcPr>
          <w:p w14:paraId="7DF91AEF" w14:textId="77777777" w:rsidR="00E03EAD" w:rsidRPr="00E03EAD" w:rsidRDefault="00E03EAD" w:rsidP="00E03EAD">
            <w:pPr>
              <w:spacing w:after="200" w:line="276" w:lineRule="auto"/>
              <w:rPr>
                <w:b/>
                <w:bCs/>
                <w:lang w:val="es-EC"/>
              </w:rPr>
            </w:pPr>
            <w:r w:rsidRPr="00E03EAD">
              <w:rPr>
                <w:b/>
                <w:bCs/>
                <w:lang w:val="es-EC"/>
              </w:rPr>
              <w:t>Resultado (</w:t>
            </w:r>
            <w:r w:rsidRPr="00E03EAD">
              <w:rPr>
                <w:rFonts w:ascii="Segoe UI Symbol" w:hAnsi="Segoe UI Symbol" w:cs="Segoe UI Symbol"/>
                <w:b/>
                <w:bCs/>
                <w:lang w:val="es-EC"/>
              </w:rPr>
              <w:t>✔</w:t>
            </w:r>
            <w:r w:rsidRPr="00E03EAD">
              <w:rPr>
                <w:b/>
                <w:bCs/>
                <w:lang w:val="es-EC"/>
              </w:rPr>
              <w:t>)</w:t>
            </w:r>
          </w:p>
        </w:tc>
        <w:tc>
          <w:tcPr>
            <w:tcW w:w="0" w:type="auto"/>
            <w:hideMark/>
          </w:tcPr>
          <w:p w14:paraId="588B4EDD" w14:textId="77777777" w:rsidR="00E03EAD" w:rsidRPr="00E03EAD" w:rsidRDefault="00E03EAD" w:rsidP="00E03EAD">
            <w:pPr>
              <w:spacing w:after="200" w:line="276" w:lineRule="auto"/>
              <w:rPr>
                <w:b/>
                <w:bCs/>
                <w:lang w:val="es-EC"/>
              </w:rPr>
            </w:pPr>
            <w:r w:rsidRPr="00E03EAD">
              <w:rPr>
                <w:b/>
                <w:bCs/>
                <w:lang w:val="es-EC"/>
              </w:rPr>
              <w:t>Justificación Breve</w:t>
            </w:r>
          </w:p>
        </w:tc>
      </w:tr>
      <w:tr w:rsidR="00E03EAD" w:rsidRPr="00E03EAD" w14:paraId="1DBA1F3E" w14:textId="77777777" w:rsidTr="00E03EAD">
        <w:tc>
          <w:tcPr>
            <w:tcW w:w="0" w:type="auto"/>
            <w:hideMark/>
          </w:tcPr>
          <w:p w14:paraId="605992F7" w14:textId="77777777" w:rsidR="00E03EAD" w:rsidRPr="00E03EAD" w:rsidRDefault="00E03EAD" w:rsidP="00E03EAD">
            <w:pPr>
              <w:spacing w:after="200" w:line="276" w:lineRule="auto"/>
              <w:rPr>
                <w:lang w:val="es-EC"/>
              </w:rPr>
            </w:pPr>
            <w:r w:rsidRPr="00E03EAD">
              <w:rPr>
                <w:b/>
                <w:bCs/>
                <w:lang w:val="es-EC"/>
              </w:rPr>
              <w:t>Viabilidad Técnica</w:t>
            </w:r>
          </w:p>
        </w:tc>
        <w:tc>
          <w:tcPr>
            <w:tcW w:w="0" w:type="auto"/>
            <w:hideMark/>
          </w:tcPr>
          <w:p w14:paraId="6767ECAA" w14:textId="77777777" w:rsidR="00E03EAD" w:rsidRPr="00E03EAD" w:rsidRDefault="00E03EAD" w:rsidP="00E03EAD">
            <w:pPr>
              <w:spacing w:after="200" w:line="276" w:lineRule="auto"/>
              <w:rPr>
                <w:lang w:val="es-EC"/>
              </w:rPr>
            </w:pPr>
            <w:r w:rsidRPr="00E03EAD">
              <w:rPr>
                <w:lang w:val="es-EC"/>
              </w:rPr>
              <w:t>¿Es físicamente viable con la tecnología disponible?</w:t>
            </w:r>
          </w:p>
        </w:tc>
        <w:tc>
          <w:tcPr>
            <w:tcW w:w="0" w:type="auto"/>
            <w:hideMark/>
          </w:tcPr>
          <w:p w14:paraId="18EF14EB" w14:textId="77777777" w:rsidR="00E03EAD" w:rsidRPr="00E03EAD" w:rsidRDefault="00E03EAD" w:rsidP="00E03EAD">
            <w:pPr>
              <w:spacing w:after="200" w:line="276" w:lineRule="auto"/>
              <w:rPr>
                <w:lang w:val="es-EC"/>
              </w:rPr>
            </w:pPr>
            <w:r w:rsidRPr="00E03EAD">
              <w:rPr>
                <w:rFonts w:ascii="Segoe UI Symbol" w:hAnsi="Segoe UI Symbol" w:cs="Segoe UI Symbol"/>
                <w:lang w:val="es-EC"/>
              </w:rPr>
              <w:t>✔</w:t>
            </w:r>
          </w:p>
        </w:tc>
        <w:tc>
          <w:tcPr>
            <w:tcW w:w="0" w:type="auto"/>
            <w:hideMark/>
          </w:tcPr>
          <w:p w14:paraId="27024913" w14:textId="77777777" w:rsidR="00E03EAD" w:rsidRPr="00E03EAD" w:rsidRDefault="00E03EAD" w:rsidP="00E03EAD">
            <w:pPr>
              <w:spacing w:after="200" w:line="276" w:lineRule="auto"/>
              <w:rPr>
                <w:lang w:val="es-EC"/>
              </w:rPr>
            </w:pPr>
            <w:r w:rsidRPr="00E03EAD">
              <w:rPr>
                <w:lang w:val="es-EC"/>
              </w:rPr>
              <w:t xml:space="preserve">El diseño de topología de Estrella Jerárquica es estándar y probado. Las distancias de cableado (fibra para </w:t>
            </w:r>
            <w:proofErr w:type="spellStart"/>
            <w:r w:rsidRPr="00E03EAD">
              <w:rPr>
                <w:lang w:val="es-EC"/>
              </w:rPr>
              <w:t>backbone</w:t>
            </w:r>
            <w:proofErr w:type="spellEnd"/>
            <w:r w:rsidRPr="00E03EAD">
              <w:rPr>
                <w:lang w:val="es-EC"/>
              </w:rPr>
              <w:t xml:space="preserve">, UTP Cat. 6 horizontal) cumplen con las normativas internacionales. Existe la tecnología (Cisco ISR 4331, </w:t>
            </w:r>
            <w:proofErr w:type="spellStart"/>
            <w:r w:rsidRPr="00E03EAD">
              <w:rPr>
                <w:lang w:val="es-EC"/>
              </w:rPr>
              <w:t>Catalyst</w:t>
            </w:r>
            <w:proofErr w:type="spellEnd"/>
            <w:r w:rsidRPr="00E03EAD">
              <w:rPr>
                <w:lang w:val="es-EC"/>
              </w:rPr>
              <w:t xml:space="preserve"> 1000 Series, </w:t>
            </w:r>
            <w:proofErr w:type="spellStart"/>
            <w:r w:rsidRPr="00E03EAD">
              <w:rPr>
                <w:lang w:val="es-EC"/>
              </w:rPr>
              <w:t>APs</w:t>
            </w:r>
            <w:proofErr w:type="spellEnd"/>
            <w:r w:rsidRPr="00E03EAD">
              <w:rPr>
                <w:lang w:val="es-EC"/>
              </w:rPr>
              <w:t xml:space="preserve"> </w:t>
            </w:r>
            <w:proofErr w:type="spellStart"/>
            <w:r w:rsidRPr="00E03EAD">
              <w:rPr>
                <w:lang w:val="es-EC"/>
              </w:rPr>
              <w:t>Wi</w:t>
            </w:r>
            <w:proofErr w:type="spellEnd"/>
            <w:r w:rsidRPr="00E03EAD">
              <w:rPr>
                <w:lang w:val="es-EC"/>
              </w:rPr>
              <w:t xml:space="preserve">-Fi 6) para implementar los servicios requeridos (voz, datos, CCTV, </w:t>
            </w:r>
            <w:proofErr w:type="spellStart"/>
            <w:r w:rsidRPr="00E03EAD">
              <w:rPr>
                <w:lang w:val="es-EC"/>
              </w:rPr>
              <w:t>Wi</w:t>
            </w:r>
            <w:proofErr w:type="spellEnd"/>
            <w:r w:rsidRPr="00E03EAD">
              <w:rPr>
                <w:lang w:val="es-EC"/>
              </w:rPr>
              <w:t>-Fi).</w:t>
            </w:r>
          </w:p>
        </w:tc>
      </w:tr>
      <w:tr w:rsidR="00E03EAD" w:rsidRPr="00E03EAD" w14:paraId="4A35A17F" w14:textId="77777777" w:rsidTr="00E03EAD">
        <w:tc>
          <w:tcPr>
            <w:tcW w:w="0" w:type="auto"/>
            <w:hideMark/>
          </w:tcPr>
          <w:p w14:paraId="084D4FFD" w14:textId="77777777" w:rsidR="00E03EAD" w:rsidRPr="00E03EAD" w:rsidRDefault="00E03EAD" w:rsidP="00E03EAD">
            <w:pPr>
              <w:spacing w:after="200" w:line="276" w:lineRule="auto"/>
              <w:rPr>
                <w:lang w:val="es-EC"/>
              </w:rPr>
            </w:pPr>
            <w:r w:rsidRPr="00E03EAD">
              <w:rPr>
                <w:b/>
                <w:bCs/>
                <w:lang w:val="es-EC"/>
              </w:rPr>
              <w:t>Viabilidad Económica</w:t>
            </w:r>
          </w:p>
        </w:tc>
        <w:tc>
          <w:tcPr>
            <w:tcW w:w="0" w:type="auto"/>
            <w:hideMark/>
          </w:tcPr>
          <w:p w14:paraId="190254CF" w14:textId="77777777" w:rsidR="00E03EAD" w:rsidRPr="00E03EAD" w:rsidRDefault="00E03EAD" w:rsidP="00E03EAD">
            <w:pPr>
              <w:spacing w:after="200" w:line="276" w:lineRule="auto"/>
              <w:rPr>
                <w:lang w:val="es-EC"/>
              </w:rPr>
            </w:pPr>
            <w:r w:rsidRPr="00E03EAD">
              <w:rPr>
                <w:lang w:val="es-EC"/>
              </w:rPr>
              <w:t>¿Se ajusta al presupuesto disponible?</w:t>
            </w:r>
          </w:p>
        </w:tc>
        <w:tc>
          <w:tcPr>
            <w:tcW w:w="0" w:type="auto"/>
            <w:hideMark/>
          </w:tcPr>
          <w:p w14:paraId="097C5003" w14:textId="77777777" w:rsidR="00E03EAD" w:rsidRPr="00E03EAD" w:rsidRDefault="00E03EAD" w:rsidP="00E03EAD">
            <w:pPr>
              <w:spacing w:after="200" w:line="276" w:lineRule="auto"/>
              <w:rPr>
                <w:lang w:val="es-EC"/>
              </w:rPr>
            </w:pPr>
            <w:r w:rsidRPr="00E03EAD">
              <w:rPr>
                <w:lang w:val="es-EC"/>
              </w:rPr>
              <w:t>En Revisión</w:t>
            </w:r>
          </w:p>
        </w:tc>
        <w:tc>
          <w:tcPr>
            <w:tcW w:w="0" w:type="auto"/>
            <w:hideMark/>
          </w:tcPr>
          <w:p w14:paraId="01162928" w14:textId="77777777" w:rsidR="00E03EAD" w:rsidRPr="00E03EAD" w:rsidRDefault="00E03EAD" w:rsidP="00E03EAD">
            <w:pPr>
              <w:spacing w:after="200" w:line="276" w:lineRule="auto"/>
              <w:rPr>
                <w:lang w:val="es-EC"/>
              </w:rPr>
            </w:pPr>
            <w:r w:rsidRPr="00E03EAD">
              <w:rPr>
                <w:lang w:val="es-EC"/>
              </w:rPr>
              <w:t>El costo total estimado de los materiales ($7,291.40) es un punto de partida. La viabilidad total depende de la disponibilidad del presupuesto universitario y de la inclusión de costos de mano de obra, instalación, licencias y certificación. Se recomienda un análisis de brecha financiera y posible ejecución por fases.</w:t>
            </w:r>
          </w:p>
        </w:tc>
      </w:tr>
      <w:tr w:rsidR="00E03EAD" w:rsidRPr="00E03EAD" w14:paraId="21C2BFC9" w14:textId="77777777" w:rsidTr="00E03EAD">
        <w:tc>
          <w:tcPr>
            <w:tcW w:w="0" w:type="auto"/>
            <w:hideMark/>
          </w:tcPr>
          <w:p w14:paraId="0681674C" w14:textId="77777777" w:rsidR="00E03EAD" w:rsidRPr="00E03EAD" w:rsidRDefault="00E03EAD" w:rsidP="00E03EAD">
            <w:pPr>
              <w:spacing w:after="200" w:line="276" w:lineRule="auto"/>
              <w:rPr>
                <w:lang w:val="es-EC"/>
              </w:rPr>
            </w:pPr>
            <w:r w:rsidRPr="00E03EAD">
              <w:rPr>
                <w:b/>
                <w:bCs/>
                <w:lang w:val="es-EC"/>
              </w:rPr>
              <w:t>Viabilidad Normativa</w:t>
            </w:r>
          </w:p>
        </w:tc>
        <w:tc>
          <w:tcPr>
            <w:tcW w:w="0" w:type="auto"/>
            <w:hideMark/>
          </w:tcPr>
          <w:p w14:paraId="2D648B9A" w14:textId="77777777" w:rsidR="00E03EAD" w:rsidRPr="00E03EAD" w:rsidRDefault="00E03EAD" w:rsidP="00E03EAD">
            <w:pPr>
              <w:spacing w:after="200" w:line="276" w:lineRule="auto"/>
              <w:rPr>
                <w:lang w:val="es-EC"/>
              </w:rPr>
            </w:pPr>
            <w:r w:rsidRPr="00E03EAD">
              <w:rPr>
                <w:lang w:val="es-EC"/>
              </w:rPr>
              <w:t>¿Cumple con reglamentos y estándares técnicos?</w:t>
            </w:r>
          </w:p>
        </w:tc>
        <w:tc>
          <w:tcPr>
            <w:tcW w:w="0" w:type="auto"/>
            <w:hideMark/>
          </w:tcPr>
          <w:p w14:paraId="054C673E" w14:textId="77777777" w:rsidR="00E03EAD" w:rsidRPr="00E03EAD" w:rsidRDefault="00E03EAD" w:rsidP="00E03EAD">
            <w:pPr>
              <w:spacing w:after="200" w:line="276" w:lineRule="auto"/>
              <w:rPr>
                <w:lang w:val="es-EC"/>
              </w:rPr>
            </w:pPr>
            <w:r w:rsidRPr="00E03EAD">
              <w:rPr>
                <w:rFonts w:ascii="Segoe UI Symbol" w:hAnsi="Segoe UI Symbol" w:cs="Segoe UI Symbol"/>
                <w:lang w:val="es-EC"/>
              </w:rPr>
              <w:t>✔</w:t>
            </w:r>
          </w:p>
        </w:tc>
        <w:tc>
          <w:tcPr>
            <w:tcW w:w="0" w:type="auto"/>
            <w:hideMark/>
          </w:tcPr>
          <w:p w14:paraId="5F217643" w14:textId="77777777" w:rsidR="00E03EAD" w:rsidRPr="00E03EAD" w:rsidRDefault="00E03EAD" w:rsidP="00E03EAD">
            <w:pPr>
              <w:spacing w:after="200" w:line="276" w:lineRule="auto"/>
              <w:rPr>
                <w:lang w:val="es-EC"/>
              </w:rPr>
            </w:pPr>
            <w:r w:rsidRPr="00E03EAD">
              <w:rPr>
                <w:lang w:val="es-EC"/>
              </w:rPr>
              <w:t>El diseño se adhiere a las normativas clave como el RICT (Reglamento de Infraestructuras Comunes de Telecomunicaciones) y los estándares TIA/EIA-568, TIA/EIA-606 e ISO/IEC 11801. Esto asegura la calidad, el rendimiento y la legalidad de la instalación del cableado estructurado y la selección de equipos.</w:t>
            </w:r>
          </w:p>
        </w:tc>
      </w:tr>
      <w:tr w:rsidR="00E03EAD" w:rsidRPr="00E03EAD" w14:paraId="41BF24A9" w14:textId="77777777" w:rsidTr="00E03EAD">
        <w:tc>
          <w:tcPr>
            <w:tcW w:w="0" w:type="auto"/>
            <w:hideMark/>
          </w:tcPr>
          <w:p w14:paraId="47443485" w14:textId="77777777" w:rsidR="00E03EAD" w:rsidRPr="00E03EAD" w:rsidRDefault="00E03EAD" w:rsidP="00E03EAD">
            <w:pPr>
              <w:spacing w:after="200" w:line="276" w:lineRule="auto"/>
              <w:rPr>
                <w:lang w:val="es-EC"/>
              </w:rPr>
            </w:pPr>
            <w:r w:rsidRPr="00E03EAD">
              <w:rPr>
                <w:b/>
                <w:bCs/>
                <w:lang w:val="es-EC"/>
              </w:rPr>
              <w:t>Viabilidad Operativa</w:t>
            </w:r>
          </w:p>
        </w:tc>
        <w:tc>
          <w:tcPr>
            <w:tcW w:w="0" w:type="auto"/>
            <w:hideMark/>
          </w:tcPr>
          <w:p w14:paraId="1E9FBC7E" w14:textId="77777777" w:rsidR="00E03EAD" w:rsidRPr="00E03EAD" w:rsidRDefault="00E03EAD" w:rsidP="00E03EAD">
            <w:pPr>
              <w:spacing w:after="200" w:line="276" w:lineRule="auto"/>
              <w:rPr>
                <w:lang w:val="es-EC"/>
              </w:rPr>
            </w:pPr>
            <w:r w:rsidRPr="00E03EAD">
              <w:rPr>
                <w:lang w:val="es-EC"/>
              </w:rPr>
              <w:t>¿Puede mantenerse y escalarse fácilmente?</w:t>
            </w:r>
          </w:p>
        </w:tc>
        <w:tc>
          <w:tcPr>
            <w:tcW w:w="0" w:type="auto"/>
            <w:hideMark/>
          </w:tcPr>
          <w:p w14:paraId="710EF002" w14:textId="77777777" w:rsidR="00E03EAD" w:rsidRPr="00E03EAD" w:rsidRDefault="00E03EAD" w:rsidP="00E03EAD">
            <w:pPr>
              <w:spacing w:after="200" w:line="276" w:lineRule="auto"/>
              <w:rPr>
                <w:lang w:val="es-EC"/>
              </w:rPr>
            </w:pPr>
            <w:r w:rsidRPr="00E03EAD">
              <w:rPr>
                <w:rFonts w:ascii="Segoe UI Symbol" w:hAnsi="Segoe UI Symbol" w:cs="Segoe UI Symbol"/>
                <w:lang w:val="es-EC"/>
              </w:rPr>
              <w:t>✔</w:t>
            </w:r>
          </w:p>
        </w:tc>
        <w:tc>
          <w:tcPr>
            <w:tcW w:w="0" w:type="auto"/>
            <w:hideMark/>
          </w:tcPr>
          <w:p w14:paraId="651A6C71" w14:textId="77777777" w:rsidR="00E03EAD" w:rsidRPr="00E03EAD" w:rsidRDefault="00E03EAD" w:rsidP="00E03EAD">
            <w:pPr>
              <w:spacing w:after="200" w:line="276" w:lineRule="auto"/>
              <w:rPr>
                <w:lang w:val="es-EC"/>
              </w:rPr>
            </w:pPr>
            <w:r w:rsidRPr="00E03EAD">
              <w:rPr>
                <w:lang w:val="es-EC"/>
              </w:rPr>
              <w:t>La topología jerárquica facilita la gestión y resolución de problemas. El diseño prevé la escalabilidad para futuros nodos y servicios. Se recomienda una documentación técnica exhaustiva y la capacitación del personal de la UTEQ para asegurar un mantenimiento y operación eficientes a largo plazo, minimizando riesgos operativos.</w:t>
            </w:r>
          </w:p>
        </w:tc>
      </w:tr>
    </w:tbl>
    <w:p w14:paraId="0C2B6D90" w14:textId="77777777" w:rsidR="00A20160" w:rsidRPr="00863927" w:rsidRDefault="00A20160">
      <w:pPr>
        <w:rPr>
          <w:lang w:val="es-EC"/>
        </w:rPr>
      </w:pPr>
    </w:p>
    <w:sectPr w:rsidR="00A20160" w:rsidRPr="00863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326A7E"/>
    <w:multiLevelType w:val="multilevel"/>
    <w:tmpl w:val="73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66151"/>
    <w:multiLevelType w:val="multilevel"/>
    <w:tmpl w:val="7C7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04AB6"/>
    <w:multiLevelType w:val="multilevel"/>
    <w:tmpl w:val="C19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434873">
    <w:abstractNumId w:val="8"/>
  </w:num>
  <w:num w:numId="2" w16cid:durableId="700014977">
    <w:abstractNumId w:val="6"/>
  </w:num>
  <w:num w:numId="3" w16cid:durableId="1017385762">
    <w:abstractNumId w:val="5"/>
  </w:num>
  <w:num w:numId="4" w16cid:durableId="59720515">
    <w:abstractNumId w:val="4"/>
  </w:num>
  <w:num w:numId="5" w16cid:durableId="1298728134">
    <w:abstractNumId w:val="7"/>
  </w:num>
  <w:num w:numId="6" w16cid:durableId="891188387">
    <w:abstractNumId w:val="3"/>
  </w:num>
  <w:num w:numId="7" w16cid:durableId="343092582">
    <w:abstractNumId w:val="2"/>
  </w:num>
  <w:num w:numId="8" w16cid:durableId="1649742388">
    <w:abstractNumId w:val="1"/>
  </w:num>
  <w:num w:numId="9" w16cid:durableId="510921086">
    <w:abstractNumId w:val="0"/>
  </w:num>
  <w:num w:numId="10" w16cid:durableId="1526553606">
    <w:abstractNumId w:val="10"/>
  </w:num>
  <w:num w:numId="11" w16cid:durableId="424693484">
    <w:abstractNumId w:val="11"/>
  </w:num>
  <w:num w:numId="12" w16cid:durableId="1648509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31"/>
    <w:rsid w:val="00034616"/>
    <w:rsid w:val="0006063C"/>
    <w:rsid w:val="000C7BF6"/>
    <w:rsid w:val="000C7BF9"/>
    <w:rsid w:val="0015074B"/>
    <w:rsid w:val="0029639D"/>
    <w:rsid w:val="00326F90"/>
    <w:rsid w:val="003271C3"/>
    <w:rsid w:val="004A6DCD"/>
    <w:rsid w:val="006457C5"/>
    <w:rsid w:val="006470DA"/>
    <w:rsid w:val="00863927"/>
    <w:rsid w:val="00920311"/>
    <w:rsid w:val="00A20160"/>
    <w:rsid w:val="00AA1D8D"/>
    <w:rsid w:val="00B47730"/>
    <w:rsid w:val="00CB0664"/>
    <w:rsid w:val="00E03EAD"/>
    <w:rsid w:val="00E16F7C"/>
    <w:rsid w:val="00E73A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AB04"/>
  <w14:defaultImageDpi w14:val="300"/>
  <w15:docId w15:val="{210D72BB-44C2-416B-9CE3-F28E56B5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537">
      <w:bodyDiv w:val="1"/>
      <w:marLeft w:val="0"/>
      <w:marRight w:val="0"/>
      <w:marTop w:val="0"/>
      <w:marBottom w:val="0"/>
      <w:divBdr>
        <w:top w:val="none" w:sz="0" w:space="0" w:color="auto"/>
        <w:left w:val="none" w:sz="0" w:space="0" w:color="auto"/>
        <w:bottom w:val="none" w:sz="0" w:space="0" w:color="auto"/>
        <w:right w:val="none" w:sz="0" w:space="0" w:color="auto"/>
      </w:divBdr>
    </w:div>
    <w:div w:id="15664785">
      <w:bodyDiv w:val="1"/>
      <w:marLeft w:val="0"/>
      <w:marRight w:val="0"/>
      <w:marTop w:val="0"/>
      <w:marBottom w:val="0"/>
      <w:divBdr>
        <w:top w:val="none" w:sz="0" w:space="0" w:color="auto"/>
        <w:left w:val="none" w:sz="0" w:space="0" w:color="auto"/>
        <w:bottom w:val="none" w:sz="0" w:space="0" w:color="auto"/>
        <w:right w:val="none" w:sz="0" w:space="0" w:color="auto"/>
      </w:divBdr>
      <w:divsChild>
        <w:div w:id="1359699797">
          <w:marLeft w:val="0"/>
          <w:marRight w:val="0"/>
          <w:marTop w:val="0"/>
          <w:marBottom w:val="0"/>
          <w:divBdr>
            <w:top w:val="none" w:sz="0" w:space="0" w:color="auto"/>
            <w:left w:val="none" w:sz="0" w:space="0" w:color="auto"/>
            <w:bottom w:val="none" w:sz="0" w:space="0" w:color="auto"/>
            <w:right w:val="none" w:sz="0" w:space="0" w:color="auto"/>
          </w:divBdr>
          <w:divsChild>
            <w:div w:id="789713923">
              <w:marLeft w:val="0"/>
              <w:marRight w:val="0"/>
              <w:marTop w:val="0"/>
              <w:marBottom w:val="0"/>
              <w:divBdr>
                <w:top w:val="none" w:sz="0" w:space="0" w:color="auto"/>
                <w:left w:val="none" w:sz="0" w:space="0" w:color="auto"/>
                <w:bottom w:val="none" w:sz="0" w:space="0" w:color="auto"/>
                <w:right w:val="none" w:sz="0" w:space="0" w:color="auto"/>
              </w:divBdr>
              <w:divsChild>
                <w:div w:id="1680230720">
                  <w:marLeft w:val="0"/>
                  <w:marRight w:val="0"/>
                  <w:marTop w:val="0"/>
                  <w:marBottom w:val="0"/>
                  <w:divBdr>
                    <w:top w:val="none" w:sz="0" w:space="0" w:color="auto"/>
                    <w:left w:val="none" w:sz="0" w:space="0" w:color="auto"/>
                    <w:bottom w:val="none" w:sz="0" w:space="0" w:color="auto"/>
                    <w:right w:val="none" w:sz="0" w:space="0" w:color="auto"/>
                  </w:divBdr>
                  <w:divsChild>
                    <w:div w:id="1773935507">
                      <w:marLeft w:val="0"/>
                      <w:marRight w:val="0"/>
                      <w:marTop w:val="0"/>
                      <w:marBottom w:val="0"/>
                      <w:divBdr>
                        <w:top w:val="none" w:sz="0" w:space="0" w:color="auto"/>
                        <w:left w:val="none" w:sz="0" w:space="0" w:color="auto"/>
                        <w:bottom w:val="none" w:sz="0" w:space="0" w:color="auto"/>
                        <w:right w:val="none" w:sz="0" w:space="0" w:color="auto"/>
                      </w:divBdr>
                      <w:divsChild>
                        <w:div w:id="2078166464">
                          <w:marLeft w:val="0"/>
                          <w:marRight w:val="0"/>
                          <w:marTop w:val="0"/>
                          <w:marBottom w:val="0"/>
                          <w:divBdr>
                            <w:top w:val="none" w:sz="0" w:space="0" w:color="auto"/>
                            <w:left w:val="none" w:sz="0" w:space="0" w:color="auto"/>
                            <w:bottom w:val="none" w:sz="0" w:space="0" w:color="auto"/>
                            <w:right w:val="none" w:sz="0" w:space="0" w:color="auto"/>
                          </w:divBdr>
                          <w:divsChild>
                            <w:div w:id="713844303">
                              <w:marLeft w:val="0"/>
                              <w:marRight w:val="0"/>
                              <w:marTop w:val="0"/>
                              <w:marBottom w:val="0"/>
                              <w:divBdr>
                                <w:top w:val="none" w:sz="0" w:space="0" w:color="auto"/>
                                <w:left w:val="none" w:sz="0" w:space="0" w:color="auto"/>
                                <w:bottom w:val="none" w:sz="0" w:space="0" w:color="auto"/>
                                <w:right w:val="none" w:sz="0" w:space="0" w:color="auto"/>
                              </w:divBdr>
                              <w:divsChild>
                                <w:div w:id="1725641949">
                                  <w:marLeft w:val="0"/>
                                  <w:marRight w:val="0"/>
                                  <w:marTop w:val="0"/>
                                  <w:marBottom w:val="0"/>
                                  <w:divBdr>
                                    <w:top w:val="none" w:sz="0" w:space="0" w:color="auto"/>
                                    <w:left w:val="none" w:sz="0" w:space="0" w:color="auto"/>
                                    <w:bottom w:val="none" w:sz="0" w:space="0" w:color="auto"/>
                                    <w:right w:val="none" w:sz="0" w:space="0" w:color="auto"/>
                                  </w:divBdr>
                                  <w:divsChild>
                                    <w:div w:id="17770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178671">
          <w:marLeft w:val="0"/>
          <w:marRight w:val="0"/>
          <w:marTop w:val="0"/>
          <w:marBottom w:val="0"/>
          <w:divBdr>
            <w:top w:val="none" w:sz="0" w:space="0" w:color="auto"/>
            <w:left w:val="none" w:sz="0" w:space="0" w:color="auto"/>
            <w:bottom w:val="none" w:sz="0" w:space="0" w:color="auto"/>
            <w:right w:val="none" w:sz="0" w:space="0" w:color="auto"/>
          </w:divBdr>
        </w:div>
      </w:divsChild>
    </w:div>
    <w:div w:id="25375686">
      <w:bodyDiv w:val="1"/>
      <w:marLeft w:val="0"/>
      <w:marRight w:val="0"/>
      <w:marTop w:val="0"/>
      <w:marBottom w:val="0"/>
      <w:divBdr>
        <w:top w:val="none" w:sz="0" w:space="0" w:color="auto"/>
        <w:left w:val="none" w:sz="0" w:space="0" w:color="auto"/>
        <w:bottom w:val="none" w:sz="0" w:space="0" w:color="auto"/>
        <w:right w:val="none" w:sz="0" w:space="0" w:color="auto"/>
      </w:divBdr>
    </w:div>
    <w:div w:id="122576453">
      <w:bodyDiv w:val="1"/>
      <w:marLeft w:val="0"/>
      <w:marRight w:val="0"/>
      <w:marTop w:val="0"/>
      <w:marBottom w:val="0"/>
      <w:divBdr>
        <w:top w:val="none" w:sz="0" w:space="0" w:color="auto"/>
        <w:left w:val="none" w:sz="0" w:space="0" w:color="auto"/>
        <w:bottom w:val="none" w:sz="0" w:space="0" w:color="auto"/>
        <w:right w:val="none" w:sz="0" w:space="0" w:color="auto"/>
      </w:divBdr>
    </w:div>
    <w:div w:id="324745575">
      <w:bodyDiv w:val="1"/>
      <w:marLeft w:val="0"/>
      <w:marRight w:val="0"/>
      <w:marTop w:val="0"/>
      <w:marBottom w:val="0"/>
      <w:divBdr>
        <w:top w:val="none" w:sz="0" w:space="0" w:color="auto"/>
        <w:left w:val="none" w:sz="0" w:space="0" w:color="auto"/>
        <w:bottom w:val="none" w:sz="0" w:space="0" w:color="auto"/>
        <w:right w:val="none" w:sz="0" w:space="0" w:color="auto"/>
      </w:divBdr>
    </w:div>
    <w:div w:id="407458268">
      <w:bodyDiv w:val="1"/>
      <w:marLeft w:val="0"/>
      <w:marRight w:val="0"/>
      <w:marTop w:val="0"/>
      <w:marBottom w:val="0"/>
      <w:divBdr>
        <w:top w:val="none" w:sz="0" w:space="0" w:color="auto"/>
        <w:left w:val="none" w:sz="0" w:space="0" w:color="auto"/>
        <w:bottom w:val="none" w:sz="0" w:space="0" w:color="auto"/>
        <w:right w:val="none" w:sz="0" w:space="0" w:color="auto"/>
      </w:divBdr>
    </w:div>
    <w:div w:id="419377702">
      <w:bodyDiv w:val="1"/>
      <w:marLeft w:val="0"/>
      <w:marRight w:val="0"/>
      <w:marTop w:val="0"/>
      <w:marBottom w:val="0"/>
      <w:divBdr>
        <w:top w:val="none" w:sz="0" w:space="0" w:color="auto"/>
        <w:left w:val="none" w:sz="0" w:space="0" w:color="auto"/>
        <w:bottom w:val="none" w:sz="0" w:space="0" w:color="auto"/>
        <w:right w:val="none" w:sz="0" w:space="0" w:color="auto"/>
      </w:divBdr>
    </w:div>
    <w:div w:id="420100722">
      <w:bodyDiv w:val="1"/>
      <w:marLeft w:val="0"/>
      <w:marRight w:val="0"/>
      <w:marTop w:val="0"/>
      <w:marBottom w:val="0"/>
      <w:divBdr>
        <w:top w:val="none" w:sz="0" w:space="0" w:color="auto"/>
        <w:left w:val="none" w:sz="0" w:space="0" w:color="auto"/>
        <w:bottom w:val="none" w:sz="0" w:space="0" w:color="auto"/>
        <w:right w:val="none" w:sz="0" w:space="0" w:color="auto"/>
      </w:divBdr>
      <w:divsChild>
        <w:div w:id="2024241381">
          <w:marLeft w:val="0"/>
          <w:marRight w:val="0"/>
          <w:marTop w:val="0"/>
          <w:marBottom w:val="0"/>
          <w:divBdr>
            <w:top w:val="none" w:sz="0" w:space="0" w:color="auto"/>
            <w:left w:val="none" w:sz="0" w:space="0" w:color="auto"/>
            <w:bottom w:val="none" w:sz="0" w:space="0" w:color="auto"/>
            <w:right w:val="none" w:sz="0" w:space="0" w:color="auto"/>
          </w:divBdr>
          <w:divsChild>
            <w:div w:id="1797022360">
              <w:marLeft w:val="0"/>
              <w:marRight w:val="0"/>
              <w:marTop w:val="0"/>
              <w:marBottom w:val="0"/>
              <w:divBdr>
                <w:top w:val="none" w:sz="0" w:space="0" w:color="auto"/>
                <w:left w:val="none" w:sz="0" w:space="0" w:color="auto"/>
                <w:bottom w:val="none" w:sz="0" w:space="0" w:color="auto"/>
                <w:right w:val="none" w:sz="0" w:space="0" w:color="auto"/>
              </w:divBdr>
              <w:divsChild>
                <w:div w:id="1334802106">
                  <w:marLeft w:val="0"/>
                  <w:marRight w:val="0"/>
                  <w:marTop w:val="0"/>
                  <w:marBottom w:val="0"/>
                  <w:divBdr>
                    <w:top w:val="none" w:sz="0" w:space="0" w:color="auto"/>
                    <w:left w:val="none" w:sz="0" w:space="0" w:color="auto"/>
                    <w:bottom w:val="none" w:sz="0" w:space="0" w:color="auto"/>
                    <w:right w:val="none" w:sz="0" w:space="0" w:color="auto"/>
                  </w:divBdr>
                  <w:divsChild>
                    <w:div w:id="1801915974">
                      <w:marLeft w:val="0"/>
                      <w:marRight w:val="0"/>
                      <w:marTop w:val="0"/>
                      <w:marBottom w:val="0"/>
                      <w:divBdr>
                        <w:top w:val="none" w:sz="0" w:space="0" w:color="auto"/>
                        <w:left w:val="none" w:sz="0" w:space="0" w:color="auto"/>
                        <w:bottom w:val="none" w:sz="0" w:space="0" w:color="auto"/>
                        <w:right w:val="none" w:sz="0" w:space="0" w:color="auto"/>
                      </w:divBdr>
                    </w:div>
                    <w:div w:id="4488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2064">
      <w:bodyDiv w:val="1"/>
      <w:marLeft w:val="0"/>
      <w:marRight w:val="0"/>
      <w:marTop w:val="0"/>
      <w:marBottom w:val="0"/>
      <w:divBdr>
        <w:top w:val="none" w:sz="0" w:space="0" w:color="auto"/>
        <w:left w:val="none" w:sz="0" w:space="0" w:color="auto"/>
        <w:bottom w:val="none" w:sz="0" w:space="0" w:color="auto"/>
        <w:right w:val="none" w:sz="0" w:space="0" w:color="auto"/>
      </w:divBdr>
    </w:div>
    <w:div w:id="750859029">
      <w:bodyDiv w:val="1"/>
      <w:marLeft w:val="0"/>
      <w:marRight w:val="0"/>
      <w:marTop w:val="0"/>
      <w:marBottom w:val="0"/>
      <w:divBdr>
        <w:top w:val="none" w:sz="0" w:space="0" w:color="auto"/>
        <w:left w:val="none" w:sz="0" w:space="0" w:color="auto"/>
        <w:bottom w:val="none" w:sz="0" w:space="0" w:color="auto"/>
        <w:right w:val="none" w:sz="0" w:space="0" w:color="auto"/>
      </w:divBdr>
    </w:div>
    <w:div w:id="852575931">
      <w:bodyDiv w:val="1"/>
      <w:marLeft w:val="0"/>
      <w:marRight w:val="0"/>
      <w:marTop w:val="0"/>
      <w:marBottom w:val="0"/>
      <w:divBdr>
        <w:top w:val="none" w:sz="0" w:space="0" w:color="auto"/>
        <w:left w:val="none" w:sz="0" w:space="0" w:color="auto"/>
        <w:bottom w:val="none" w:sz="0" w:space="0" w:color="auto"/>
        <w:right w:val="none" w:sz="0" w:space="0" w:color="auto"/>
      </w:divBdr>
    </w:div>
    <w:div w:id="905725551">
      <w:bodyDiv w:val="1"/>
      <w:marLeft w:val="0"/>
      <w:marRight w:val="0"/>
      <w:marTop w:val="0"/>
      <w:marBottom w:val="0"/>
      <w:divBdr>
        <w:top w:val="none" w:sz="0" w:space="0" w:color="auto"/>
        <w:left w:val="none" w:sz="0" w:space="0" w:color="auto"/>
        <w:bottom w:val="none" w:sz="0" w:space="0" w:color="auto"/>
        <w:right w:val="none" w:sz="0" w:space="0" w:color="auto"/>
      </w:divBdr>
    </w:div>
    <w:div w:id="906304599">
      <w:bodyDiv w:val="1"/>
      <w:marLeft w:val="0"/>
      <w:marRight w:val="0"/>
      <w:marTop w:val="0"/>
      <w:marBottom w:val="0"/>
      <w:divBdr>
        <w:top w:val="none" w:sz="0" w:space="0" w:color="auto"/>
        <w:left w:val="none" w:sz="0" w:space="0" w:color="auto"/>
        <w:bottom w:val="none" w:sz="0" w:space="0" w:color="auto"/>
        <w:right w:val="none" w:sz="0" w:space="0" w:color="auto"/>
      </w:divBdr>
    </w:div>
    <w:div w:id="924804161">
      <w:bodyDiv w:val="1"/>
      <w:marLeft w:val="0"/>
      <w:marRight w:val="0"/>
      <w:marTop w:val="0"/>
      <w:marBottom w:val="0"/>
      <w:divBdr>
        <w:top w:val="none" w:sz="0" w:space="0" w:color="auto"/>
        <w:left w:val="none" w:sz="0" w:space="0" w:color="auto"/>
        <w:bottom w:val="none" w:sz="0" w:space="0" w:color="auto"/>
        <w:right w:val="none" w:sz="0" w:space="0" w:color="auto"/>
      </w:divBdr>
    </w:div>
    <w:div w:id="1102721616">
      <w:bodyDiv w:val="1"/>
      <w:marLeft w:val="0"/>
      <w:marRight w:val="0"/>
      <w:marTop w:val="0"/>
      <w:marBottom w:val="0"/>
      <w:divBdr>
        <w:top w:val="none" w:sz="0" w:space="0" w:color="auto"/>
        <w:left w:val="none" w:sz="0" w:space="0" w:color="auto"/>
        <w:bottom w:val="none" w:sz="0" w:space="0" w:color="auto"/>
        <w:right w:val="none" w:sz="0" w:space="0" w:color="auto"/>
      </w:divBdr>
      <w:divsChild>
        <w:div w:id="2007245196">
          <w:marLeft w:val="0"/>
          <w:marRight w:val="0"/>
          <w:marTop w:val="0"/>
          <w:marBottom w:val="0"/>
          <w:divBdr>
            <w:top w:val="none" w:sz="0" w:space="0" w:color="auto"/>
            <w:left w:val="none" w:sz="0" w:space="0" w:color="auto"/>
            <w:bottom w:val="none" w:sz="0" w:space="0" w:color="auto"/>
            <w:right w:val="none" w:sz="0" w:space="0" w:color="auto"/>
          </w:divBdr>
          <w:divsChild>
            <w:div w:id="1424105077">
              <w:marLeft w:val="0"/>
              <w:marRight w:val="0"/>
              <w:marTop w:val="0"/>
              <w:marBottom w:val="0"/>
              <w:divBdr>
                <w:top w:val="none" w:sz="0" w:space="0" w:color="auto"/>
                <w:left w:val="none" w:sz="0" w:space="0" w:color="auto"/>
                <w:bottom w:val="none" w:sz="0" w:space="0" w:color="auto"/>
                <w:right w:val="none" w:sz="0" w:space="0" w:color="auto"/>
              </w:divBdr>
              <w:divsChild>
                <w:div w:id="482745088">
                  <w:marLeft w:val="0"/>
                  <w:marRight w:val="0"/>
                  <w:marTop w:val="0"/>
                  <w:marBottom w:val="0"/>
                  <w:divBdr>
                    <w:top w:val="none" w:sz="0" w:space="0" w:color="auto"/>
                    <w:left w:val="none" w:sz="0" w:space="0" w:color="auto"/>
                    <w:bottom w:val="none" w:sz="0" w:space="0" w:color="auto"/>
                    <w:right w:val="none" w:sz="0" w:space="0" w:color="auto"/>
                  </w:divBdr>
                  <w:divsChild>
                    <w:div w:id="2040617434">
                      <w:marLeft w:val="0"/>
                      <w:marRight w:val="0"/>
                      <w:marTop w:val="0"/>
                      <w:marBottom w:val="0"/>
                      <w:divBdr>
                        <w:top w:val="none" w:sz="0" w:space="0" w:color="auto"/>
                        <w:left w:val="none" w:sz="0" w:space="0" w:color="auto"/>
                        <w:bottom w:val="none" w:sz="0" w:space="0" w:color="auto"/>
                        <w:right w:val="none" w:sz="0" w:space="0" w:color="auto"/>
                      </w:divBdr>
                      <w:divsChild>
                        <w:div w:id="1556425477">
                          <w:marLeft w:val="0"/>
                          <w:marRight w:val="0"/>
                          <w:marTop w:val="0"/>
                          <w:marBottom w:val="0"/>
                          <w:divBdr>
                            <w:top w:val="none" w:sz="0" w:space="0" w:color="auto"/>
                            <w:left w:val="none" w:sz="0" w:space="0" w:color="auto"/>
                            <w:bottom w:val="none" w:sz="0" w:space="0" w:color="auto"/>
                            <w:right w:val="none" w:sz="0" w:space="0" w:color="auto"/>
                          </w:divBdr>
                          <w:divsChild>
                            <w:div w:id="1425148284">
                              <w:marLeft w:val="0"/>
                              <w:marRight w:val="0"/>
                              <w:marTop w:val="0"/>
                              <w:marBottom w:val="0"/>
                              <w:divBdr>
                                <w:top w:val="none" w:sz="0" w:space="0" w:color="auto"/>
                                <w:left w:val="none" w:sz="0" w:space="0" w:color="auto"/>
                                <w:bottom w:val="none" w:sz="0" w:space="0" w:color="auto"/>
                                <w:right w:val="none" w:sz="0" w:space="0" w:color="auto"/>
                              </w:divBdr>
                              <w:divsChild>
                                <w:div w:id="2050181541">
                                  <w:marLeft w:val="0"/>
                                  <w:marRight w:val="0"/>
                                  <w:marTop w:val="0"/>
                                  <w:marBottom w:val="0"/>
                                  <w:divBdr>
                                    <w:top w:val="none" w:sz="0" w:space="0" w:color="auto"/>
                                    <w:left w:val="none" w:sz="0" w:space="0" w:color="auto"/>
                                    <w:bottom w:val="none" w:sz="0" w:space="0" w:color="auto"/>
                                    <w:right w:val="none" w:sz="0" w:space="0" w:color="auto"/>
                                  </w:divBdr>
                                  <w:divsChild>
                                    <w:div w:id="1624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507">
          <w:marLeft w:val="0"/>
          <w:marRight w:val="0"/>
          <w:marTop w:val="0"/>
          <w:marBottom w:val="0"/>
          <w:divBdr>
            <w:top w:val="none" w:sz="0" w:space="0" w:color="auto"/>
            <w:left w:val="none" w:sz="0" w:space="0" w:color="auto"/>
            <w:bottom w:val="none" w:sz="0" w:space="0" w:color="auto"/>
            <w:right w:val="none" w:sz="0" w:space="0" w:color="auto"/>
          </w:divBdr>
        </w:div>
      </w:divsChild>
    </w:div>
    <w:div w:id="1513954930">
      <w:bodyDiv w:val="1"/>
      <w:marLeft w:val="0"/>
      <w:marRight w:val="0"/>
      <w:marTop w:val="0"/>
      <w:marBottom w:val="0"/>
      <w:divBdr>
        <w:top w:val="none" w:sz="0" w:space="0" w:color="auto"/>
        <w:left w:val="none" w:sz="0" w:space="0" w:color="auto"/>
        <w:bottom w:val="none" w:sz="0" w:space="0" w:color="auto"/>
        <w:right w:val="none" w:sz="0" w:space="0" w:color="auto"/>
      </w:divBdr>
    </w:div>
    <w:div w:id="1623340673">
      <w:bodyDiv w:val="1"/>
      <w:marLeft w:val="0"/>
      <w:marRight w:val="0"/>
      <w:marTop w:val="0"/>
      <w:marBottom w:val="0"/>
      <w:divBdr>
        <w:top w:val="none" w:sz="0" w:space="0" w:color="auto"/>
        <w:left w:val="none" w:sz="0" w:space="0" w:color="auto"/>
        <w:bottom w:val="none" w:sz="0" w:space="0" w:color="auto"/>
        <w:right w:val="none" w:sz="0" w:space="0" w:color="auto"/>
      </w:divBdr>
    </w:div>
    <w:div w:id="1643581893">
      <w:bodyDiv w:val="1"/>
      <w:marLeft w:val="0"/>
      <w:marRight w:val="0"/>
      <w:marTop w:val="0"/>
      <w:marBottom w:val="0"/>
      <w:divBdr>
        <w:top w:val="none" w:sz="0" w:space="0" w:color="auto"/>
        <w:left w:val="none" w:sz="0" w:space="0" w:color="auto"/>
        <w:bottom w:val="none" w:sz="0" w:space="0" w:color="auto"/>
        <w:right w:val="none" w:sz="0" w:space="0" w:color="auto"/>
      </w:divBdr>
    </w:div>
    <w:div w:id="1660425187">
      <w:bodyDiv w:val="1"/>
      <w:marLeft w:val="0"/>
      <w:marRight w:val="0"/>
      <w:marTop w:val="0"/>
      <w:marBottom w:val="0"/>
      <w:divBdr>
        <w:top w:val="none" w:sz="0" w:space="0" w:color="auto"/>
        <w:left w:val="none" w:sz="0" w:space="0" w:color="auto"/>
        <w:bottom w:val="none" w:sz="0" w:space="0" w:color="auto"/>
        <w:right w:val="none" w:sz="0" w:space="0" w:color="auto"/>
      </w:divBdr>
      <w:divsChild>
        <w:div w:id="1559973859">
          <w:marLeft w:val="0"/>
          <w:marRight w:val="0"/>
          <w:marTop w:val="0"/>
          <w:marBottom w:val="0"/>
          <w:divBdr>
            <w:top w:val="none" w:sz="0" w:space="0" w:color="auto"/>
            <w:left w:val="none" w:sz="0" w:space="0" w:color="auto"/>
            <w:bottom w:val="none" w:sz="0" w:space="0" w:color="auto"/>
            <w:right w:val="none" w:sz="0" w:space="0" w:color="auto"/>
          </w:divBdr>
          <w:divsChild>
            <w:div w:id="899361157">
              <w:marLeft w:val="0"/>
              <w:marRight w:val="0"/>
              <w:marTop w:val="0"/>
              <w:marBottom w:val="0"/>
              <w:divBdr>
                <w:top w:val="none" w:sz="0" w:space="0" w:color="auto"/>
                <w:left w:val="none" w:sz="0" w:space="0" w:color="auto"/>
                <w:bottom w:val="none" w:sz="0" w:space="0" w:color="auto"/>
                <w:right w:val="none" w:sz="0" w:space="0" w:color="auto"/>
              </w:divBdr>
              <w:divsChild>
                <w:div w:id="1396706062">
                  <w:marLeft w:val="0"/>
                  <w:marRight w:val="0"/>
                  <w:marTop w:val="0"/>
                  <w:marBottom w:val="0"/>
                  <w:divBdr>
                    <w:top w:val="none" w:sz="0" w:space="0" w:color="auto"/>
                    <w:left w:val="none" w:sz="0" w:space="0" w:color="auto"/>
                    <w:bottom w:val="none" w:sz="0" w:space="0" w:color="auto"/>
                    <w:right w:val="none" w:sz="0" w:space="0" w:color="auto"/>
                  </w:divBdr>
                  <w:divsChild>
                    <w:div w:id="3016578">
                      <w:marLeft w:val="0"/>
                      <w:marRight w:val="0"/>
                      <w:marTop w:val="0"/>
                      <w:marBottom w:val="0"/>
                      <w:divBdr>
                        <w:top w:val="none" w:sz="0" w:space="0" w:color="auto"/>
                        <w:left w:val="none" w:sz="0" w:space="0" w:color="auto"/>
                        <w:bottom w:val="none" w:sz="0" w:space="0" w:color="auto"/>
                        <w:right w:val="none" w:sz="0" w:space="0" w:color="auto"/>
                      </w:divBdr>
                    </w:div>
                    <w:div w:id="958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328121">
      <w:bodyDiv w:val="1"/>
      <w:marLeft w:val="0"/>
      <w:marRight w:val="0"/>
      <w:marTop w:val="0"/>
      <w:marBottom w:val="0"/>
      <w:divBdr>
        <w:top w:val="none" w:sz="0" w:space="0" w:color="auto"/>
        <w:left w:val="none" w:sz="0" w:space="0" w:color="auto"/>
        <w:bottom w:val="none" w:sz="0" w:space="0" w:color="auto"/>
        <w:right w:val="none" w:sz="0" w:space="0" w:color="auto"/>
      </w:divBdr>
    </w:div>
    <w:div w:id="1814054677">
      <w:bodyDiv w:val="1"/>
      <w:marLeft w:val="0"/>
      <w:marRight w:val="0"/>
      <w:marTop w:val="0"/>
      <w:marBottom w:val="0"/>
      <w:divBdr>
        <w:top w:val="none" w:sz="0" w:space="0" w:color="auto"/>
        <w:left w:val="none" w:sz="0" w:space="0" w:color="auto"/>
        <w:bottom w:val="none" w:sz="0" w:space="0" w:color="auto"/>
        <w:right w:val="none" w:sz="0" w:space="0" w:color="auto"/>
      </w:divBdr>
      <w:divsChild>
        <w:div w:id="1703431713">
          <w:marLeft w:val="0"/>
          <w:marRight w:val="0"/>
          <w:marTop w:val="0"/>
          <w:marBottom w:val="0"/>
          <w:divBdr>
            <w:top w:val="none" w:sz="0" w:space="0" w:color="auto"/>
            <w:left w:val="none" w:sz="0" w:space="0" w:color="auto"/>
            <w:bottom w:val="none" w:sz="0" w:space="0" w:color="auto"/>
            <w:right w:val="none" w:sz="0" w:space="0" w:color="auto"/>
          </w:divBdr>
          <w:divsChild>
            <w:div w:id="790561441">
              <w:marLeft w:val="0"/>
              <w:marRight w:val="0"/>
              <w:marTop w:val="0"/>
              <w:marBottom w:val="0"/>
              <w:divBdr>
                <w:top w:val="none" w:sz="0" w:space="0" w:color="auto"/>
                <w:left w:val="none" w:sz="0" w:space="0" w:color="auto"/>
                <w:bottom w:val="none" w:sz="0" w:space="0" w:color="auto"/>
                <w:right w:val="none" w:sz="0" w:space="0" w:color="auto"/>
              </w:divBdr>
              <w:divsChild>
                <w:div w:id="6102746">
                  <w:marLeft w:val="0"/>
                  <w:marRight w:val="0"/>
                  <w:marTop w:val="0"/>
                  <w:marBottom w:val="0"/>
                  <w:divBdr>
                    <w:top w:val="none" w:sz="0" w:space="0" w:color="auto"/>
                    <w:left w:val="none" w:sz="0" w:space="0" w:color="auto"/>
                    <w:bottom w:val="none" w:sz="0" w:space="0" w:color="auto"/>
                    <w:right w:val="none" w:sz="0" w:space="0" w:color="auto"/>
                  </w:divBdr>
                  <w:divsChild>
                    <w:div w:id="444078522">
                      <w:marLeft w:val="0"/>
                      <w:marRight w:val="0"/>
                      <w:marTop w:val="0"/>
                      <w:marBottom w:val="0"/>
                      <w:divBdr>
                        <w:top w:val="none" w:sz="0" w:space="0" w:color="auto"/>
                        <w:left w:val="none" w:sz="0" w:space="0" w:color="auto"/>
                        <w:bottom w:val="none" w:sz="0" w:space="0" w:color="auto"/>
                        <w:right w:val="none" w:sz="0" w:space="0" w:color="auto"/>
                      </w:divBdr>
                      <w:divsChild>
                        <w:div w:id="40447490">
                          <w:marLeft w:val="0"/>
                          <w:marRight w:val="0"/>
                          <w:marTop w:val="0"/>
                          <w:marBottom w:val="0"/>
                          <w:divBdr>
                            <w:top w:val="none" w:sz="0" w:space="0" w:color="auto"/>
                            <w:left w:val="none" w:sz="0" w:space="0" w:color="auto"/>
                            <w:bottom w:val="none" w:sz="0" w:space="0" w:color="auto"/>
                            <w:right w:val="none" w:sz="0" w:space="0" w:color="auto"/>
                          </w:divBdr>
                          <w:divsChild>
                            <w:div w:id="31610582">
                              <w:marLeft w:val="0"/>
                              <w:marRight w:val="0"/>
                              <w:marTop w:val="0"/>
                              <w:marBottom w:val="0"/>
                              <w:divBdr>
                                <w:top w:val="none" w:sz="0" w:space="0" w:color="auto"/>
                                <w:left w:val="none" w:sz="0" w:space="0" w:color="auto"/>
                                <w:bottom w:val="none" w:sz="0" w:space="0" w:color="auto"/>
                                <w:right w:val="none" w:sz="0" w:space="0" w:color="auto"/>
                              </w:divBdr>
                              <w:divsChild>
                                <w:div w:id="1439833153">
                                  <w:marLeft w:val="0"/>
                                  <w:marRight w:val="0"/>
                                  <w:marTop w:val="0"/>
                                  <w:marBottom w:val="0"/>
                                  <w:divBdr>
                                    <w:top w:val="none" w:sz="0" w:space="0" w:color="auto"/>
                                    <w:left w:val="none" w:sz="0" w:space="0" w:color="auto"/>
                                    <w:bottom w:val="none" w:sz="0" w:space="0" w:color="auto"/>
                                    <w:right w:val="none" w:sz="0" w:space="0" w:color="auto"/>
                                  </w:divBdr>
                                  <w:divsChild>
                                    <w:div w:id="20695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889775">
          <w:marLeft w:val="0"/>
          <w:marRight w:val="0"/>
          <w:marTop w:val="0"/>
          <w:marBottom w:val="0"/>
          <w:divBdr>
            <w:top w:val="none" w:sz="0" w:space="0" w:color="auto"/>
            <w:left w:val="none" w:sz="0" w:space="0" w:color="auto"/>
            <w:bottom w:val="none" w:sz="0" w:space="0" w:color="auto"/>
            <w:right w:val="none" w:sz="0" w:space="0" w:color="auto"/>
          </w:divBdr>
        </w:div>
      </w:divsChild>
    </w:div>
    <w:div w:id="1869292180">
      <w:bodyDiv w:val="1"/>
      <w:marLeft w:val="0"/>
      <w:marRight w:val="0"/>
      <w:marTop w:val="0"/>
      <w:marBottom w:val="0"/>
      <w:divBdr>
        <w:top w:val="none" w:sz="0" w:space="0" w:color="auto"/>
        <w:left w:val="none" w:sz="0" w:space="0" w:color="auto"/>
        <w:bottom w:val="none" w:sz="0" w:space="0" w:color="auto"/>
        <w:right w:val="none" w:sz="0" w:space="0" w:color="auto"/>
      </w:divBdr>
    </w:div>
    <w:div w:id="1932011614">
      <w:bodyDiv w:val="1"/>
      <w:marLeft w:val="0"/>
      <w:marRight w:val="0"/>
      <w:marTop w:val="0"/>
      <w:marBottom w:val="0"/>
      <w:divBdr>
        <w:top w:val="none" w:sz="0" w:space="0" w:color="auto"/>
        <w:left w:val="none" w:sz="0" w:space="0" w:color="auto"/>
        <w:bottom w:val="none" w:sz="0" w:space="0" w:color="auto"/>
        <w:right w:val="none" w:sz="0" w:space="0" w:color="auto"/>
      </w:divBdr>
    </w:div>
    <w:div w:id="2120641219">
      <w:bodyDiv w:val="1"/>
      <w:marLeft w:val="0"/>
      <w:marRight w:val="0"/>
      <w:marTop w:val="0"/>
      <w:marBottom w:val="0"/>
      <w:divBdr>
        <w:top w:val="none" w:sz="0" w:space="0" w:color="auto"/>
        <w:left w:val="none" w:sz="0" w:space="0" w:color="auto"/>
        <w:bottom w:val="none" w:sz="0" w:space="0" w:color="auto"/>
        <w:right w:val="none" w:sz="0" w:space="0" w:color="auto"/>
      </w:divBdr>
      <w:divsChild>
        <w:div w:id="388456331">
          <w:marLeft w:val="0"/>
          <w:marRight w:val="0"/>
          <w:marTop w:val="0"/>
          <w:marBottom w:val="0"/>
          <w:divBdr>
            <w:top w:val="none" w:sz="0" w:space="0" w:color="auto"/>
            <w:left w:val="none" w:sz="0" w:space="0" w:color="auto"/>
            <w:bottom w:val="none" w:sz="0" w:space="0" w:color="auto"/>
            <w:right w:val="none" w:sz="0" w:space="0" w:color="auto"/>
          </w:divBdr>
          <w:divsChild>
            <w:div w:id="1804226696">
              <w:marLeft w:val="0"/>
              <w:marRight w:val="0"/>
              <w:marTop w:val="0"/>
              <w:marBottom w:val="0"/>
              <w:divBdr>
                <w:top w:val="none" w:sz="0" w:space="0" w:color="auto"/>
                <w:left w:val="none" w:sz="0" w:space="0" w:color="auto"/>
                <w:bottom w:val="none" w:sz="0" w:space="0" w:color="auto"/>
                <w:right w:val="none" w:sz="0" w:space="0" w:color="auto"/>
              </w:divBdr>
              <w:divsChild>
                <w:div w:id="799957852">
                  <w:marLeft w:val="0"/>
                  <w:marRight w:val="0"/>
                  <w:marTop w:val="0"/>
                  <w:marBottom w:val="0"/>
                  <w:divBdr>
                    <w:top w:val="none" w:sz="0" w:space="0" w:color="auto"/>
                    <w:left w:val="none" w:sz="0" w:space="0" w:color="auto"/>
                    <w:bottom w:val="none" w:sz="0" w:space="0" w:color="auto"/>
                    <w:right w:val="none" w:sz="0" w:space="0" w:color="auto"/>
                  </w:divBdr>
                  <w:divsChild>
                    <w:div w:id="563029343">
                      <w:marLeft w:val="0"/>
                      <w:marRight w:val="0"/>
                      <w:marTop w:val="0"/>
                      <w:marBottom w:val="0"/>
                      <w:divBdr>
                        <w:top w:val="none" w:sz="0" w:space="0" w:color="auto"/>
                        <w:left w:val="none" w:sz="0" w:space="0" w:color="auto"/>
                        <w:bottom w:val="none" w:sz="0" w:space="0" w:color="auto"/>
                        <w:right w:val="none" w:sz="0" w:space="0" w:color="auto"/>
                      </w:divBdr>
                      <w:divsChild>
                        <w:div w:id="153952599">
                          <w:marLeft w:val="0"/>
                          <w:marRight w:val="0"/>
                          <w:marTop w:val="0"/>
                          <w:marBottom w:val="0"/>
                          <w:divBdr>
                            <w:top w:val="none" w:sz="0" w:space="0" w:color="auto"/>
                            <w:left w:val="none" w:sz="0" w:space="0" w:color="auto"/>
                            <w:bottom w:val="none" w:sz="0" w:space="0" w:color="auto"/>
                            <w:right w:val="none" w:sz="0" w:space="0" w:color="auto"/>
                          </w:divBdr>
                          <w:divsChild>
                            <w:div w:id="266472659">
                              <w:marLeft w:val="0"/>
                              <w:marRight w:val="0"/>
                              <w:marTop w:val="0"/>
                              <w:marBottom w:val="0"/>
                              <w:divBdr>
                                <w:top w:val="none" w:sz="0" w:space="0" w:color="auto"/>
                                <w:left w:val="none" w:sz="0" w:space="0" w:color="auto"/>
                                <w:bottom w:val="none" w:sz="0" w:space="0" w:color="auto"/>
                                <w:right w:val="none" w:sz="0" w:space="0" w:color="auto"/>
                              </w:divBdr>
                              <w:divsChild>
                                <w:div w:id="2087342830">
                                  <w:marLeft w:val="0"/>
                                  <w:marRight w:val="0"/>
                                  <w:marTop w:val="0"/>
                                  <w:marBottom w:val="0"/>
                                  <w:divBdr>
                                    <w:top w:val="none" w:sz="0" w:space="0" w:color="auto"/>
                                    <w:left w:val="none" w:sz="0" w:space="0" w:color="auto"/>
                                    <w:bottom w:val="none" w:sz="0" w:space="0" w:color="auto"/>
                                    <w:right w:val="none" w:sz="0" w:space="0" w:color="auto"/>
                                  </w:divBdr>
                                  <w:divsChild>
                                    <w:div w:id="4027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21639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1167</Words>
  <Characters>6424</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Kushiro Morales</cp:lastModifiedBy>
  <cp:revision>9</cp:revision>
  <cp:lastPrinted>2025-07-20T01:38:00Z</cp:lastPrinted>
  <dcterms:created xsi:type="dcterms:W3CDTF">2013-12-23T23:15:00Z</dcterms:created>
  <dcterms:modified xsi:type="dcterms:W3CDTF">2025-07-20T01:44:00Z</dcterms:modified>
  <cp:category/>
</cp:coreProperties>
</file>