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DAB0" w14:textId="77777777" w:rsidR="00714188" w:rsidRDefault="00714188" w:rsidP="00714188">
      <w:bookmarkStart w:id="0" w:name="_Hlk202286954"/>
      <w:r>
        <w:t>MODELO CUALITATIVO</w:t>
      </w:r>
    </w:p>
    <w:p w14:paraId="54CD84C6" w14:textId="77777777" w:rsidR="00714188" w:rsidRDefault="00714188" w:rsidP="00714188">
      <w:r>
        <w:t xml:space="preserve"> INTELIGENCIA ARTIFICIAL GENERATIVA </w:t>
      </w:r>
    </w:p>
    <w:p w14:paraId="451D838B" w14:textId="77777777" w:rsidR="00714188" w:rsidRDefault="00714188" w:rsidP="00714188">
      <w:r>
        <w:t>DISEÑO DE INTERFACES EDUCATIVAS</w:t>
      </w:r>
    </w:p>
    <w:p w14:paraId="54726630" w14:textId="77C63BEA" w:rsidR="00714188" w:rsidRDefault="00714188" w:rsidP="00714188">
      <w:r>
        <w:t>TRIGONOMETRÍA</w:t>
      </w:r>
    </w:p>
    <w:p w14:paraId="595CB5AC" w14:textId="467DAEF0" w:rsidR="00714188" w:rsidRDefault="00714188" w:rsidP="00714188">
      <w:r w:rsidRPr="00553357">
        <w:t>aplicación web</w:t>
      </w:r>
    </w:p>
    <w:p w14:paraId="55A8BCC8" w14:textId="3B454D94" w:rsidR="00714188" w:rsidRDefault="00714188" w:rsidP="00714188">
      <w:r w:rsidRPr="00553357">
        <w:t>software educativo</w:t>
      </w:r>
    </w:p>
    <w:p w14:paraId="2C3AD4E5" w14:textId="1F06B84D" w:rsidR="00714188" w:rsidRDefault="00714188" w:rsidP="00714188">
      <w:r w:rsidRPr="00553357">
        <w:t>Interfaz de Programación de Aplicación</w:t>
      </w:r>
      <w:r>
        <w:t xml:space="preserve"> (api)</w:t>
      </w:r>
    </w:p>
    <w:p w14:paraId="36F613EF" w14:textId="1A2D68A5" w:rsidR="00714188" w:rsidRDefault="00714188" w:rsidP="00714188">
      <w:r w:rsidRPr="00553357">
        <w:t>usabilidad</w:t>
      </w:r>
    </w:p>
    <w:bookmarkEnd w:id="0"/>
    <w:p w14:paraId="47DA09E3" w14:textId="77777777" w:rsidR="00645869" w:rsidRPr="00645869" w:rsidRDefault="00645869" w:rsidP="00645869">
      <w:pPr>
        <w:rPr>
          <w:b/>
          <w:bCs/>
        </w:rPr>
      </w:pPr>
      <w:r w:rsidRPr="00645869">
        <w:rPr>
          <w:b/>
          <w:bCs/>
        </w:rPr>
        <w:t>2.1. Marco Conceptual</w:t>
      </w:r>
    </w:p>
    <w:p w14:paraId="12BA2CF9" w14:textId="77777777" w:rsidR="00645869" w:rsidRPr="00645869" w:rsidRDefault="00645869" w:rsidP="00645869">
      <w:r w:rsidRPr="00645869">
        <w:t>El presente marco conceptual define y contextualiza los términos esenciales que fundamentan el desarrollo del "MODELO CUALITATIVO BASADO EN INTELIGENCIA ARTIFICIAL GENERATIVA PARA EL DISEÑO DE INTERFACES EDUCATIVAS: APLICACIÓN EN LA ENSEÑANZA DE TRIGONOMETRÍA". La comprensión de estos conceptos es crucial para establecer una base sólida y unificada en la investigación.</w:t>
      </w:r>
    </w:p>
    <w:p w14:paraId="48F765FB" w14:textId="77777777" w:rsidR="007F3DE9" w:rsidRPr="007F3DE9" w:rsidRDefault="007F3DE9" w:rsidP="007F3DE9">
      <w:pPr>
        <w:rPr>
          <w:b/>
          <w:bCs/>
        </w:rPr>
      </w:pPr>
      <w:r w:rsidRPr="007F3DE9">
        <w:rPr>
          <w:b/>
          <w:bCs/>
        </w:rPr>
        <w:t>2.1.1. Modelo Cualitativo</w:t>
      </w:r>
    </w:p>
    <w:p w14:paraId="56102134" w14:textId="77777777" w:rsidR="007F3DE9" w:rsidRPr="007F3DE9" w:rsidRDefault="007F3DE9" w:rsidP="007F3DE9">
      <w:r w:rsidRPr="007F3DE9">
        <w:t>El modelo cualitativo, como paradigma de investigación, se ha consolidado gracias a las contribuciones de diversos académicos que han enfatizado su naturaleza particular y su enfoque en la comprensión profunda de los fenómenos.</w:t>
      </w:r>
    </w:p>
    <w:p w14:paraId="1D82C389" w14:textId="77777777" w:rsidR="007F3DE9" w:rsidRPr="007F3DE9" w:rsidRDefault="007F3DE9" w:rsidP="007F3DE9">
      <w:r w:rsidRPr="007F3DE9">
        <w:t xml:space="preserve">Norman K. Denzin e </w:t>
      </w:r>
      <w:proofErr w:type="spellStart"/>
      <w:r w:rsidRPr="007F3DE9">
        <w:t>Yvonna</w:t>
      </w:r>
      <w:proofErr w:type="spellEnd"/>
      <w:r w:rsidRPr="007F3DE9">
        <w:t xml:space="preserve"> S. Lincoln, en su obra fundamental "</w:t>
      </w:r>
      <w:proofErr w:type="spellStart"/>
      <w:r w:rsidRPr="007F3DE9">
        <w:t>Handbook</w:t>
      </w:r>
      <w:proofErr w:type="spellEnd"/>
      <w:r w:rsidRPr="007F3DE9">
        <w:t xml:space="preserve"> </w:t>
      </w:r>
      <w:proofErr w:type="spellStart"/>
      <w:r w:rsidRPr="007F3DE9">
        <w:t>of</w:t>
      </w:r>
      <w:proofErr w:type="spellEnd"/>
      <w:r w:rsidRPr="007F3DE9">
        <w:t xml:space="preserve"> </w:t>
      </w:r>
      <w:proofErr w:type="spellStart"/>
      <w:r w:rsidRPr="007F3DE9">
        <w:t>Qualitative</w:t>
      </w:r>
      <w:proofErr w:type="spellEnd"/>
      <w:r w:rsidRPr="007F3DE9">
        <w:t xml:space="preserve"> </w:t>
      </w:r>
      <w:proofErr w:type="spellStart"/>
      <w:r w:rsidRPr="007F3DE9">
        <w:t>Research</w:t>
      </w:r>
      <w:proofErr w:type="spellEnd"/>
      <w:r w:rsidRPr="007F3DE9">
        <w:t xml:space="preserve">", conciben la investigación cualitativa como un campo "interdisciplinario, transdisciplinario y, en ocasiones, </w:t>
      </w:r>
      <w:proofErr w:type="spellStart"/>
      <w:r w:rsidRPr="007F3DE9">
        <w:t>contradisciplinario</w:t>
      </w:r>
      <w:proofErr w:type="spellEnd"/>
      <w:r w:rsidRPr="007F3DE9">
        <w:t xml:space="preserve"> que atraviesa las humanidades, las ciencias sociales y las ciencias físicas". Para estos autores, el investigador cualitativo es un "</w:t>
      </w:r>
      <w:proofErr w:type="spellStart"/>
      <w:r w:rsidRPr="007F3DE9">
        <w:t>bricoleur</w:t>
      </w:r>
      <w:proofErr w:type="spellEnd"/>
      <w:r w:rsidRPr="007F3DE9">
        <w:t>", término que denota a quien emplea una diversidad de herramientas y métodos para desentrañar la complejidad inherente al mundo. Su perspectiva subraya la flexibilidad y la amplitud metodológica que caracterizan a este enfoque de investigación.</w:t>
      </w:r>
    </w:p>
    <w:p w14:paraId="1C32D705" w14:textId="77777777" w:rsidR="007F3DE9" w:rsidRPr="007F3DE9" w:rsidRDefault="007F3DE9" w:rsidP="007F3DE9">
      <w:r w:rsidRPr="007F3DE9">
        <w:t xml:space="preserve">Steven J. Taylor y Robert </w:t>
      </w:r>
      <w:proofErr w:type="spellStart"/>
      <w:r w:rsidRPr="007F3DE9">
        <w:t>Bogdan</w:t>
      </w:r>
      <w:proofErr w:type="spellEnd"/>
      <w:r w:rsidRPr="007F3DE9">
        <w:t xml:space="preserve">, en su publicación "Introducción a los métodos cualitativos de investigación", definen la metodología cualitativa como aquella que </w:t>
      </w:r>
      <w:r w:rsidRPr="007F3DE9">
        <w:lastRenderedPageBreak/>
        <w:t>"produce datos descriptivos: las propias palabras de las personas, habladas o escritas, y la conducta observable". Estos autores resaltan la importancia crítica de comprender el punto de vista de los participantes desde su propio marco de referencia, lo cual implica una inmersión en el contexto y la experiencia subjetiva de los individuos estudiados.</w:t>
      </w:r>
    </w:p>
    <w:p w14:paraId="300AD7E6" w14:textId="6DB6A3E2" w:rsidR="007F3DE9" w:rsidRPr="007F3DE9" w:rsidRDefault="007F3DE9" w:rsidP="007F3DE9">
      <w:r w:rsidRPr="007F3DE9">
        <w:t>Barney G. Glaser y Anselm L. Strauss, pioneros de la Teoría Fundamentada (</w:t>
      </w:r>
      <w:proofErr w:type="spellStart"/>
      <w:r w:rsidRPr="007F3DE9">
        <w:rPr>
          <w:i/>
          <w:iCs/>
        </w:rPr>
        <w:t>Grounded</w:t>
      </w:r>
      <w:proofErr w:type="spellEnd"/>
      <w:r w:rsidRPr="007F3DE9">
        <w:rPr>
          <w:i/>
          <w:iCs/>
        </w:rPr>
        <w:t xml:space="preserve"> </w:t>
      </w:r>
      <w:proofErr w:type="spellStart"/>
      <w:r w:rsidRPr="007F3DE9">
        <w:rPr>
          <w:i/>
          <w:iCs/>
        </w:rPr>
        <w:t>Theory</w:t>
      </w:r>
      <w:proofErr w:type="spellEnd"/>
      <w:r w:rsidRPr="007F3DE9">
        <w:t>), ofrecieron una perspectiva innovadora sobre la investigación cualitativa con su libro "</w:t>
      </w:r>
      <w:proofErr w:type="spellStart"/>
      <w:r w:rsidRPr="007F3DE9">
        <w:t>The</w:t>
      </w:r>
      <w:proofErr w:type="spellEnd"/>
      <w:r w:rsidRPr="007F3DE9">
        <w:t xml:space="preserve"> Discovery </w:t>
      </w:r>
      <w:proofErr w:type="spellStart"/>
      <w:r w:rsidRPr="007F3DE9">
        <w:t>of</w:t>
      </w:r>
      <w:proofErr w:type="spellEnd"/>
      <w:r w:rsidRPr="007F3DE9">
        <w:t xml:space="preserve"> </w:t>
      </w:r>
      <w:proofErr w:type="spellStart"/>
      <w:r w:rsidRPr="007F3DE9">
        <w:t>Grounded</w:t>
      </w:r>
      <w:proofErr w:type="spellEnd"/>
      <w:r w:rsidRPr="007F3DE9">
        <w:t xml:space="preserve"> </w:t>
      </w:r>
      <w:proofErr w:type="spellStart"/>
      <w:r w:rsidRPr="007F3DE9">
        <w:t>Theory</w:t>
      </w:r>
      <w:proofErr w:type="spellEnd"/>
      <w:r w:rsidRPr="007F3DE9">
        <w:t>". Su propuesta se centra en el "desarrollo de teoría a partir de los datos recopilados de manera sistemática, en un proceso iterativo de recolección y análisis". Para Glaser y Strauss, el modelo cualitativo permite la emergencia de conceptos y teorías directamente desde la evidencia empírica, a través de un constante vaivén entre la recolección de datos y su análisis, lo que asegura que la teoría desarrollada esté intrínsecamente ligada a la realidad estudiada.</w:t>
      </w:r>
    </w:p>
    <w:p w14:paraId="2B095099" w14:textId="77777777" w:rsidR="007F3DE9" w:rsidRPr="007F3DE9" w:rsidRDefault="007F3DE9" w:rsidP="007F3DE9">
      <w:r w:rsidRPr="007F3DE9">
        <w:pict w14:anchorId="3D0A2342">
          <v:rect id="_x0000_i1039" style="width:0;height:1.5pt" o:hralign="center" o:hrstd="t" o:hr="t" fillcolor="#a0a0a0" stroked="f"/>
        </w:pict>
      </w:r>
    </w:p>
    <w:p w14:paraId="1F65C058" w14:textId="77777777" w:rsidR="007F3DE9" w:rsidRPr="007F3DE9" w:rsidRDefault="007F3DE9" w:rsidP="007F3DE9">
      <w:pPr>
        <w:rPr>
          <w:lang w:val="en-US"/>
        </w:rPr>
      </w:pPr>
      <w:proofErr w:type="spellStart"/>
      <w:r w:rsidRPr="007F3DE9">
        <w:rPr>
          <w:lang w:val="en-US"/>
        </w:rPr>
        <w:t>Referencias</w:t>
      </w:r>
      <w:proofErr w:type="spellEnd"/>
    </w:p>
    <w:p w14:paraId="1D90C3BE" w14:textId="77777777" w:rsidR="007F3DE9" w:rsidRPr="007F3DE9" w:rsidRDefault="007F3DE9" w:rsidP="007F3DE9">
      <w:r w:rsidRPr="007F3DE9">
        <w:rPr>
          <w:lang w:val="en-US"/>
        </w:rPr>
        <w:t xml:space="preserve">[1] N. K. Denzin and Y. S. Lincoln, </w:t>
      </w:r>
      <w:r w:rsidRPr="007F3DE9">
        <w:rPr>
          <w:i/>
          <w:iCs/>
          <w:lang w:val="en-US"/>
        </w:rPr>
        <w:t>Handbook of Qualitative Research</w:t>
      </w:r>
      <w:r w:rsidRPr="007F3DE9">
        <w:rPr>
          <w:lang w:val="en-US"/>
        </w:rPr>
        <w:t xml:space="preserve">. </w:t>
      </w:r>
      <w:proofErr w:type="spellStart"/>
      <w:r w:rsidRPr="007F3DE9">
        <w:t>Thousand</w:t>
      </w:r>
      <w:proofErr w:type="spellEnd"/>
      <w:r w:rsidRPr="007F3DE9">
        <w:t xml:space="preserve"> </w:t>
      </w:r>
      <w:proofErr w:type="spellStart"/>
      <w:r w:rsidRPr="007F3DE9">
        <w:t>Oaks</w:t>
      </w:r>
      <w:proofErr w:type="spellEnd"/>
      <w:r w:rsidRPr="007F3DE9">
        <w:t xml:space="preserve">, CA: Sage </w:t>
      </w:r>
      <w:proofErr w:type="spellStart"/>
      <w:r w:rsidRPr="007F3DE9">
        <w:t>Publications</w:t>
      </w:r>
      <w:proofErr w:type="spellEnd"/>
      <w:r w:rsidRPr="007F3DE9">
        <w:t xml:space="preserve">, [Año de la edición que uses, </w:t>
      </w:r>
      <w:proofErr w:type="spellStart"/>
      <w:r w:rsidRPr="007F3DE9">
        <w:t>e.g</w:t>
      </w:r>
      <w:proofErr w:type="spellEnd"/>
      <w:r w:rsidRPr="007F3DE9">
        <w:t xml:space="preserve">., 2018]. [2] S. J. Taylor and R. </w:t>
      </w:r>
      <w:proofErr w:type="spellStart"/>
      <w:r w:rsidRPr="007F3DE9">
        <w:t>Bogdan</w:t>
      </w:r>
      <w:proofErr w:type="spellEnd"/>
      <w:r w:rsidRPr="007F3DE9">
        <w:t xml:space="preserve">, </w:t>
      </w:r>
      <w:r w:rsidRPr="007F3DE9">
        <w:rPr>
          <w:i/>
          <w:iCs/>
        </w:rPr>
        <w:t>Introducción a los métodos cualitativos de investigación</w:t>
      </w:r>
      <w:r w:rsidRPr="007F3DE9">
        <w:t xml:space="preserve">. Barcelona: Paidós, [Año de la edición que uses, </w:t>
      </w:r>
      <w:proofErr w:type="spellStart"/>
      <w:r w:rsidRPr="007F3DE9">
        <w:t>e.g</w:t>
      </w:r>
      <w:proofErr w:type="spellEnd"/>
      <w:r w:rsidRPr="007F3DE9">
        <w:t xml:space="preserve">., 1987]. </w:t>
      </w:r>
      <w:r w:rsidRPr="007F3DE9">
        <w:rPr>
          <w:lang w:val="en-US"/>
        </w:rPr>
        <w:t xml:space="preserve">[3] B. G. Glaser and A. L. Strauss, </w:t>
      </w:r>
      <w:r w:rsidRPr="007F3DE9">
        <w:rPr>
          <w:i/>
          <w:iCs/>
          <w:lang w:val="en-US"/>
        </w:rPr>
        <w:t>The Discovery of Grounded Theory: Strategies for Qualitative Research</w:t>
      </w:r>
      <w:r w:rsidRPr="007F3DE9">
        <w:rPr>
          <w:lang w:val="en-US"/>
        </w:rPr>
        <w:t xml:space="preserve">. </w:t>
      </w:r>
      <w:r w:rsidRPr="007F3DE9">
        <w:t xml:space="preserve">Chicago, IL: Aldine Publishing Company, [Año de la edición que uses, </w:t>
      </w:r>
      <w:proofErr w:type="spellStart"/>
      <w:r w:rsidRPr="007F3DE9">
        <w:t>e.g</w:t>
      </w:r>
      <w:proofErr w:type="spellEnd"/>
      <w:r w:rsidRPr="007F3DE9">
        <w:t>., 1967].</w:t>
      </w:r>
    </w:p>
    <w:p w14:paraId="359D7E27" w14:textId="77777777" w:rsidR="009429AA" w:rsidRPr="009429AA" w:rsidRDefault="009429AA" w:rsidP="009429AA">
      <w:pPr>
        <w:rPr>
          <w:b/>
          <w:bCs/>
        </w:rPr>
      </w:pPr>
      <w:r w:rsidRPr="009429AA">
        <w:rPr>
          <w:b/>
          <w:bCs/>
        </w:rPr>
        <w:t>2.1.2. Inteligencia Artificial Generativa (IAG)</w:t>
      </w:r>
    </w:p>
    <w:p w14:paraId="75FD70BC" w14:textId="77777777" w:rsidR="009429AA" w:rsidRPr="009429AA" w:rsidRDefault="009429AA" w:rsidP="009429AA">
      <w:r w:rsidRPr="009429AA">
        <w:t>La Inteligencia Artificial Generativa (IAG) representa una clase avanzada de modelos de inteligencia artificial capaces de producir contenido novedoso y original a partir de patrones aprendidos de extensos conjuntos de datos, que pueden incluir texto, imágenes o código. Este tipo de IA se distingue por su capacidad creativa, y su concepción varía ligeramente entre los principales desarrolladores que lideran su avance.</w:t>
      </w:r>
    </w:p>
    <w:p w14:paraId="16DAE2F2" w14:textId="77777777" w:rsidR="009429AA" w:rsidRPr="009429AA" w:rsidRDefault="009429AA" w:rsidP="009429AA">
      <w:proofErr w:type="spellStart"/>
      <w:r w:rsidRPr="009429AA">
        <w:t>OpenAI</w:t>
      </w:r>
      <w:proofErr w:type="spellEnd"/>
      <w:r w:rsidRPr="009429AA">
        <w:t xml:space="preserve"> (Creadores de </w:t>
      </w:r>
      <w:proofErr w:type="spellStart"/>
      <w:r w:rsidRPr="009429AA">
        <w:t>ChatGPT</w:t>
      </w:r>
      <w:proofErr w:type="spellEnd"/>
      <w:r w:rsidRPr="009429AA">
        <w:t xml:space="preserve">), con Sam Altman a la cabeza, define la IAG desde una perspectiva funcional y de empoderamiento. Para </w:t>
      </w:r>
      <w:proofErr w:type="spellStart"/>
      <w:r w:rsidRPr="009429AA">
        <w:t>OpenAI</w:t>
      </w:r>
      <w:proofErr w:type="spellEnd"/>
      <w:r w:rsidRPr="009429AA">
        <w:t xml:space="preserve">, la IAG se refiere a "Sistemas que pueden producir texto, imágenes y otros medios en respuesta a indicaciones. Estos modelos aprenden los patrones y la estructura de sus datos de entrenamiento y luego generan nuevos datos que tienen características similares". Su visión es que la IAG </w:t>
      </w:r>
      <w:r w:rsidRPr="009429AA">
        <w:lastRenderedPageBreak/>
        <w:t>funcione como una herramienta de propósito general, similar a un sistema operativo, que extienda la capacidad humana en creatividad, productividad y resolución de problemas complejos en diversas áreas del conocimiento.</w:t>
      </w:r>
    </w:p>
    <w:p w14:paraId="6641211F" w14:textId="77777777" w:rsidR="009429AA" w:rsidRDefault="009429AA" w:rsidP="009429AA">
      <w:r w:rsidRPr="009429AA">
        <w:t xml:space="preserve">Por su parte, Google (Creadores de Gemini), a través de líderes como </w:t>
      </w:r>
      <w:proofErr w:type="spellStart"/>
      <w:r w:rsidRPr="009429AA">
        <w:t>Sundar</w:t>
      </w:r>
      <w:proofErr w:type="spellEnd"/>
      <w:r w:rsidRPr="009429AA">
        <w:t xml:space="preserve"> Pichai y </w:t>
      </w:r>
      <w:proofErr w:type="spellStart"/>
      <w:r w:rsidRPr="009429AA">
        <w:t>Demis</w:t>
      </w:r>
      <w:proofErr w:type="spellEnd"/>
      <w:r w:rsidRPr="009429AA">
        <w:t xml:space="preserve"> </w:t>
      </w:r>
      <w:proofErr w:type="spellStart"/>
      <w:r w:rsidRPr="009429AA">
        <w:t>Hassabis</w:t>
      </w:r>
      <w:proofErr w:type="spellEnd"/>
      <w:r w:rsidRPr="009429AA">
        <w:t>, enmarca la IAG como una evolución computacional que actúa como un colaborador creativo y productivo para el ser humano. Google la define como "un tipo de inteligencia artificial que puede crear contenido e ideas nuevas, como conversaciones, historias, imágenes, videos y música". Con el desarrollo de Gemini, Google ha enfatizado la multimodalidad nativa, diseñando el modelo para "entender, operar y combinar sin problemas diferentes tipos de información como texto, código, audio, imágenes y video". Esto posiciona a la IAG de Google como un sistema integrado capaz de "razonar" a través de múltiples formatos.</w:t>
      </w:r>
    </w:p>
    <w:p w14:paraId="46435C9D" w14:textId="77777777" w:rsidR="009429AA" w:rsidRPr="009429AA" w:rsidRDefault="009429AA" w:rsidP="009429AA">
      <w:r w:rsidRPr="009429AA">
        <w:t>Aquí tienes la narración de la definición de Inteligencia Artificial Generativa, apta para tu marco conceptual y con referencias en formato IEEE:</w:t>
      </w:r>
    </w:p>
    <w:p w14:paraId="2144CA8E" w14:textId="77777777" w:rsidR="009429AA" w:rsidRPr="009429AA" w:rsidRDefault="009429AA" w:rsidP="009429AA">
      <w:pPr>
        <w:rPr>
          <w:b/>
          <w:bCs/>
        </w:rPr>
      </w:pPr>
      <w:r w:rsidRPr="009429AA">
        <w:rPr>
          <w:b/>
          <w:bCs/>
        </w:rPr>
        <w:t>2.1.2. Inteligencia Artificial Generativa (IAG)</w:t>
      </w:r>
    </w:p>
    <w:p w14:paraId="671B630E" w14:textId="77777777" w:rsidR="009429AA" w:rsidRPr="009429AA" w:rsidRDefault="009429AA" w:rsidP="009429AA">
      <w:r w:rsidRPr="009429AA">
        <w:t xml:space="preserve">La </w:t>
      </w:r>
      <w:r w:rsidRPr="009429AA">
        <w:rPr>
          <w:b/>
          <w:bCs/>
        </w:rPr>
        <w:t>Inteligencia Artificial Generativa (IAG)</w:t>
      </w:r>
      <w:r w:rsidRPr="009429AA">
        <w:t xml:space="preserve"> representa una clase avanzada de modelos de inteligencia artificial capaces de producir contenido novedoso y original a partir de patrones aprendidos de extensos conjuntos de datos, que pueden incluir texto, imágenes o código. Este tipo de IA se distingue por su capacidad creativa, y su concepción varía ligeramente entre los principales desarrolladores que lideran su avance.</w:t>
      </w:r>
    </w:p>
    <w:p w14:paraId="20B3F624" w14:textId="77777777" w:rsidR="009429AA" w:rsidRPr="009429AA" w:rsidRDefault="009429AA" w:rsidP="009429AA">
      <w:proofErr w:type="spellStart"/>
      <w:r w:rsidRPr="009429AA">
        <w:rPr>
          <w:b/>
          <w:bCs/>
        </w:rPr>
        <w:t>OpenAI</w:t>
      </w:r>
      <w:proofErr w:type="spellEnd"/>
      <w:r w:rsidRPr="009429AA">
        <w:rPr>
          <w:b/>
          <w:bCs/>
        </w:rPr>
        <w:t xml:space="preserve"> (Creadores de </w:t>
      </w:r>
      <w:proofErr w:type="spellStart"/>
      <w:r w:rsidRPr="009429AA">
        <w:rPr>
          <w:b/>
          <w:bCs/>
        </w:rPr>
        <w:t>ChatGPT</w:t>
      </w:r>
      <w:proofErr w:type="spellEnd"/>
      <w:r w:rsidRPr="009429AA">
        <w:rPr>
          <w:b/>
          <w:bCs/>
        </w:rPr>
        <w:t>)</w:t>
      </w:r>
      <w:r w:rsidRPr="009429AA">
        <w:t xml:space="preserve">, con Sam Altman a la cabeza, define la IAG desde una perspectiva funcional y de empoderamiento. Para </w:t>
      </w:r>
      <w:proofErr w:type="spellStart"/>
      <w:r w:rsidRPr="009429AA">
        <w:t>OpenAI</w:t>
      </w:r>
      <w:proofErr w:type="spellEnd"/>
      <w:r w:rsidRPr="009429AA">
        <w:t>, la IAG se refiere a "Sistemas que pueden producir texto, imágenes y otros medios en respuesta a indicaciones. Estos modelos aprenden los patrones y la estructura de sus datos de entrenamiento y luego generan nuevos datos que tienen características similares". Su visión es que la IAG funcione como una herramienta de propósito general, similar a un sistema operativo, que extienda la capacidad humana en creatividad, productividad y resolución de problemas complejos en diversas áreas del conocimiento.</w:t>
      </w:r>
    </w:p>
    <w:p w14:paraId="32F685B1" w14:textId="77777777" w:rsidR="009429AA" w:rsidRPr="009429AA" w:rsidRDefault="009429AA" w:rsidP="009429AA">
      <w:r w:rsidRPr="009429AA">
        <w:t xml:space="preserve">Por su parte, </w:t>
      </w:r>
      <w:r w:rsidRPr="009429AA">
        <w:rPr>
          <w:b/>
          <w:bCs/>
        </w:rPr>
        <w:t>Google (Creadores de Gemini)</w:t>
      </w:r>
      <w:r w:rsidRPr="009429AA">
        <w:t xml:space="preserve">, a través de líderes como </w:t>
      </w:r>
      <w:proofErr w:type="spellStart"/>
      <w:r w:rsidRPr="009429AA">
        <w:t>Sundar</w:t>
      </w:r>
      <w:proofErr w:type="spellEnd"/>
      <w:r w:rsidRPr="009429AA">
        <w:t xml:space="preserve"> Pichai y </w:t>
      </w:r>
      <w:proofErr w:type="spellStart"/>
      <w:r w:rsidRPr="009429AA">
        <w:t>Demis</w:t>
      </w:r>
      <w:proofErr w:type="spellEnd"/>
      <w:r w:rsidRPr="009429AA">
        <w:t xml:space="preserve"> </w:t>
      </w:r>
      <w:proofErr w:type="spellStart"/>
      <w:r w:rsidRPr="009429AA">
        <w:t>Hassabis</w:t>
      </w:r>
      <w:proofErr w:type="spellEnd"/>
      <w:r w:rsidRPr="009429AA">
        <w:t xml:space="preserve">, enmarca la IAG como una evolución computacional que actúa como un colaborador creativo y productivo para el ser humano. Google la define como "un tipo de </w:t>
      </w:r>
      <w:r w:rsidRPr="009429AA">
        <w:lastRenderedPageBreak/>
        <w:t>inteligencia artificial que puede crear contenido e ideas nuevas, como conversaciones, historias, imágenes, videos y música". Con el desarrollo de Gemini, Google ha enfatizado la multimodalidad nativa, diseñando el modelo para "entender, operar y combinar sin problemas diferentes tipos de información como texto, código, audio, imágenes y video". Esto posiciona a la IAG de Google como un sistema integrado capaz de "razonar" a través de múltiples formatos.</w:t>
      </w:r>
    </w:p>
    <w:p w14:paraId="36739D23" w14:textId="77777777" w:rsidR="009429AA" w:rsidRPr="009429AA" w:rsidRDefault="009429AA" w:rsidP="009429AA">
      <w:r w:rsidRPr="009429AA">
        <w:t xml:space="preserve">Desde la perspectiva de </w:t>
      </w:r>
      <w:r w:rsidRPr="009429AA">
        <w:rPr>
          <w:b/>
          <w:bCs/>
        </w:rPr>
        <w:t>Meta (Creadores de Llama)</w:t>
      </w:r>
      <w:r w:rsidRPr="009429AA">
        <w:t xml:space="preserve">, una voz influyente en el debate actual sobre la IA, el enfoque en el código abierto es primordial para el desarrollo de la inteligencia artificial generativa. Aunque el texto proporcionado no incluye una cita directa de Meta, su participación activa en la promoción de modelos de código abierto como Llama sugiere una definición de IAG que valora la accesibilidad, la transparencia y la colaboración en la creación y el perfeccionamiento de estos sistemas. Este enfoque busca democratizar el acceso a la tecnología generativa, permitiendo a una comunidad global de desarrolladores y </w:t>
      </w:r>
      <w:proofErr w:type="spellStart"/>
      <w:r w:rsidRPr="009429AA">
        <w:t>researchers</w:t>
      </w:r>
      <w:proofErr w:type="spellEnd"/>
      <w:r w:rsidRPr="009429AA">
        <w:t xml:space="preserve"> contribuir a su evolución y adaptación en una amplia gama de aplicaciones.</w:t>
      </w:r>
    </w:p>
    <w:p w14:paraId="0C600649" w14:textId="77777777" w:rsidR="009429AA" w:rsidRPr="009429AA" w:rsidRDefault="009429AA" w:rsidP="009429AA">
      <w:r w:rsidRPr="009429AA">
        <w:t>En el contexto de esta tesis, la Inteligencia Artificial Generativa se concibe como una herramienta complementaria para potenciar las habilidades humanas, no para sustituirlas. Su aplicación busca ofrecer esta tecnología de forma dosificada y accesible, facilitando la comprensión de la IA como un recurso de apoyo que fomenta el desarrollo de competencias propias mediante su uso adecuado.</w:t>
      </w:r>
    </w:p>
    <w:p w14:paraId="5ADDC555" w14:textId="77777777" w:rsidR="009429AA" w:rsidRPr="009429AA" w:rsidRDefault="009429AA" w:rsidP="009429AA">
      <w:r w:rsidRPr="009429AA">
        <w:pict w14:anchorId="42DD7E4E">
          <v:rect id="_x0000_i1048" style="width:0;height:1.5pt" o:hralign="center" o:hrstd="t" o:hr="t" fillcolor="#a0a0a0" stroked="f"/>
        </w:pict>
      </w:r>
    </w:p>
    <w:p w14:paraId="08E82B2B" w14:textId="77777777" w:rsidR="009429AA" w:rsidRPr="009429AA" w:rsidRDefault="009429AA" w:rsidP="009429AA">
      <w:pPr>
        <w:rPr>
          <w:lang w:val="en-US"/>
        </w:rPr>
      </w:pPr>
      <w:proofErr w:type="spellStart"/>
      <w:r w:rsidRPr="009429AA">
        <w:rPr>
          <w:b/>
          <w:bCs/>
          <w:lang w:val="en-US"/>
        </w:rPr>
        <w:t>Referencias</w:t>
      </w:r>
      <w:proofErr w:type="spellEnd"/>
    </w:p>
    <w:p w14:paraId="4DCCC991" w14:textId="77777777" w:rsidR="009429AA" w:rsidRPr="009429AA" w:rsidRDefault="009429AA" w:rsidP="009429AA">
      <w:r w:rsidRPr="009429AA">
        <w:rPr>
          <w:lang w:val="en-US"/>
        </w:rPr>
        <w:t xml:space="preserve">[1] OpenAI. "What is generative AI?". </w:t>
      </w:r>
      <w:r w:rsidRPr="009429AA">
        <w:t xml:space="preserve">[En línea]. Disponible en: </w:t>
      </w:r>
      <w:hyperlink r:id="rId5" w:tgtFrame="_blank" w:history="1">
        <w:r w:rsidRPr="009429AA">
          <w:rPr>
            <w:rStyle w:val="Hipervnculo"/>
          </w:rPr>
          <w:t>https://openai.com/blog/what-is-generative-ai</w:t>
        </w:r>
      </w:hyperlink>
      <w:r w:rsidRPr="009429AA">
        <w:t xml:space="preserve"> (Nota: Ajusta la URL si tienes una específica de tu investigación). [2] Google AI. "Generative AI". [En línea]. Disponible en: </w:t>
      </w:r>
      <w:hyperlink r:id="rId6" w:tgtFrame="_blank" w:history="1">
        <w:r w:rsidRPr="009429AA">
          <w:rPr>
            <w:rStyle w:val="Hipervnculo"/>
          </w:rPr>
          <w:t>https://ai.google/discover/generative-ai/</w:t>
        </w:r>
      </w:hyperlink>
      <w:r w:rsidRPr="009429AA">
        <w:t xml:space="preserve"> (Nota: Ajusta la URL si tienes una específica de tu investigación). [3] M. K. Kushiro, "MODELO CUALITATIVO BASADO EN INTELIGENCIA ARTIFICIAL GENERATIVA PARA EL DISEÑO DE INTERFACES EDUCATIVAS: APLICACIÓN EN LA ENSEÑANZA DE TRIGONOMETRÍA," Borrador Anteproyecto, Universidad Técnica Estatal de Quevedo, Quevedo, Ecuador, p. 4, 2025.</w:t>
      </w:r>
    </w:p>
    <w:p w14:paraId="7E4842A7" w14:textId="77777777" w:rsidR="009429AA" w:rsidRPr="009429AA" w:rsidRDefault="009429AA" w:rsidP="009429AA"/>
    <w:p w14:paraId="7443F114" w14:textId="77777777" w:rsidR="00E22872" w:rsidRPr="00E22872" w:rsidRDefault="00E22872" w:rsidP="00E22872">
      <w:pPr>
        <w:rPr>
          <w:b/>
          <w:bCs/>
        </w:rPr>
      </w:pPr>
      <w:r w:rsidRPr="00E22872">
        <w:rPr>
          <w:b/>
          <w:bCs/>
        </w:rPr>
        <w:t>2.1.3. Diseño de Interfaces Educativas</w:t>
      </w:r>
    </w:p>
    <w:p w14:paraId="0D05B7B2" w14:textId="45DD8C58" w:rsidR="00E22872" w:rsidRPr="00E22872" w:rsidRDefault="00E22872" w:rsidP="00E22872">
      <w:r w:rsidRPr="00E22872">
        <w:t>El Diseño de Interfaces Educativas se enfoca en la creación de entornos digitales que facilitan el aprendizaje, promoviendo una interacción efectiva entre el estudiante y el contenido. Este campo integra los principios de la Interacción Humano-Computadora (HCI) y el Diseño Centrado en el Usuario (UCD) para moldear experiencias de aprendizaje en entornos digitales. Una interfaz educativa bien diseñada es fundamental, ya que cuando un sistema técnico o su interfaz de usuario no es fácil de operar, los usuarios tienden a desarrollar formas alternativas para lograr una tarea y un objetivo de aprendizaje. Estas adaptaciones y "soluciones alternativas" son a menudo el resultado de fallas en el diseño, que ocurren cuando el equipo de desarrollo de software no ha considerado suficientemente a los usuarios en el proceso de diseño, generando barreras para una oferta educativa efectiva. Las interfaces bien concebidas son fáciles de aprender y apoyan eficientemente a los usuarios en el logro de sus metas.</w:t>
      </w:r>
    </w:p>
    <w:p w14:paraId="4E682105" w14:textId="5F5DF637" w:rsidR="00E22872" w:rsidRPr="00E22872" w:rsidRDefault="00E22872" w:rsidP="00E22872">
      <w:r w:rsidRPr="00E22872">
        <w:t xml:space="preserve">El diseño de interfaces educativas se enmarca dentro del </w:t>
      </w:r>
      <w:proofErr w:type="spellStart"/>
      <w:r w:rsidRPr="00E22872">
        <w:t>Learning</w:t>
      </w:r>
      <w:proofErr w:type="spellEnd"/>
      <w:r w:rsidRPr="00E22872">
        <w:t xml:space="preserve"> </w:t>
      </w:r>
      <w:proofErr w:type="spellStart"/>
      <w:r w:rsidRPr="00E22872">
        <w:t>Experience</w:t>
      </w:r>
      <w:proofErr w:type="spellEnd"/>
      <w:r w:rsidRPr="00E22872">
        <w:t xml:space="preserve"> </w:t>
      </w:r>
      <w:proofErr w:type="spellStart"/>
      <w:r w:rsidRPr="00E22872">
        <w:t>Design</w:t>
      </w:r>
      <w:proofErr w:type="spellEnd"/>
      <w:r w:rsidRPr="00E22872">
        <w:t xml:space="preserve"> (LXD), un enfoque multidimensional que se define como "un enfoque centrado en el ser humano, teóricamente fundamentado y socio-culturalmente sensible para el diseño del aprendizaje, con el objetivo de impulsar a los estudiantes hacia metas de aprendizaje identificadas, e informado por métodos de experiencia de usuario". LXD abarca la interacción de los estudiantes con el entorno de aprendizaje, el espacio de aprendizaje y las interacciones sociales mediadas digitalmente, considerando tres dimensiones principales: la tecnológica, la pedagógica-didáctica y la sociocultural. Así, el diseño de interfaces educativas bajo el paradigma de LXD no solo considera la interacción humano-computadora, sino que también integra activamente la usabilidad didáctica y sociocultural para apoyar a los estudiantes en el logro de sus objetivos de aprendizaje de manera efectiva, eficiente y satisfactoria.</w:t>
      </w:r>
    </w:p>
    <w:p w14:paraId="41D29466" w14:textId="77777777" w:rsidR="00645869" w:rsidRPr="00645869" w:rsidRDefault="00645869" w:rsidP="00645869">
      <w:pPr>
        <w:rPr>
          <w:b/>
          <w:bCs/>
        </w:rPr>
      </w:pPr>
      <w:r w:rsidRPr="00645869">
        <w:rPr>
          <w:b/>
          <w:bCs/>
        </w:rPr>
        <w:t>2.1.4. Trigonometría</w:t>
      </w:r>
    </w:p>
    <w:p w14:paraId="4693EB17" w14:textId="77777777" w:rsidR="00645869" w:rsidRPr="00645869" w:rsidRDefault="00645869" w:rsidP="00645869">
      <w:r w:rsidRPr="00645869">
        <w:t xml:space="preserve">La </w:t>
      </w:r>
      <w:r w:rsidRPr="00645869">
        <w:rPr>
          <w:b/>
          <w:bCs/>
        </w:rPr>
        <w:t>Trigonometría</w:t>
      </w:r>
      <w:r w:rsidRPr="00645869">
        <w:t xml:space="preserve"> es una rama de las matemáticas que estudia las relaciones entre los ángulos y los lados de los triángulos. Es un concepto fundamental en la educación básica superior, y su dominio es crucial para el desarrollo de habilidades matemáticas. La presente tesis aborda la enseñanza de trigonometría a través de una aplicación web que </w:t>
      </w:r>
      <w:r w:rsidRPr="00645869">
        <w:lastRenderedPageBreak/>
        <w:t>busca mejorar el rendimiento de los estudiantes en esta disciplina, donde se han identificado deficiencias significativas en el aprendizaje.</w:t>
      </w:r>
    </w:p>
    <w:p w14:paraId="33AEA99F" w14:textId="77777777" w:rsidR="00645869" w:rsidRPr="00645869" w:rsidRDefault="00645869" w:rsidP="00645869">
      <w:pPr>
        <w:rPr>
          <w:b/>
          <w:bCs/>
        </w:rPr>
      </w:pPr>
      <w:r w:rsidRPr="00645869">
        <w:rPr>
          <w:b/>
          <w:bCs/>
        </w:rPr>
        <w:t>2.1.5. Aplicación Web</w:t>
      </w:r>
    </w:p>
    <w:p w14:paraId="4EAE118D" w14:textId="77777777" w:rsidR="00645869" w:rsidRPr="00645869" w:rsidRDefault="00645869" w:rsidP="00645869">
      <w:r w:rsidRPr="00645869">
        <w:t xml:space="preserve">Una </w:t>
      </w:r>
      <w:r w:rsidRPr="00645869">
        <w:rPr>
          <w:b/>
          <w:bCs/>
        </w:rPr>
        <w:t>Aplicación Web</w:t>
      </w:r>
      <w:r w:rsidRPr="00645869">
        <w:t xml:space="preserve"> es un software que se ejecuta en un navegador web y al que se puede acceder a través de Internet. Permite a los usuarios interactuar con funcionalidades y servicios sin necesidad de instalar programas en sus dispositivos. En esta investigación, la aplicación web servirá como el medio para implementar el modelo cualitativo y la IA generativa, facilitando la enseñanza y práctica de conceptos básicos de trigonometría de manera interactiva y amigable.</w:t>
      </w:r>
    </w:p>
    <w:p w14:paraId="06E4316E" w14:textId="77777777" w:rsidR="00645869" w:rsidRPr="00645869" w:rsidRDefault="00645869" w:rsidP="00645869">
      <w:pPr>
        <w:rPr>
          <w:b/>
          <w:bCs/>
        </w:rPr>
      </w:pPr>
      <w:r w:rsidRPr="00645869">
        <w:rPr>
          <w:b/>
          <w:bCs/>
        </w:rPr>
        <w:t>2.1.6. Software Educativo</w:t>
      </w:r>
    </w:p>
    <w:p w14:paraId="7B490F51" w14:textId="77777777" w:rsidR="00645869" w:rsidRPr="00645869" w:rsidRDefault="00645869" w:rsidP="00645869">
      <w:r w:rsidRPr="00645869">
        <w:t xml:space="preserve">El </w:t>
      </w:r>
    </w:p>
    <w:p w14:paraId="3CDD85C5" w14:textId="77777777" w:rsidR="00645869" w:rsidRPr="00645869" w:rsidRDefault="00645869" w:rsidP="00645869">
      <w:r w:rsidRPr="00645869">
        <w:rPr>
          <w:b/>
          <w:bCs/>
        </w:rPr>
        <w:t>Software Educativo</w:t>
      </w:r>
      <w:r w:rsidRPr="00645869">
        <w:t xml:space="preserve"> es un programa informático diseñado específicamente para apoyar el proceso de enseñanza y aprendizaje, ofreciendo herramientas interactivas, contenidos adaptativos y retroalimentación que complementan la labor docente. El software desarrollado en esta tesis, basado en el modelo cualitativo y la IA generativa, busca ser una herramienta que potencie las habilidades matemáticas de los estudiantes en trigonometría y mejore su rendimiento académico.</w:t>
      </w:r>
    </w:p>
    <w:p w14:paraId="1961AD69" w14:textId="77777777" w:rsidR="00645869" w:rsidRPr="00645869" w:rsidRDefault="00645869" w:rsidP="00645869">
      <w:pPr>
        <w:rPr>
          <w:b/>
          <w:bCs/>
        </w:rPr>
      </w:pPr>
      <w:r w:rsidRPr="00645869">
        <w:rPr>
          <w:b/>
          <w:bCs/>
        </w:rPr>
        <w:t>2.1.7. Interfaz de Programación de Aplicación (API)</w:t>
      </w:r>
    </w:p>
    <w:p w14:paraId="53465CA0" w14:textId="77777777" w:rsidR="00645869" w:rsidRPr="00645869" w:rsidRDefault="00645869" w:rsidP="00645869">
      <w:r w:rsidRPr="00645869">
        <w:t xml:space="preserve">Una </w:t>
      </w:r>
      <w:r w:rsidRPr="00645869">
        <w:rPr>
          <w:b/>
          <w:bCs/>
        </w:rPr>
        <w:t>Interfaz de Programación de Aplicación (API)</w:t>
      </w:r>
      <w:r w:rsidRPr="00645869">
        <w:t xml:space="preserve"> es un conjunto de definiciones y protocolos que permite que diferentes programas de software se comuniquen entre sí. Actúa como un intermediario que facilita la interacción entre aplicaciones, permitiendo el intercambio de datos y funcionalidades. En este proyecto, la API de inteligencia artificial generativa será consumida por la aplicación web para ofrecer la tecnología de IA de forma dosificada y accesible, permitiendo la generación de contenido y retroalimentación personalizada para los estudiantes.</w:t>
      </w:r>
    </w:p>
    <w:p w14:paraId="4D5C4AE7" w14:textId="77777777" w:rsidR="00645869" w:rsidRPr="00645869" w:rsidRDefault="00645869" w:rsidP="00645869">
      <w:pPr>
        <w:rPr>
          <w:b/>
          <w:bCs/>
        </w:rPr>
      </w:pPr>
      <w:r w:rsidRPr="00645869">
        <w:rPr>
          <w:b/>
          <w:bCs/>
        </w:rPr>
        <w:t>2.1.8. Usabilidad</w:t>
      </w:r>
    </w:p>
    <w:p w14:paraId="68B26585" w14:textId="77777777" w:rsidR="00645869" w:rsidRPr="00645869" w:rsidRDefault="00645869" w:rsidP="00645869">
      <w:r w:rsidRPr="00645869">
        <w:t xml:space="preserve">La </w:t>
      </w:r>
      <w:r w:rsidRPr="00645869">
        <w:rPr>
          <w:b/>
          <w:bCs/>
        </w:rPr>
        <w:t>Usabilidad</w:t>
      </w:r>
      <w:r w:rsidRPr="00645869">
        <w:t xml:space="preserve"> se refiere a la facilidad con la que un usuario puede utilizar una herramienta o sistema para lograr un objetivo específico de manera efectiva, eficiente y satisfactoria. Involucra la </w:t>
      </w:r>
      <w:proofErr w:type="spellStart"/>
      <w:r w:rsidRPr="00645869">
        <w:t>intuitividad</w:t>
      </w:r>
      <w:proofErr w:type="spellEnd"/>
      <w:r w:rsidRPr="00645869">
        <w:t xml:space="preserve">, la facilidad de aprendizaje, la eficiencia en el uso, la </w:t>
      </w:r>
      <w:proofErr w:type="spellStart"/>
      <w:r w:rsidRPr="00645869">
        <w:t>memorabilidad</w:t>
      </w:r>
      <w:proofErr w:type="spellEnd"/>
      <w:r w:rsidRPr="00645869">
        <w:t xml:space="preserve">, los errores y la satisfacción subjetiva. La evaluación de la usabilidad </w:t>
      </w:r>
      <w:r w:rsidRPr="00645869">
        <w:lastRenderedPageBreak/>
        <w:t xml:space="preserve">de la aplicación web se realizará mediante estudios de usuarios, utilizando herramientas como el </w:t>
      </w:r>
      <w:proofErr w:type="spellStart"/>
      <w:r w:rsidRPr="00645869">
        <w:t>System</w:t>
      </w:r>
      <w:proofErr w:type="spellEnd"/>
      <w:r w:rsidRPr="00645869">
        <w:t xml:space="preserve"> </w:t>
      </w:r>
      <w:proofErr w:type="spellStart"/>
      <w:r w:rsidRPr="00645869">
        <w:t>Usability</w:t>
      </w:r>
      <w:proofErr w:type="spellEnd"/>
      <w:r w:rsidRPr="00645869">
        <w:t xml:space="preserve"> </w:t>
      </w:r>
      <w:proofErr w:type="spellStart"/>
      <w:r w:rsidRPr="00645869">
        <w:t>Scale</w:t>
      </w:r>
      <w:proofErr w:type="spellEnd"/>
      <w:r w:rsidRPr="00645869">
        <w:t xml:space="preserve"> (SUS), el Post-</w:t>
      </w:r>
      <w:proofErr w:type="spellStart"/>
      <w:r w:rsidRPr="00645869">
        <w:t>Study</w:t>
      </w:r>
      <w:proofErr w:type="spellEnd"/>
      <w:r w:rsidRPr="00645869">
        <w:t xml:space="preserve"> </w:t>
      </w:r>
      <w:proofErr w:type="spellStart"/>
      <w:r w:rsidRPr="00645869">
        <w:t>System</w:t>
      </w:r>
      <w:proofErr w:type="spellEnd"/>
      <w:r w:rsidRPr="00645869">
        <w:t xml:space="preserve"> </w:t>
      </w:r>
      <w:proofErr w:type="spellStart"/>
      <w:r w:rsidRPr="00645869">
        <w:t>Usability</w:t>
      </w:r>
      <w:proofErr w:type="spellEnd"/>
      <w:r w:rsidRPr="00645869">
        <w:t xml:space="preserve"> </w:t>
      </w:r>
      <w:proofErr w:type="spellStart"/>
      <w:r w:rsidRPr="00645869">
        <w:t>Questionnaire</w:t>
      </w:r>
      <w:proofErr w:type="spellEnd"/>
      <w:r w:rsidRPr="00645869">
        <w:t xml:space="preserve"> (PSSUQ) y las Heurísticas de Nielsen, para garantizar una experiencia de usuario óptima en la enseñanza de trigonometría.</w:t>
      </w:r>
    </w:p>
    <w:p w14:paraId="1EED84D9" w14:textId="77777777" w:rsidR="00645869" w:rsidRPr="00645869" w:rsidRDefault="00645869" w:rsidP="00645869">
      <w:r w:rsidRPr="00645869">
        <w:pict w14:anchorId="526355A9">
          <v:rect id="_x0000_i1031" style="width:0;height:1.5pt" o:hralign="center" o:hrstd="t" o:hr="t" fillcolor="#a0a0a0" stroked="f"/>
        </w:pict>
      </w:r>
    </w:p>
    <w:p w14:paraId="0DCA1901" w14:textId="77777777" w:rsidR="001F4ED1" w:rsidRDefault="001F4ED1"/>
    <w:sectPr w:rsidR="001F4E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88"/>
    <w:rsid w:val="001F4ED1"/>
    <w:rsid w:val="0021673A"/>
    <w:rsid w:val="002269BA"/>
    <w:rsid w:val="002A04F9"/>
    <w:rsid w:val="003C206A"/>
    <w:rsid w:val="00561767"/>
    <w:rsid w:val="005950EE"/>
    <w:rsid w:val="00645869"/>
    <w:rsid w:val="006A2A02"/>
    <w:rsid w:val="006F5F83"/>
    <w:rsid w:val="00714188"/>
    <w:rsid w:val="00757C7D"/>
    <w:rsid w:val="007F3DE9"/>
    <w:rsid w:val="008306DA"/>
    <w:rsid w:val="008B6AB4"/>
    <w:rsid w:val="009235AD"/>
    <w:rsid w:val="009429AA"/>
    <w:rsid w:val="00B85285"/>
    <w:rsid w:val="00CD064B"/>
    <w:rsid w:val="00E22872"/>
    <w:rsid w:val="00E7090D"/>
    <w:rsid w:val="00F104F9"/>
    <w:rsid w:val="00F278C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CDA7"/>
  <w15:chartTrackingRefBased/>
  <w15:docId w15:val="{09B5DC43-A32F-41C0-9154-7C9DFC7B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188"/>
    <w:pPr>
      <w:spacing w:line="360" w:lineRule="auto"/>
      <w:jc w:val="both"/>
    </w:pPr>
    <w:rPr>
      <w:rFonts w:ascii="Times New Roman" w:hAnsi="Times New Roman"/>
      <w:color w:val="000000" w:themeColor="text1"/>
      <w:sz w:val="24"/>
      <w:szCs w:val="24"/>
    </w:rPr>
  </w:style>
  <w:style w:type="paragraph" w:styleId="Ttulo1">
    <w:name w:val="heading 1"/>
    <w:basedOn w:val="Normal"/>
    <w:next w:val="Normal"/>
    <w:link w:val="Ttulo1Car"/>
    <w:autoRedefine/>
    <w:uiPriority w:val="9"/>
    <w:qFormat/>
    <w:rsid w:val="001F4ED1"/>
    <w:pPr>
      <w:keepNext/>
      <w:keepLines/>
      <w:spacing w:before="360" w:after="80" w:line="240" w:lineRule="auto"/>
      <w:jc w:val="center"/>
      <w:outlineLvl w:val="0"/>
    </w:pPr>
    <w:rPr>
      <w:rFonts w:eastAsiaTheme="majorEastAsia" w:cstheme="majorBidi"/>
      <w:b/>
      <w:sz w:val="28"/>
      <w:szCs w:val="40"/>
    </w:rPr>
  </w:style>
  <w:style w:type="paragraph" w:styleId="Ttulo2">
    <w:name w:val="heading 2"/>
    <w:basedOn w:val="Normal"/>
    <w:next w:val="Normal"/>
    <w:link w:val="Ttulo2Car"/>
    <w:autoRedefine/>
    <w:uiPriority w:val="9"/>
    <w:unhideWhenUsed/>
    <w:qFormat/>
    <w:rsid w:val="001F4ED1"/>
    <w:pPr>
      <w:keepNext/>
      <w:keepLines/>
      <w:spacing w:before="160" w:after="80" w:line="240" w:lineRule="auto"/>
      <w:outlineLvl w:val="1"/>
    </w:pPr>
    <w:rPr>
      <w:rFonts w:eastAsiaTheme="majorEastAsia" w:cstheme="majorBidi"/>
      <w:b/>
      <w:sz w:val="22"/>
      <w:szCs w:val="32"/>
    </w:rPr>
  </w:style>
  <w:style w:type="paragraph" w:styleId="Ttulo3">
    <w:name w:val="heading 3"/>
    <w:basedOn w:val="Normal"/>
    <w:next w:val="Normal"/>
    <w:link w:val="Ttulo3Car"/>
    <w:autoRedefine/>
    <w:uiPriority w:val="9"/>
    <w:semiHidden/>
    <w:unhideWhenUsed/>
    <w:qFormat/>
    <w:rsid w:val="008306DA"/>
    <w:pPr>
      <w:keepNext/>
      <w:keepLines/>
      <w:spacing w:before="40" w:after="0"/>
      <w:outlineLvl w:val="2"/>
    </w:pPr>
    <w:rPr>
      <w:rFonts w:eastAsiaTheme="majorEastAsia" w:cstheme="majorBidi"/>
      <w:b/>
    </w:rPr>
  </w:style>
  <w:style w:type="paragraph" w:styleId="Ttulo4">
    <w:name w:val="heading 4"/>
    <w:basedOn w:val="Normal"/>
    <w:next w:val="Normal"/>
    <w:link w:val="Ttulo4Car"/>
    <w:autoRedefine/>
    <w:uiPriority w:val="9"/>
    <w:semiHidden/>
    <w:unhideWhenUsed/>
    <w:qFormat/>
    <w:rsid w:val="005950EE"/>
    <w:pPr>
      <w:keepNext/>
      <w:keepLines/>
      <w:spacing w:before="80" w:after="40"/>
      <w:outlineLvl w:val="3"/>
    </w:pPr>
    <w:rPr>
      <w:rFonts w:eastAsiaTheme="majorEastAsia" w:cstheme="majorBidi"/>
      <w:b/>
      <w:iCs/>
      <w:sz w:val="22"/>
      <w:szCs w:val="22"/>
    </w:rPr>
  </w:style>
  <w:style w:type="paragraph" w:styleId="Ttulo5">
    <w:name w:val="heading 5"/>
    <w:basedOn w:val="Normal"/>
    <w:next w:val="Normal"/>
    <w:link w:val="Ttulo5Car"/>
    <w:uiPriority w:val="9"/>
    <w:semiHidden/>
    <w:unhideWhenUsed/>
    <w:qFormat/>
    <w:rsid w:val="0071418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7141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1418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1418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1418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ED1"/>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1F4ED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8306DA"/>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5950EE"/>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714188"/>
    <w:rPr>
      <w:rFonts w:eastAsiaTheme="majorEastAsia" w:cstheme="majorBidi"/>
      <w:color w:val="2F5496" w:themeColor="accent1" w:themeShade="BF"/>
      <w:sz w:val="24"/>
      <w:szCs w:val="24"/>
    </w:rPr>
  </w:style>
  <w:style w:type="character" w:customStyle="1" w:styleId="Ttulo6Car">
    <w:name w:val="Título 6 Car"/>
    <w:basedOn w:val="Fuentedeprrafopredeter"/>
    <w:link w:val="Ttulo6"/>
    <w:uiPriority w:val="9"/>
    <w:semiHidden/>
    <w:rsid w:val="00714188"/>
    <w:rPr>
      <w:rFonts w:eastAsiaTheme="majorEastAsia" w:cstheme="majorBidi"/>
      <w:i/>
      <w:iCs/>
      <w:color w:val="595959" w:themeColor="text1" w:themeTint="A6"/>
      <w:sz w:val="24"/>
      <w:szCs w:val="24"/>
    </w:rPr>
  </w:style>
  <w:style w:type="character" w:customStyle="1" w:styleId="Ttulo7Car">
    <w:name w:val="Título 7 Car"/>
    <w:basedOn w:val="Fuentedeprrafopredeter"/>
    <w:link w:val="Ttulo7"/>
    <w:uiPriority w:val="9"/>
    <w:semiHidden/>
    <w:rsid w:val="00714188"/>
    <w:rPr>
      <w:rFonts w:eastAsiaTheme="majorEastAsia" w:cstheme="majorBidi"/>
      <w:color w:val="595959" w:themeColor="text1" w:themeTint="A6"/>
      <w:sz w:val="24"/>
      <w:szCs w:val="24"/>
    </w:rPr>
  </w:style>
  <w:style w:type="character" w:customStyle="1" w:styleId="Ttulo8Car">
    <w:name w:val="Título 8 Car"/>
    <w:basedOn w:val="Fuentedeprrafopredeter"/>
    <w:link w:val="Ttulo8"/>
    <w:uiPriority w:val="9"/>
    <w:semiHidden/>
    <w:rsid w:val="00714188"/>
    <w:rPr>
      <w:rFonts w:eastAsiaTheme="majorEastAsia" w:cstheme="majorBidi"/>
      <w:i/>
      <w:iCs/>
      <w:color w:val="272727" w:themeColor="text1" w:themeTint="D8"/>
      <w:sz w:val="24"/>
      <w:szCs w:val="24"/>
    </w:rPr>
  </w:style>
  <w:style w:type="character" w:customStyle="1" w:styleId="Ttulo9Car">
    <w:name w:val="Título 9 Car"/>
    <w:basedOn w:val="Fuentedeprrafopredeter"/>
    <w:link w:val="Ttulo9"/>
    <w:uiPriority w:val="9"/>
    <w:semiHidden/>
    <w:rsid w:val="00714188"/>
    <w:rPr>
      <w:rFonts w:eastAsiaTheme="majorEastAsia" w:cstheme="majorBidi"/>
      <w:color w:val="272727" w:themeColor="text1" w:themeTint="D8"/>
      <w:sz w:val="24"/>
      <w:szCs w:val="24"/>
    </w:rPr>
  </w:style>
  <w:style w:type="paragraph" w:styleId="Ttulo">
    <w:name w:val="Title"/>
    <w:basedOn w:val="Normal"/>
    <w:next w:val="Normal"/>
    <w:link w:val="TtuloCar"/>
    <w:uiPriority w:val="10"/>
    <w:qFormat/>
    <w:rsid w:val="0071418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7141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1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4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188"/>
    <w:pPr>
      <w:spacing w:before="160"/>
      <w:jc w:val="center"/>
    </w:pPr>
    <w:rPr>
      <w:i/>
      <w:iCs/>
      <w:color w:val="404040" w:themeColor="text1" w:themeTint="BF"/>
    </w:rPr>
  </w:style>
  <w:style w:type="character" w:customStyle="1" w:styleId="CitaCar">
    <w:name w:val="Cita Car"/>
    <w:basedOn w:val="Fuentedeprrafopredeter"/>
    <w:link w:val="Cita"/>
    <w:uiPriority w:val="29"/>
    <w:rsid w:val="00714188"/>
    <w:rPr>
      <w:rFonts w:ascii="Times New Roman" w:hAnsi="Times New Roman"/>
      <w:i/>
      <w:iCs/>
      <w:color w:val="404040" w:themeColor="text1" w:themeTint="BF"/>
      <w:sz w:val="24"/>
      <w:szCs w:val="24"/>
    </w:rPr>
  </w:style>
  <w:style w:type="paragraph" w:styleId="Prrafodelista">
    <w:name w:val="List Paragraph"/>
    <w:basedOn w:val="Normal"/>
    <w:uiPriority w:val="34"/>
    <w:qFormat/>
    <w:rsid w:val="00714188"/>
    <w:pPr>
      <w:ind w:left="720"/>
      <w:contextualSpacing/>
    </w:pPr>
  </w:style>
  <w:style w:type="character" w:styleId="nfasisintenso">
    <w:name w:val="Intense Emphasis"/>
    <w:basedOn w:val="Fuentedeprrafopredeter"/>
    <w:uiPriority w:val="21"/>
    <w:qFormat/>
    <w:rsid w:val="00714188"/>
    <w:rPr>
      <w:i/>
      <w:iCs/>
      <w:color w:val="2F5496" w:themeColor="accent1" w:themeShade="BF"/>
    </w:rPr>
  </w:style>
  <w:style w:type="paragraph" w:styleId="Citadestacada">
    <w:name w:val="Intense Quote"/>
    <w:basedOn w:val="Normal"/>
    <w:next w:val="Normal"/>
    <w:link w:val="CitadestacadaCar"/>
    <w:uiPriority w:val="30"/>
    <w:qFormat/>
    <w:rsid w:val="0071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4188"/>
    <w:rPr>
      <w:rFonts w:ascii="Times New Roman" w:hAnsi="Times New Roman"/>
      <w:i/>
      <w:iCs/>
      <w:color w:val="2F5496" w:themeColor="accent1" w:themeShade="BF"/>
      <w:sz w:val="24"/>
      <w:szCs w:val="24"/>
    </w:rPr>
  </w:style>
  <w:style w:type="character" w:styleId="Referenciaintensa">
    <w:name w:val="Intense Reference"/>
    <w:basedOn w:val="Fuentedeprrafopredeter"/>
    <w:uiPriority w:val="32"/>
    <w:qFormat/>
    <w:rsid w:val="00714188"/>
    <w:rPr>
      <w:b/>
      <w:bCs/>
      <w:smallCaps/>
      <w:color w:val="2F5496" w:themeColor="accent1" w:themeShade="BF"/>
      <w:spacing w:val="5"/>
    </w:rPr>
  </w:style>
  <w:style w:type="character" w:styleId="Textodelmarcadordeposicin">
    <w:name w:val="Placeholder Text"/>
    <w:basedOn w:val="Fuentedeprrafopredeter"/>
    <w:uiPriority w:val="99"/>
    <w:semiHidden/>
    <w:rsid w:val="00757C7D"/>
    <w:rPr>
      <w:color w:val="666666"/>
    </w:rPr>
  </w:style>
  <w:style w:type="character" w:styleId="Hipervnculo">
    <w:name w:val="Hyperlink"/>
    <w:basedOn w:val="Fuentedeprrafopredeter"/>
    <w:uiPriority w:val="99"/>
    <w:unhideWhenUsed/>
    <w:rsid w:val="009429AA"/>
    <w:rPr>
      <w:color w:val="0563C1" w:themeColor="hyperlink"/>
      <w:u w:val="single"/>
    </w:rPr>
  </w:style>
  <w:style w:type="character" w:styleId="Mencinsinresolver">
    <w:name w:val="Unresolved Mention"/>
    <w:basedOn w:val="Fuentedeprrafopredeter"/>
    <w:uiPriority w:val="99"/>
    <w:semiHidden/>
    <w:unhideWhenUsed/>
    <w:rsid w:val="00942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517330">
      <w:bodyDiv w:val="1"/>
      <w:marLeft w:val="0"/>
      <w:marRight w:val="0"/>
      <w:marTop w:val="0"/>
      <w:marBottom w:val="0"/>
      <w:divBdr>
        <w:top w:val="none" w:sz="0" w:space="0" w:color="auto"/>
        <w:left w:val="none" w:sz="0" w:space="0" w:color="auto"/>
        <w:bottom w:val="none" w:sz="0" w:space="0" w:color="auto"/>
        <w:right w:val="none" w:sz="0" w:space="0" w:color="auto"/>
      </w:divBdr>
    </w:div>
    <w:div w:id="983661686">
      <w:bodyDiv w:val="1"/>
      <w:marLeft w:val="0"/>
      <w:marRight w:val="0"/>
      <w:marTop w:val="0"/>
      <w:marBottom w:val="0"/>
      <w:divBdr>
        <w:top w:val="none" w:sz="0" w:space="0" w:color="auto"/>
        <w:left w:val="none" w:sz="0" w:space="0" w:color="auto"/>
        <w:bottom w:val="none" w:sz="0" w:space="0" w:color="auto"/>
        <w:right w:val="none" w:sz="0" w:space="0" w:color="auto"/>
      </w:divBdr>
    </w:div>
    <w:div w:id="1461387593">
      <w:bodyDiv w:val="1"/>
      <w:marLeft w:val="0"/>
      <w:marRight w:val="0"/>
      <w:marTop w:val="0"/>
      <w:marBottom w:val="0"/>
      <w:divBdr>
        <w:top w:val="none" w:sz="0" w:space="0" w:color="auto"/>
        <w:left w:val="none" w:sz="0" w:space="0" w:color="auto"/>
        <w:bottom w:val="none" w:sz="0" w:space="0" w:color="auto"/>
        <w:right w:val="none" w:sz="0" w:space="0" w:color="auto"/>
      </w:divBdr>
    </w:div>
    <w:div w:id="18252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oogle.com/search?q=https://ai.google/discover/generative-ai/&amp;authuser=2" TargetMode="External"/><Relationship Id="rId5" Type="http://schemas.openxmlformats.org/officeDocument/2006/relationships/hyperlink" Target="https://www.google.com/search?q=https://openai.com/blog/what-is-generative-ai&amp;authuser=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8C191-374B-4AF2-8C41-B95A12C7A2BA}">
  <we:reference id="wa104382081" version="1.55.1.0" store="es-E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027EA-AC48-4F10-BC4B-39A5BB48A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7</Pages>
  <Words>2111</Words>
  <Characters>11613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Kushiro Morales</dc:creator>
  <cp:keywords/>
  <dc:description/>
  <cp:lastModifiedBy>Kushiro Morales</cp:lastModifiedBy>
  <cp:revision>1</cp:revision>
  <dcterms:created xsi:type="dcterms:W3CDTF">2025-08-01T20:21:00Z</dcterms:created>
  <dcterms:modified xsi:type="dcterms:W3CDTF">2025-08-01T23:13:00Z</dcterms:modified>
</cp:coreProperties>
</file>