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300"/>
        <w:jc w:val="center"/>
      </w:pPr>
      <w:r>
        <w:rPr>
          <w:rFonts w:ascii="Times New Roman" w:cs="Times New Roman" w:eastAsia="Times New Roman" w:hAnsi="Times New Roman"/>
          <w:b/>
          <w:bCs/>
          <w:sz w:val="32"/>
          <w:szCs w:val="32"/>
        </w:rPr>
        <w:t xml:space="preserve">Cognitive Obesity: Cognitive-Experiential Imbalance as a Unifying Framework for Depression, Violence, and Information Overload</w:t>
      </w:r>
    </w:p>
    <w:p>
      <w:pPr>
        <w:spacing w:after="100"/>
        <w:jc w:val="center"/>
      </w:pPr>
      <w:r>
        <w:rPr>
          <w:rFonts w:ascii="Times New Roman" w:cs="Times New Roman" w:eastAsia="Times New Roman" w:hAnsi="Times New Roman"/>
          <w:sz w:val="24"/>
          <w:szCs w:val="24"/>
        </w:rPr>
        <w:t xml:space="preserve">Kazuyoshi Miyauchi</w:t>
      </w:r>
    </w:p>
    <w:p>
      <w:pPr>
        <w:spacing w:after="100"/>
        <w:jc w:val="center"/>
      </w:pPr>
      <w:r>
        <w:rPr>
          <w:rFonts w:ascii="Times New Roman" w:cs="Times New Roman" w:eastAsia="Times New Roman" w:hAnsi="Times New Roman"/>
          <w:i/>
          <w:iCs/>
          <w:sz w:val="22"/>
          <w:szCs w:val="22"/>
        </w:rPr>
        <w:t xml:space="preserve">Independent Researcher</w:t>
      </w:r>
    </w:p>
    <w:p>
      <w:pPr>
        <w:spacing w:after="200"/>
        <w:jc w:val="center"/>
      </w:pPr>
      <w:r>
        <w:rPr>
          <w:rFonts w:ascii="Times New Roman" w:cs="Times New Roman" w:eastAsia="Times New Roman" w:hAnsi="Times New Roman"/>
          <w:sz w:val="20"/>
          <w:szCs w:val="20"/>
        </w:rPr>
        <w:t xml:space="preserve">Contact: miyauchikazuyoshi@gmail.com</w:t>
      </w:r>
    </w:p>
    <w:p>
      <w:pPr>
        <w:spacing w:after="100"/>
        <w:jc w:val="center"/>
      </w:pPr>
      <w:r>
        <w:rPr>
          <w:rFonts w:ascii="Times New Roman" w:cs="Times New Roman" w:eastAsia="Times New Roman" w:hAnsi="Times New Roman"/>
          <w:color w:val="888888"/>
          <w:sz w:val="20"/>
          <w:szCs w:val="20"/>
        </w:rPr>
        <w:t xml:space="preserve">March 2026 | Exploratory Study (Preprint)</w:t>
      </w:r>
    </w:p>
    <w:p>
      <w:pPr>
        <w:spacing w:after="400"/>
        <w:jc w:val="center"/>
      </w:pPr>
      <w:r>
        <w:rPr>
          <w:rFonts w:ascii="Times New Roman" w:cs="Times New Roman" w:eastAsia="Times New Roman" w:hAnsi="Times New Roman"/>
          <w:color w:val="0066cc"/>
          <w:sz w:val="18"/>
          <w:szCs w:val="18"/>
        </w:rPr>
        <w:t xml:space="preserve">Replication: github.com/miyauchikazuyoshi/cognitive-obesity-replication</w:t>
      </w:r>
    </w:p>
    <w:p>
      <w:pPr>
        <w:pStyle w:val="Heading1"/>
      </w:pPr>
      <w:r>
        <w:t xml:space="preserve">Abstract</w:t>
      </w:r>
    </w:p>
    <w:p>
      <w:pPr>
        <w:spacing w:after="200"/>
      </w:pPr>
      <w:r>
        <w:rPr>
          <w:rFonts w:ascii="Times New Roman" w:cs="Times New Roman" w:eastAsia="Times New Roman" w:hAnsi="Times New Roman"/>
          <w:sz w:val="22"/>
          <w:szCs w:val="22"/>
        </w:rPr>
        <w:t xml:space="preserve"/>
      </w:r>
    </w:p>
    <w:p>
      <w:pPr>
        <w:spacing w:after="200"/>
      </w:pPr>
      <w:r>
        <w:rPr>
          <w:rFonts w:ascii="Times New Roman" w:cs="Times New Roman" w:eastAsia="Times New Roman" w:hAnsi="Times New Roman"/>
          <w:i/>
          <w:iCs/>
          <w:sz w:val="20"/>
          <w:szCs w:val="20"/>
        </w:rPr>
        <w:t xml:space="preserve">Keywords: cognitive obesity, digital media, mental health, balance model, sensorimotor loop closure, advertising exposure, experiential processing</w:t>
      </w:r>
    </w:p>
    <w:p>
      <w:r>
        <w:br w:type="page"/>
      </w:r>
    </w:p>
    <w:p>
      <w:r>
        <w:br w:type="page"/>
      </w:r>
    </w:p>
    <w:p>
      <w:r>
        <w:br w:type="page"/>
      </w:r>
    </w:p>
    <w:p>
      <w:r>
        <w:br w:type="page"/>
      </w:r>
    </w:p>
    <w:p>
      <w:r>
        <w:br w:type="page"/>
      </w:r>
    </w:p>
    <w:p>
      <w:r>
        <w:br w:type="page"/>
      </w:r>
    </w:p>
    <w:p>
      <w:pPr>
        <w:pStyle w:val="Heading1"/>
        <w:spacing w:before="400"/>
      </w:pPr>
      <w:r>
        <w:t xml:space="preserve">3. Theoretical Framework</w:t>
      </w:r>
    </w:p>
    <w:p>
      <w:pPr>
        <w:pStyle w:val="Heading2"/>
        <w:spacing w:before="300"/>
      </w:pPr>
      <w:r>
        <w:t xml:space="preserve">3.1 Nutritional Metabolism Analogy</w:t>
      </w:r>
    </w:p>
    <w:p>
      <w:pPr>
        <w:spacing w:after="200"/>
      </w:pPr>
      <w:r>
        <w:rPr>
          <w:rFonts w:ascii="Times New Roman" w:cs="Times New Roman" w:eastAsia="Times New Roman" w:hAnsi="Times New Roman"/>
          <w:sz w:val="22"/>
          <w:szCs w:val="22"/>
        </w:rPr>
        <w:t xml:space="preserve">The proposed framework draws a structural analogy between nutritional metabolism and cognitive processing:</w:t>
      </w:r>
    </w:p>
    <w:p>
      <w:pPr>
        <w:spacing w:after="200"/>
      </w:pPr>
      <w:r>
        <w:rPr>
          <w:rFonts w:ascii="Times New Roman" w:cs="Times New Roman" w:eastAsia="Times New Roman" w:hAnsi="Times New Roman"/>
          <w:sz w:val="22"/>
          <w:szCs w:val="22"/>
        </w:rPr>
        <w:t xml:space="preserve">Nutrition → Cognition: Caloric intake → Information input (screen time, media, symbolic content). Metabolic expenditure → Experiential processing (physical activity, sensorimotor engagement). Nutrient absorption/storage → Abstraction through education, introspection, sleep. Obesity (intake &gt;&gt; expenditure) → "Cognitive obesity" (cognitive input &gt;&gt; experiential processing). Metabolic syndrome → Depression, anxiety, processing breakdown.</w:t>
      </w:r>
    </w:p>
    <w:p>
      <w:pPr>
        <w:spacing w:after="200"/>
      </w:pPr>
      <w:r>
        <w:rPr>
          <w:rFonts w:ascii="Times New Roman" w:cs="Times New Roman" w:eastAsia="Times New Roman" w:hAnsi="Times New Roman"/>
          <w:sz w:val="22"/>
          <w:szCs w:val="22"/>
        </w:rPr>
        <w:t xml:space="preserve">This analogy is not merely metaphorical. It generates specific testable predictions (Section 5) and explains why the screen time debate fails to converge. Both camps measure absolute quantity, but pathology is balance-dependent. Here "balance" refers to additive imbalance (L = α₁·Input − α₂·Processing). Just as the standard energy balance equation in nutritional science (EB = Intake − Expenditure) is an additive difference rather than a ratio, cognitive input and processing contribute to pathology as independent additive channels in the cognitive domain (empirically demonstrated in Section 2.3).</w:t>
      </w:r>
    </w:p>
    <w:p>
      <w:pPr>
        <w:spacing w:after="200"/>
      </w:pPr>
      <w:r>
        <w:rPr>
          <w:rFonts w:ascii="Times New Roman" w:cs="Times New Roman" w:eastAsia="Times New Roman" w:hAnsi="Times New Roman"/>
          <w:sz w:val="22"/>
          <w:szCs w:val="22"/>
        </w:rPr>
        <w:t xml:space="preserve">On prior work: Whitworth (2009) proposed a similar nutritional metaphor for information overload but without epidemiological data or operationalization. Recently, the expression "Cognitive Obesity" has begun appearing in popular contexts accompanying the spread of generative AI (Foley, 2025). However, these remain metaphorical observations without international panel data verification, input/processing capacity balance models, sensorimotor loop closure-based screen time classification, or the prescriptive concept of cognitive starvation. This framework differs from these precedents in (a) providing international statistical evidence, (b) grounding in processing mode theory, and (c) deriving falsifiable predictions.</w:t>
      </w:r>
    </w:p>
    <w:p>
      <w:pPr>
        <w:pStyle w:val="Heading2"/>
        <w:spacing w:before="300"/>
      </w:pPr>
      <w:r>
        <w:t xml:space="preserve">3.2 Cognitive Load: Asymmetric Accumulation Mechanism</w:t>
      </w:r>
    </w:p>
    <w:p>
      <w:pPr>
        <w:spacing w:after="200"/>
      </w:pPr>
      <w:r>
        <w:rPr>
          <w:rFonts w:ascii="Times New Roman" w:cs="Times New Roman" w:eastAsia="Times New Roman" w:hAnsi="Times New Roman"/>
          <w:sz w:val="22"/>
          <w:szCs w:val="22"/>
        </w:rPr>
        <w:t xml:space="preserve">The preceding analogy describes the structure of the problem. This section examines the mechanism: why does balance become pathological particularly in developed countries?</w:t>
      </w:r>
    </w:p>
    <w:p>
      <w:pPr>
        <w:spacing w:after="200"/>
      </w:pPr>
      <w:r>
        <w:rPr>
          <w:rFonts w:ascii="Times New Roman" w:cs="Times New Roman" w:eastAsia="Times New Roman" w:hAnsi="Times New Roman"/>
          <w:sz w:val="22"/>
          <w:szCs w:val="22"/>
        </w:rPr>
        <w:t xml:space="preserve">3.2.1 Emotional Granularity and Processing Cost</w:t>
      </w:r>
    </w:p>
    <w:p>
      <w:pPr>
        <w:spacing w:after="200"/>
      </w:pPr>
      <w:r>
        <w:rPr>
          <w:rFonts w:ascii="Times New Roman" w:cs="Times New Roman" w:eastAsia="Times New Roman" w:hAnsi="Times New Roman"/>
          <w:sz w:val="22"/>
          <w:szCs w:val="22"/>
        </w:rPr>
        <w:t xml:space="preserve">According to Barrett's constructionist emotion theory, emotion categories are culturally constructed and differentiate with development. "Anger" differentiates into "indignation," "irritation," "righteous anger," "jealousy," etc. This differentiation is adaptive: higher granularity enables more contextually appropriate responses. However, granularity carries maintenance costs. With n emotion categories, the potential relational structure is O(n²). The essential asymmetry is not that low-income countries have fewer emotion categories, but that their social environments generate fewer discrimination events per unit time.</w:t>
      </w:r>
    </w:p>
    <w:p>
      <w:pPr>
        <w:spacing w:after="200"/>
      </w:pPr>
      <w:r>
        <w:rPr>
          <w:rFonts w:ascii="Times New Roman" w:cs="Times New Roman" w:eastAsia="Times New Roman" w:hAnsi="Times New Roman"/>
          <w:sz w:val="22"/>
          <w:szCs w:val="22"/>
        </w:rPr>
        <w:t xml:space="preserve">3.2.2 Information Input Unilaterally Increases Processing Cost</w:t>
      </w:r>
    </w:p>
    <w:p>
      <w:pPr>
        <w:spacing w:after="200"/>
      </w:pPr>
      <w:r>
        <w:rPr>
          <w:rFonts w:ascii="Times New Roman" w:cs="Times New Roman" w:eastAsia="Times New Roman" w:hAnsi="Times New Roman"/>
          <w:sz w:val="22"/>
          <w:szCs w:val="22"/>
        </w:rPr>
        <w:t xml:space="preserve">Social media and digital media amplify this asymmetry through two mechanisms: (a) Exposure volume—daily contact with others' internal states was physically constrained before digital media (Dunbar number and geographic proximity); SNS increases this to hundreds or thousands daily, each contact demanding emotional discrimination. (b) Self-referential comparison—others' posts implicitly demand comparison with one's own life, activating social emotions (jealousy, inadequacy, self-evaluation)—the most cognitively costly emotion group.</w:t>
      </w:r>
    </w:p>
    <w:p>
      <w:pPr>
        <w:spacing w:after="200"/>
      </w:pPr>
      <w:r>
        <w:rPr>
          <w:rFonts w:ascii="Times New Roman" w:cs="Times New Roman" w:eastAsia="Times New Roman" w:hAnsi="Times New Roman"/>
          <w:sz w:val="22"/>
          <w:szCs w:val="22"/>
        </w:rPr>
        <w:t xml:space="preserve">3.2.3 Education Functions as Compression</w:t>
      </w:r>
    </w:p>
    <w:p>
      <w:pPr>
        <w:spacing w:after="200"/>
      </w:pPr>
      <w:r>
        <w:rPr>
          <w:rFonts w:ascii="Times New Roman" w:cs="Times New Roman" w:eastAsia="Times New Roman" w:hAnsi="Times New Roman"/>
          <w:sz w:val="22"/>
          <w:szCs w:val="22"/>
        </w:rPr>
        <w:t xml:space="preserve">Education reduces processing cost through abstraction. Recognizing that "these 10 emotional reactions are all instances of 'loss response'" compresses 10 individual processing events into one. This explains why education's regression coefficient is negative (depression reduction): education provides a compression basis for converting raw cognitive input into manageable units.</w:t>
      </w:r>
    </w:p>
    <w:p>
      <w:pPr>
        <w:spacing w:after="200"/>
      </w:pPr>
      <w:r>
        <w:rPr>
          <w:rFonts w:ascii="Times New Roman" w:cs="Times New Roman" w:eastAsia="Times New Roman" w:hAnsi="Times New Roman"/>
          <w:sz w:val="22"/>
          <w:szCs w:val="22"/>
        </w:rPr>
        <w:t xml:space="preserve">3.2.4 Threshold Model</w:t>
      </w:r>
    </w:p>
    <w:p>
      <w:pPr>
        <w:spacing w:after="200"/>
      </w:pPr>
      <w:r>
        <w:rPr>
          <w:rFonts w:ascii="Times New Roman" w:cs="Times New Roman" w:eastAsia="Times New Roman" w:hAnsi="Times New Roman"/>
          <w:sz w:val="22"/>
          <w:szCs w:val="22"/>
        </w:rPr>
        <w:t xml:space="preserve">Integrating the above: Processing cost = f(emotional granularity × information input volume)—increases continuously with development. Processing capacity = g(educational compression, experiential processing, sleep recovery)—requires intentional investment. Depression = chronic exceedance of processing cost over processing capacity. Acute crisis (suicide/violence) = acute threshold exceedance of processing cost.</w:t>
      </w:r>
    </w:p>
    <w:p>
      <w:pPr>
        <w:spacing w:after="200"/>
      </w:pPr>
      <w:r>
        <w:rPr>
          <w:rFonts w:ascii="Times New Roman" w:cs="Times New Roman" w:eastAsia="Times New Roman" w:hAnsi="Times New Roman"/>
          <w:sz w:val="22"/>
          <w:szCs w:val="22"/>
        </w:rPr>
        <w:t xml:space="preserve">This model explains why the correlation structure from Study 1 emerges only in high-income countries. In low-income countries, processing cost has not yet exceeded processing capacity, and depression, suicide, and homicide are dominated by independent external causes. In high-income countries, external causes are suppressed, and processing capacity becomes the rate-limiting step.</w:t>
      </w:r>
    </w:p>
    <w:p>
      <w:pPr>
        <w:spacing w:after="200"/>
      </w:pPr>
      <w:r>
        <w:rPr>
          <w:rFonts w:ascii="Times New Roman" w:cs="Times New Roman" w:eastAsia="Times New Roman" w:hAnsi="Times New Roman"/>
          <w:sz w:val="22"/>
          <w:szCs w:val="22"/>
        </w:rPr>
        <w:t xml:space="preserve">3.2.5 Mathematical Formulation</w:t>
      </w:r>
    </w:p>
    <w:p>
      <w:pPr>
        <w:spacing w:after="200"/>
      </w:pPr>
      <w:r>
        <w:rPr>
          <w:rFonts w:ascii="Times New Roman" w:cs="Times New Roman" w:eastAsia="Times New Roman" w:hAnsi="Times New Roman"/>
          <w:sz w:val="22"/>
          <w:szCs w:val="22"/>
        </w:rPr>
        <w:t xml:space="preserve">The verbal model is converted to testable mathematical form. Define cognitive load L for individual (or country) i at time t:</w:t>
      </w:r>
    </w:p>
    <w:p>
      <w:pPr>
        <w:spacing w:after="200"/>
      </w:pPr>
      <w:r>
        <w:rPr>
          <w:rFonts w:ascii="Times New Roman" w:cs="Times New Roman" w:eastAsia="Times New Roman" w:hAnsi="Times New Roman"/>
          <w:sz w:val="22"/>
          <w:szCs w:val="22"/>
        </w:rPr>
        <w:t xml:space="preserve">L_{i,t} = α₁·I_{i,t} − α₂·C_{i,t}    (1)</w:t>
      </w:r>
    </w:p>
    <w:p>
      <w:pPr>
        <w:spacing w:after="200"/>
      </w:pPr>
      <w:r>
        <w:rPr>
          <w:rFonts w:ascii="Times New Roman" w:cs="Times New Roman" w:eastAsia="Times New Roman" w:hAnsi="Times New Roman"/>
          <w:sz w:val="22"/>
          <w:szCs w:val="22"/>
        </w:rPr>
        <w:t xml:space="preserve">where I is cognitive input, C is experiential processing capacity, and α₁, α₂ are sensitivity parameters. Depression risk D is formulated as a logistic function of cognitive load:</w:t>
      </w:r>
    </w:p>
    <w:p>
      <w:pPr>
        <w:spacing w:after="200"/>
      </w:pPr>
      <w:r>
        <w:rPr>
          <w:rFonts w:ascii="Times New Roman" w:cs="Times New Roman" w:eastAsia="Times New Roman" w:hAnsi="Times New Roman"/>
          <w:sz w:val="22"/>
          <w:szCs w:val="22"/>
        </w:rPr>
        <w:t xml:space="preserve">D_{i,t} = σ(L_{i,t} − θ) = 1 / (1 + exp(−(L_{i,t} − θ)))    (2)</w:t>
      </w:r>
    </w:p>
    <w:p>
      <w:pPr>
        <w:spacing w:after="200"/>
      </w:pPr>
      <w:r>
        <w:rPr>
          <w:rFonts w:ascii="Times New Roman" w:cs="Times New Roman" w:eastAsia="Times New Roman" w:hAnsi="Times New Roman"/>
          <w:sz w:val="22"/>
          <w:szCs w:val="22"/>
        </w:rPr>
        <w:t xml:space="preserve">where θ is a threshold parameter. The logistic function captures nonlinearity (slow risk increase at low load, saturation at high), threshold effects (rapid risk increase near θ), and boundedness (D ∈ [0,1]).</w:t>
      </w:r>
    </w:p>
    <w:p>
      <w:pPr>
        <w:spacing w:after="200"/>
      </w:pPr>
      <w:r>
        <w:rPr>
          <w:rFonts w:ascii="Times New Roman" w:cs="Times New Roman" w:eastAsia="Times New Roman" w:hAnsi="Times New Roman"/>
          <w:sz w:val="22"/>
          <w:szCs w:val="22"/>
        </w:rPr>
        <w:t xml:space="preserve">At the macro level, aggregate balance is approximated by:
First approximation: R̄ ≈ Internet / Education    (3a)
Refined: AdProxy = Internet × GDP/capita    (3b)</w:t>
      </w:r>
    </w:p>
    <w:p>
      <w:pPr>
        <w:spacing w:after="200"/>
      </w:pPr>
      <w:r>
        <w:rPr>
          <w:rFonts w:ascii="Times New Roman" w:cs="Times New Roman" w:eastAsia="Times New Roman" w:hAnsi="Times New Roman"/>
          <w:sz w:val="22"/>
          <w:szCs w:val="22"/>
        </w:rPr>
        <w:t xml:space="preserve">Equation (3a) collapsed under TWFE (Section 2.2.2). Equation (3b) partially overcomes this by approximating advertising ecosystem maturity—the density of non-selective cognitive input. Limitations: Equations (1)-(2) are static, not distinguishing chronic vs. intermittent overload; dynamic extensions (moving averages, cumulative excess models) are future work. Whether α and θ are constant across individuals and cultures is empirically unconfirmed.</w:t>
      </w:r>
    </w:p>
    <w:p>
      <w:pPr>
        <w:spacing w:after="200"/>
      </w:pPr>
      <w:r>
        <w:rPr>
          <w:rFonts w:ascii="Times New Roman" w:cs="Times New Roman" w:eastAsia="Times New Roman" w:hAnsi="Times New Roman"/>
          <w:sz w:val="22"/>
          <w:szCs w:val="22"/>
        </w:rPr>
        <w:t xml:space="preserve">3.2.6 Empirical Parameter Estimation</w:t>
      </w:r>
    </w:p>
    <w:p>
      <w:pPr>
        <w:spacing w:after="200"/>
      </w:pPr>
      <w:r>
        <w:rPr>
          <w:rFonts w:ascii="Times New Roman" w:cs="Times New Roman" w:eastAsia="Times New Roman" w:hAnsi="Times New Roman"/>
          <w:sz w:val="22"/>
          <w:szCs w:val="22"/>
        </w:rPr>
        <w:t xml:space="preserve">Using 177-country panel data, piecewise regression with country fixed effects identifies the optimal threshold R* = 2.75 for the first approximation. Below this threshold, the within-country slope β ≈ −0.002 (effectively zero); above, β = 0.034 (significant positive). Income-stratified analysis: High-income countries (45 countries): β = 0.042, t = 14.0, within R² = 0.252—the first approximation explains 25.2% of within-country depression variation, exceptionally high for an epidemiological variable. Middle-income: β = 0.005, t = 1.7, n.s. Low-income: β = 0.025, t = 6.9 (potentially confounded by urbanization and conflict).</w:t>
      </w:r>
    </w:p>
    <w:p>
      <w:pPr>
        <w:pStyle w:val="Heading2"/>
        <w:spacing w:before="300"/>
      </w:pPr>
      <w:r>
        <w:t xml:space="preserve">3.3 Sensorimotor Loop Closure</w:t>
      </w:r>
    </w:p>
    <w:p>
      <w:pPr>
        <w:spacing w:after="200"/>
      </w:pPr>
      <w:r>
        <w:rPr>
          <w:rFonts w:ascii="Times New Roman" w:cs="Times New Roman" w:eastAsia="Times New Roman" w:hAnsi="Times New Roman"/>
          <w:sz w:val="22"/>
          <w:szCs w:val="22"/>
        </w:rPr>
        <w:t xml:space="preserve">Not all screen time is equivalent. This framework predicts that mental health impact depends on the sensorimotor loop closure degree of the activity.</w:t>
      </w:r>
    </w:p>
    <w:p>
      <w:pPr>
        <w:spacing w:after="200"/>
      </w:pPr>
      <w:r>
        <w:rPr>
          <w:rFonts w:ascii="Times New Roman" w:cs="Times New Roman" w:eastAsia="Times New Roman" w:hAnsi="Times New Roman"/>
          <w:sz w:val="22"/>
          <w:szCs w:val="22"/>
        </w:rPr>
        <w:t xml:space="preserve">Closed loop (adaptive): Cognitive input leads to motor output, generating environmental feedback that updates subsequent cognition. Examples: video games (input→judgment→motor action→visual feedback→adjustment), creative work (idea→execution→environmental response), scientific inquiry (hypothesis→experiment→data→revision).</w:t>
      </w:r>
    </w:p>
    <w:p>
      <w:pPr>
        <w:spacing w:after="200"/>
      </w:pPr>
      <w:r>
        <w:rPr>
          <w:rFonts w:ascii="Times New Roman" w:cs="Times New Roman" w:eastAsia="Times New Roman" w:hAnsi="Times New Roman"/>
          <w:sz w:val="22"/>
          <w:szCs w:val="22"/>
        </w:rPr>
        <w:t xml:space="preserve">Open loop (maladaptive): Cognitive input is processed without motor output or environmental feedback. Examples: social media scrolling, algorithmic feed consumption, passive video viewing.</w:t>
      </w:r>
    </w:p>
    <w:p>
      <w:pPr>
        <w:spacing w:after="200"/>
      </w:pPr>
      <w:r>
        <w:rPr>
          <w:rFonts w:ascii="Times New Roman" w:cs="Times New Roman" w:eastAsia="Times New Roman" w:hAnsi="Times New Roman"/>
          <w:sz w:val="22"/>
          <w:szCs w:val="22"/>
        </w:rPr>
        <w:t xml:space="preserve">Self-referential loop (pathological): Output feeds back only to the self without external grounding. Examples: rumination, worry, obsessive comparison.</w:t>
      </w:r>
    </w:p>
    <w:p>
      <w:pPr>
        <w:spacing w:after="200"/>
      </w:pPr>
      <w:r>
        <w:rPr>
          <w:rFonts w:ascii="Times New Roman" w:cs="Times New Roman" w:eastAsia="Times New Roman" w:hAnsi="Times New Roman"/>
          <w:sz w:val="22"/>
          <w:szCs w:val="22"/>
        </w:rPr>
        <w:t xml:space="preserve">Video games serve as a test case for this classification. Game research has shifted from "games = harmful" to "it depends on the type and quality of engagement" (Granic et al. 2014; Johannes et al. 2021). This framework unifies this finding. Creative games (Minecraft: environment construction→feedback→redesign) and competitive games (chess, competitive FPS: action→opponent response→strategy revision) have high loop closure (Term 2). Gacha grinding, level-up grinding, and idle games have low loop closure—passive subordination to variable ratio reward schedules—approaching Term 1. Narrative RPGs are intermediate, oscillating between Term 2 (choice→branching→consequence feedback) and Term 1 (passive cutscenes).</w:t>
      </w:r>
    </w:p>
    <w:p>
      <w:pPr>
        <w:spacing w:after="200"/>
      </w:pPr>
      <w:r>
        <w:rPr>
          <w:rFonts w:ascii="Times New Roman" w:cs="Times New Roman" w:eastAsia="Times New Roman" w:hAnsi="Times New Roman"/>
          <w:sz w:val="22"/>
          <w:szCs w:val="22"/>
        </w:rPr>
        <w:t xml:space="preserve">Critically, loop closure varies within the same game depending on individual engagement mode—competitively played games and idly ground games have different loop structures despite being the same title. Similarly, political debate on SNS has high loop closure insofar as one's output is continuously updated by others' rebuttals. Category-based classification is an approximation; loop closure is a momentary state of agent-environment causal coupling, not a fixed attribute of activity categories. Rigorous measurement requires real-time ESM assessment of subjective engagement and prediction error frequency (Section 5), which constitutes this framework's most important operationalization challenge.</w:t>
      </w:r>
    </w:p>
    <w:p>
      <w:pPr>
        <w:pStyle w:val="Heading2"/>
        <w:spacing w:before="300"/>
      </w:pPr>
      <w:r>
        <w:t xml:space="preserve">3.4 Self-Referential Loop as General Pathology</w:t>
      </w:r>
    </w:p>
    <w:p>
      <w:pPr>
        <w:spacing w:after="200"/>
      </w:pPr>
      <w:r>
        <w:rPr>
          <w:rFonts w:ascii="Times New Roman" w:cs="Times New Roman" w:eastAsia="Times New Roman" w:hAnsi="Times New Roman"/>
          <w:sz w:val="22"/>
          <w:szCs w:val="22"/>
        </w:rPr>
        <w:t xml:space="preserve">Self-referential loop structure is common to seemingly disparate phenomena: Rumination (thought→analysis→thought, missing external falsification), worry (future scenario→anxiety→scenario, missing behavioral test), social comparison (self-evaluation→comparison→self-evaluation, missing external standard), echo chambers (belief→confirmation→belief, missing disconfirming information), AI sycophancy (user input→agreeable response→user input, missing prediction error).</w:t>
      </w:r>
    </w:p>
    <w:p>
      <w:pPr>
        <w:pStyle w:val="Heading2"/>
        <w:spacing w:before="300"/>
      </w:pPr>
      <w:r>
        <w:t xml:space="preserve">3.5 Generative AI: The Ultimate Test Case</w:t>
      </w:r>
    </w:p>
    <w:p>
      <w:pPr>
        <w:spacing w:after="200"/>
      </w:pPr>
      <w:r>
        <w:rPr>
          <w:rFonts w:ascii="Times New Roman" w:cs="Times New Roman" w:eastAsia="Times New Roman" w:hAnsi="Times New Roman"/>
          <w:sz w:val="22"/>
          <w:szCs w:val="22"/>
        </w:rPr>
        <w:t xml:space="preserve">Since ChatGPT's release in late 2022, generative AI has emerged as a technology that simultaneously accelerates all variables in this framework: infinite personalized content generation (Term 1 increase), 24/7 availability without physical engagement (Term 2 suppression), and sycophantic reinforcement of existing beliefs (self-referential loop strengthening).</w:t>
      </w:r>
    </w:p>
    <w:p>
      <w:pPr>
        <w:spacing w:after="200"/>
      </w:pPr>
      <w:r>
        <w:rPr>
          <w:rFonts w:ascii="Times New Roman" w:cs="Times New Roman" w:eastAsia="Times New Roman" w:hAnsi="Times New Roman"/>
          <w:sz w:val="22"/>
          <w:szCs w:val="22"/>
        </w:rPr>
        <w:t xml:space="preserve">The framework generates structural predictions about AI's impact: Prediction A: Personal use of general-purpose AI (ChatGPT etc.) shows positive association with depression symptoms, while structured therapeutic AI (with loop closure designed in) shows symptom improvement. Preliminary evidence: Perlis et al. found positive associations between general AI use and depression; Heinz et al. (2025, NEJM AI) found Therabot (structured CBT-based AI) produced 51% depression reduction (d = 0.845-0.903). However, an important alternative explanation: Therabot's effect may stem from CBT protocol enforcement rather than loop closure per se. Since both share the same technical foundation (LLM probabilistic token generation + RLHF sycophancy optimization), a more incisive prediction follows: RLHF sycophancy structurally antagonizes therapeutic protocols, so therapeutic AI effects should attenuate over time—especially when protocols demand uncomfortable tasks (exposure therapy, behavioral experiments). This prediction is testable via long-term follow-up (6+ months) of randomized trials.</w:t>
      </w:r>
    </w:p>
    <w:p>
      <w:r>
        <w:br w:type="page"/>
      </w:r>
    </w:p>
    <w:p>
      <w:pPr>
        <w:pStyle w:val="Heading1"/>
        <w:spacing w:before="400"/>
      </w:pPr>
      <w:r>
        <w:t xml:space="preserve">4. Operationalization: Quantifying Experiential Processing</w:t>
      </w:r>
    </w:p>
    <w:p>
      <w:pPr>
        <w:spacing w:after="200"/>
      </w:pPr>
      <w:r>
        <w:rPr>
          <w:rFonts w:ascii="Times New Roman" w:cs="Times New Roman" w:eastAsia="Times New Roman" w:hAnsi="Times New Roman"/>
          <w:sz w:val="22"/>
          <w:szCs w:val="22"/>
        </w:rPr>
        <w:t xml:space="preserve">This framework requires measurable proxy variables for "experiential processing." Five candidates are identified in order of specificity:</w:t>
      </w:r>
    </w:p>
    <w:p>
      <w:pPr>
        <w:pStyle w:val="Heading2"/>
        <w:spacing w:before="300"/>
      </w:pPr>
      <w:r>
        <w:t xml:space="preserve">4.1 Interoceptive Awareness (MAIA-2): The Multidimensional Assessment of Interoceptive Awareness, Version 2 (Mehling et al., 2018) measures awareness of bodily signals across 8 dimensions. Low interoceptive sensitivity predicts both alexithymia and depression. Screen-based activities do not engage interoceptive awareness; physical activity trains it. MAIA-2 is the most promising individual-level proxy for experiential processing capacity.</w:t>
      </w:r>
    </w:p>
    <w:p>
      <w:pPr>
        <w:pStyle w:val="Heading2"/>
        <w:spacing w:before="300"/>
      </w:pPr>
      <w:r>
        <w:t xml:space="preserve">4.2 Alexithymia (TAS-20): The Toronto Alexithymia Scale (difficulty identifying feelings, difficulty describing feelings, externally oriented thinking) may index chronic compression failure—inability to convert raw emotional experience into communicable categories. Methodological note: alexithymia, depression, and interoceptive awareness form a triangle; when examining any one, the other two must be controlled.</w:t>
      </w:r>
    </w:p>
    <w:p>
      <w:pPr>
        <w:pStyle w:val="Heading2"/>
        <w:spacing w:before="300"/>
      </w:pPr>
      <w:r>
        <w:t xml:space="preserve">4.3 Experience Sampling Method (ESM): ESM can capture minute-level cognitive input vs. experiential processing balance in daily life. Integration with wearable devices enables real-time tracking of screen time × physical activity interaction patterns. The critical measurement target is not total screen time or total physical activity but the momentary balance and its temporal pattern.</w:t>
      </w:r>
    </w:p>
    <w:p>
      <w:pPr>
        <w:pStyle w:val="Heading2"/>
        <w:spacing w:before="300"/>
      </w:pPr>
      <w:r>
        <w:t xml:space="preserve">4.4 ATUS Active/Passive Leisure: Roy &amp; Orazem (2021) showed that active leisure is a "normal good" whose demand increases with education and health. Our ATUS analysis (Section 2.3.3) directly validated this: physical exercise (β = +0.39, t = 4.30) and active cognitive leisure (β = +0.08, t = 2.71) independently predicted Cantril life satisfaction, while passive leisure (TV+PC) independently had negative effects (β = −0.20, t = −7.16).</w:t>
      </w:r>
    </w:p>
    <w:p>
      <w:pPr>
        <w:pStyle w:val="Heading2"/>
        <w:spacing w:before="300"/>
      </w:pPr>
      <w:r>
        <w:t xml:space="preserve">4.5 Nonlinear Dose-Response in Screen Time Research: Meta-analyses report that approximately 1 hour/day of screen time is associated with the lowest depression risk, with risk increasing beyond that. This nonlinearity is predicted by the balance framework: 1 hour within 10+ waking hours represents low cognitive/experiential balance; 8 hours represents high balance. The same absolute screen time means different things depending on Term 2 (experiential processing time).</w:t>
      </w:r>
    </w:p>
    <w:p>
      <w:r>
        <w:br w:type="page"/>
      </w:r>
    </w:p>
    <w:p>
      <w:pPr>
        <w:pStyle w:val="Heading1"/>
        <w:spacing w:before="400"/>
      </w:pPr>
      <w:r>
        <w:t xml:space="preserve">5. Proposed Individual-Level Confirmatory Design</w:t>
      </w:r>
    </w:p>
    <w:p>
      <w:pPr>
        <w:pStyle w:val="Heading2"/>
        <w:spacing w:before="300"/>
      </w:pPr>
      <w:r>
        <w:t xml:space="preserve">5.1 Variables: Cognitive input: screen time (decomposed: SNS, video, news, educational) + emotional media consumption. Experiential processing: physical activity time + creative activity time + MAIA-2 score (capacity). Balance variable: cognitive input − experiential processing. Outcomes: depression (PHQ-9), alexithymia (TAS-20), wellbeing scale.</w:t>
      </w:r>
    </w:p>
    <w:p>
      <w:pPr>
        <w:pStyle w:val="Heading2"/>
        <w:spacing w:before="300"/>
      </w:pPr>
      <w:r>
        <w:t xml:space="preserve">5.2 Predictions: The balance variable explains more variance in PHQ-9 than screen time alone (ΔR² test). High MAIA-2 scores buffer depression risk at equivalent screen time (MAIA-2 × screen time interaction). SNS (open loop) shows stronger depression association than games (closed loop) after controlling total screen time. Alexithymia emerges as consequence rather than cause of chronic balance imbalance (mediation analysis).</w:t>
      </w:r>
    </w:p>
    <w:p>
      <w:pPr>
        <w:pStyle w:val="Heading2"/>
        <w:spacing w:before="300"/>
      </w:pPr>
      <w:r>
        <w:t xml:space="preserve">5.3 Proposed Design: ESM study, n = 50-100, 14 days, 8 prompts/day. Wearable integration for automatic physical activity detection. Pre/post: PHQ-9, TAS-20, MAIA-2. Primary analysis: multilevel model with within-person balance as time-varying predictor. Power: based on prior ESM effect sizes (Verduyn et al., 2015: SNS use→affect change β ≈ 0.10-0.15), Level 2 = 50 × Level 1 = 112 observations (8/day × 14 days) = 5,600 observations achieves 80% power for multilevel models (per Arend &amp; Schäfer, 2019 simulation guidelines).</w:t>
      </w:r>
    </w:p>
    <w:p>
      <w:r>
        <w:br w:type="page"/>
      </w:r>
    </w:p>
    <w:p>
      <w:pPr>
        <w:pStyle w:val="Heading1"/>
        <w:spacing w:before="400"/>
      </w:pPr>
      <w:r>
        <w:t xml:space="preserve">6. Individual-Level Convergent Evidence: Reinterpretation Through the Balance Model</w:t>
      </w:r>
    </w:p>
    <w:p>
      <w:pPr>
        <w:spacing w:after="200"/>
      </w:pPr>
      <w:r>
        <w:rPr>
          <w:rFonts w:ascii="Times New Roman" w:cs="Times New Roman" w:eastAsia="Times New Roman" w:hAnsi="Times New Roman"/>
          <w:sz w:val="22"/>
          <w:szCs w:val="22"/>
        </w:rPr>
        <w:t xml:space="preserve">The preceding discussion spans two scales. Section 2 showed macro-epidemiological correlations; Section 3 built the theoretical framework. Between macro correlations and mechanism theory, individual-level empirical anchors are needed. This section reinterprets existing findings from behavioral economics, environmental psychology, and neuroscience through the balance model lens, presenting three lines of convergent evidence. Importantly, what follows is reinterpretation of existing data, not direct causal verification of the balance mechanism.</w:t>
      </w:r>
    </w:p>
    <w:p>
      <w:pPr>
        <w:pStyle w:val="Heading2"/>
        <w:spacing w:before="300"/>
      </w:pPr>
      <w:r>
        <w:t xml:space="preserve">6.1 Experiential vs. Material Consumption: Two Channels of Input and Processing</w:t>
      </w:r>
    </w:p>
    <w:p>
      <w:pPr>
        <w:spacing w:after="200"/>
      </w:pPr>
      <w:r>
        <w:rPr>
          <w:rFonts w:ascii="Times New Roman" w:cs="Times New Roman" w:eastAsia="Times New Roman" w:hAnsi="Times New Roman"/>
          <w:sz w:val="22"/>
          <w:szCs w:val="22"/>
        </w:rPr>
        <w:t xml:space="preserve">Van Boven &amp; Gilovich (2003, JPSP, national survey of 12,000+) showed that experiential purchases produce more sustained happiness than material purchases, robustly replicated over 20 years. The cognitive obesity model provides an integrating higher-order mechanism: experiential purchases (travel, concerts, sports) directly increase Term 2 (physical, sensory, social processing) while Term 1 (cognitive input) is transient. Material purchases chronically increase Term 1 (cognitive management, comparison, optimization of possessions) while Term 2 barely moves.</w:t>
      </w:r>
    </w:p>
    <w:p>
      <w:pPr>
        <w:spacing w:after="200"/>
      </w:pPr>
      <w:r>
        <w:rPr>
          <w:rFonts w:ascii="Times New Roman" w:cs="Times New Roman" w:eastAsia="Times New Roman" w:hAnsi="Times New Roman"/>
          <w:sz w:val="22"/>
          <w:szCs w:val="22"/>
        </w:rPr>
        <w:t xml:space="preserve">Carter &amp; Gilovich (2010) found participants ruminated significantly more about unchosen alternatives after material purchases. In balance model terms, material purchases' high balance drives self-referential loops (choice rumination), while experiential purchases' low balance inhibits loop formation. This generates a novel prediction for hedonic adaptation asymmetry: material purchases show faster adaptation (Term 1 persists, Term 2 decays → balance re-elevates); experiential purchases show slower adaptation (Term 1 dissipates → low balance maintained). This prediction cannot be derived from existing three-factor explanations and is independently testable.</w:t>
      </w:r>
    </w:p>
    <w:p>
      <w:pPr>
        <w:pStyle w:val="Heading2"/>
        <w:spacing w:before="300"/>
      </w:pPr>
      <w:r>
        <w:t xml:space="preserve">6.2 Neural Mechanisms of Nature Exposure: Balance-Dependent Modulation of sgPFC-DMN</w:t>
      </w:r>
    </w:p>
    <w:p>
      <w:pPr>
        <w:spacing w:after="200"/>
      </w:pPr>
      <w:r>
        <w:rPr>
          <w:rFonts w:ascii="Times New Roman" w:cs="Times New Roman" w:eastAsia="Times New Roman" w:hAnsi="Times New Roman"/>
          <w:sz w:val="22"/>
          <w:szCs w:val="22"/>
        </w:rPr>
        <w:t xml:space="preserve">Bratman et al. (2015, PNAS) randomized 38 healthy urban residents to 90-minute nature walks vs. urban walks, measuring self-reported rumination and fMRI sgPFC (subgenual prefrontal cortex) blood flow pre/post. Nature walks significantly reduced rumination and sgPFC activity; urban walks did not. The balance model reading: natural environments minimize cognitive input (Term 1) while maximizing physical movement + sensory experience (Term 2), dramatically improving balance. This balance improvement weakens sgPFC-DMN coupling, temporarily severing the neural substrate of self-referential loops. Urban walks provide equivalent physical movement (part of Term 2) but high visual/auditory cognitive input (Term 1) from the urban environment, resulting in insufficient balance improvement. This reading predicts that the same "natural" environment should differ in effect depending on information density (quiet forest vs. tourist-crowded park), and smartphone use in nature should cancel effects by increasing Term 1.</w:t>
      </w:r>
    </w:p>
    <w:p>
      <w:pPr>
        <w:pStyle w:val="Heading2"/>
        <w:spacing w:before="300"/>
      </w:pPr>
      <w:r>
        <w:t xml:space="preserve">6.3 Dose-Response and the Prescriptive Concept of Cognitive Starvation</w:t>
      </w:r>
    </w:p>
    <w:p>
      <w:pPr>
        <w:spacing w:after="200"/>
      </w:pPr>
      <w:r>
        <w:rPr>
          <w:rFonts w:ascii="Times New Roman" w:cs="Times New Roman" w:eastAsia="Times New Roman" w:hAnsi="Times New Roman"/>
          <w:sz w:val="22"/>
          <w:szCs w:val="22"/>
        </w:rPr>
        <w:t xml:space="preserve">Nature exposure dose-response data (Hunter et al., 2019: 10 minutes for effect onset, 200-300 min/week ceiling) provides a foundation for the prescriptive concept of "cognitive starvation"—the intentional reversal of cognitive obesity through restricting cognitive input and increasing experiential processing, analogous to caloric restriction in nutritional science.</w:t>
      </w:r>
    </w:p>
    <w:p>
      <w:pPr>
        <w:pStyle w:val="Heading2"/>
        <w:spacing w:before="300"/>
      </w:pPr>
      <w:r>
        <w:t xml:space="preserve">6.4 RCT Evidence for Experiential Processing Manipulation: Direct Causal Evidence for Term 2</w:t>
      </w:r>
    </w:p>
    <w:p>
      <w:pPr>
        <w:spacing w:after="200"/>
      </w:pPr>
      <w:r>
        <w:rPr>
          <w:rFonts w:ascii="Times New Roman" w:cs="Times New Roman" w:eastAsia="Times New Roman" w:hAnsi="Times New Roman"/>
          <w:sz w:val="22"/>
          <w:szCs w:val="22"/>
        </w:rPr>
        <w:t xml:space="preserve">Exercise intervention RCT meta-analyses provide the strongest available causal evidence. Singh et al. (2023, BMJ, 218 RCTs, N &gt; 14,000) reported SMD = −0.43 (95% CI: −0.66 to −0.27). More recent umbrella reviews (Fernandez-Montero et al., 2024, 27 reviews, 190 trials) report SMD = −0.30 to −0.50. Exercise involves continuous motor output, proprioceptive feedback, heart rate/respiratory changes, and immediate environmental feedback (incline, wind, terrain)—all closing the loop. Thus exercise directly increases Term 2 while Term 1 barely changes (absent smartphone use during exercise). Since exercise is randomized, this Term 2 increase causally produces depression improvement. Effect sizes SMD = −0.43 to −0.67 represent quantitative evidence that Term 2 manipulation alone produces medium-to-large effects.</w:t>
      </w:r>
    </w:p>
    <w:p>
      <w:pPr>
        <w:pStyle w:val="Heading2"/>
        <w:spacing w:before="300"/>
      </w:pPr>
      <w:r>
        <w:t xml:space="preserve">6.5 Self-Efficacy Reinterpreted: Subjective Indicator of Loop Closure</w:t>
      </w:r>
    </w:p>
    <w:p>
      <w:pPr>
        <w:spacing w:after="200"/>
      </w:pPr>
      <w:r>
        <w:rPr>
          <w:rFonts w:ascii="Times New Roman" w:cs="Times New Roman" w:eastAsia="Times New Roman" w:hAnsi="Times New Roman"/>
          <w:sz w:val="22"/>
          <w:szCs w:val="22"/>
        </w:rPr>
        <w:t xml:space="preserve">Bandura's (1977) self-efficacy—the belief in one's ability to organize and execute actions required in specific situations—can be reinterpreted as the subjective perception that one's sensorimotor loop is closed. High self-efficacy corresponds to the belief "my actions generate environmental feedback that I can process." Low self-efficacy corresponds to "my actions do not produce predictable environmental responses"—i.e., the subjective experience of an open loop.</w:t>
      </w:r>
    </w:p>
    <w:p>
      <w:r>
        <w:br w:type="page"/>
      </w:r>
    </w:p>
    <w:p>
      <w:pPr>
        <w:pStyle w:val="Heading1"/>
        <w:spacing w:before="400"/>
      </w:pPr>
      <w:r>
        <w:t xml:space="preserve">7. Falsification Conditions</w:t>
      </w:r>
    </w:p>
    <w:p>
      <w:pPr>
        <w:spacing w:after="200"/>
      </w:pPr>
      <w:r>
        <w:rPr>
          <w:rFonts w:ascii="Times New Roman" w:cs="Times New Roman" w:eastAsia="Times New Roman" w:hAnsi="Times New Roman"/>
          <w:sz w:val="22"/>
          <w:szCs w:val="22"/>
        </w:rPr>
        <w:t xml:space="preserve">The following results would falsify the core claims of this framework:</w:t>
      </w:r>
    </w:p>
    <w:p>
      <w:pPr>
        <w:spacing w:after="200"/>
      </w:pPr>
      <w:r>
        <w:rPr>
          <w:rFonts w:ascii="Times New Roman" w:cs="Times New Roman" w:eastAsia="Times New Roman" w:hAnsi="Times New Roman"/>
          <w:sz w:val="22"/>
          <w:szCs w:val="22"/>
        </w:rPr>
        <w:t xml:space="preserve">(1) The balance variable (cognitive input − experiential processing) does not explain additional variance in depression beyond absolute screen time at the individual level.
(2) After controlling sensorimotor loop closure, games and SNS show equivalent depression risk.
(3) No MAIA-2 × screen time interaction for depression (interoceptive capacity does not buffer).
(4) The internet/education ratio is a weaker macro-level depression predictor than internet penetration alone.
(5) The correlation structure shift (high-income vs. low-income countries) disappears when controlling healthcare access.
(6) Structured therapeutic AI (closed-loop design) and general-purpose AI (self-referential loop permitting) show equivalent effects on depression symptoms (loop structure is irrelevant).</w:t>
      </w:r>
    </w:p>
    <w:p>
      <w:pPr>
        <w:pStyle w:val="Heading2"/>
        <w:spacing w:before="300"/>
      </w:pPr>
      <w:r>
        <w:t xml:space="preserve">7.1 Minimum-Cost Verification Designs</w:t>
      </w:r>
    </w:p>
    <w:p>
      <w:pPr>
        <w:spacing w:after="200"/>
      </w:pPr>
      <w:r>
        <w:rPr>
          <w:rFonts w:ascii="Times New Roman" w:cs="Times New Roman" w:eastAsia="Times New Roman" w:hAnsi="Times New Roman"/>
          <w:sz w:val="22"/>
          <w:szCs w:val="22"/>
        </w:rPr>
        <w:t xml:space="preserve">Experiment A (Nature × Smartphone Interaction): Extend Bratman et al. (2015) 2-group RCT (nature walk vs. urban walk, 90 min each) with a 3rd group "nature walk + free smartphone use." N = 60 (20/group). Measures: pre/post rumination (RRS short form) and salivary cortisol. Balance model prediction: nature walk &gt; nature+smartphone &gt; urban walk for rumination reduction. ART prediction: nature walk ≈ nature+smartphone &gt; urban walk (soft fascination is identical). Cost: ~1/10 of Bratman et al. (no fMRI needed).</w:t>
      </w:r>
    </w:p>
    <w:p>
      <w:pPr>
        <w:spacing w:after="200"/>
      </w:pPr>
      <w:r>
        <w:rPr>
          <w:rFonts w:ascii="Times New Roman" w:cs="Times New Roman" w:eastAsia="Times New Roman" w:hAnsi="Times New Roman"/>
          <w:sz w:val="22"/>
          <w:szCs w:val="22"/>
        </w:rPr>
        <w:t xml:space="preserve">Experiment B (Indoor Exercise vs. Nature Walk): 2×2 between-subjects: exercise condition (indoor treadmill vs. nature walk) × time (pre vs. post). Exercise intensity matched via wearable heart rate. Balance model prediction: nature walk group rumination reduction &gt; indoor exercise (Term 2 equivalent but Term 1 differs). SRT prediction: if cortisol reduction is equivalent, rumination reduction is equivalent. N = 50 (25/group).</w:t>
      </w:r>
    </w:p>
    <w:p>
      <w:pPr>
        <w:spacing w:after="200"/>
      </w:pPr>
      <w:r>
        <w:rPr>
          <w:rFonts w:ascii="Times New Roman" w:cs="Times New Roman" w:eastAsia="Times New Roman" w:hAnsi="Times New Roman"/>
          <w:sz w:val="22"/>
          <w:szCs w:val="22"/>
        </w:rPr>
        <w:t xml:space="preserve">Both experiments are implementable at undergraduate thesis or small grant scale (~110 participants total, ~3 months). If balance model predictions are significantly superior to ART/SRT predictions, this constitutes the first direct evidence that the framework's explanatory power exceeds existing theories.</w:t>
      </w:r>
    </w:p>
    <w:p>
      <w:r>
        <w:br w:type="page"/>
      </w:r>
    </w:p>
    <w:p>
      <w:pPr>
        <w:pStyle w:val="Heading1"/>
        <w:spacing w:before="400"/>
      </w:pPr>
      <w:r>
        <w:t xml:space="preserve">8. Discussion</w:t>
      </w:r>
    </w:p>
    <w:p>
      <w:pPr>
        <w:pStyle w:val="Heading2"/>
        <w:spacing w:before="300"/>
      </w:pPr>
      <w:r>
        <w:t xml:space="preserve">8.1 Positioning Relative to Existing Literature</w:t>
      </w:r>
    </w:p>
    <w:p>
      <w:pPr>
        <w:spacing w:after="200"/>
      </w:pPr>
      <w:r>
        <w:rPr>
          <w:rFonts w:ascii="Times New Roman" w:cs="Times New Roman" w:eastAsia="Times New Roman" w:hAnsi="Times New Roman"/>
          <w:sz w:val="22"/>
          <w:szCs w:val="22"/>
        </w:rPr>
        <w:t xml:space="preserve">This framework occupies a currently vacant niche. Haidt (2024) and Twenge (2017) focus on individual-level screen time effects without international epidemiology or balance-based mechanisms. Achenbach's internalizing/externalizing classification does not stratify by development stage. The displacement hypothesis examines whether screen time displaces physical activity but not balance or processing modes. Whitworth (2009) proposed a nutritional metaphor without quantitative data. This framework integrates these through (a) proposing balance as the primary variable, (b) providing 177-country macro-level evidence, (c) connecting to processing mode theory, and (d) deriving a threshold model explaining development-stage-dependent correlation structures.</w:t>
      </w:r>
    </w:p>
    <w:p>
      <w:pPr>
        <w:spacing w:after="200"/>
      </w:pPr>
      <w:r>
        <w:rPr>
          <w:rFonts w:ascii="Times New Roman" w:cs="Times New Roman" w:eastAsia="Times New Roman" w:hAnsi="Times New Roman"/>
          <w:sz w:val="22"/>
          <w:szCs w:val="22"/>
        </w:rPr>
        <w:t xml:space="preserve">Notably, in 2025-2026, AI development companies themselves began converging with this framework. Anthropic established a dedicated Societal Impacts team (9 members), positioning psychological harm (mental health &amp; cognitive functioning) as one of five harm categories. OpenAI's October 2025 weekly user statistics revealed approximately 0.07% of users (~560,000/week) showing signs of psychosis/mania, and ~0.15% (~1.2M/week) showing conversations with suicidal planning/intent. These developments suggest this framework addresses a structural problem that platform designers themselves are recognizing from real data.</w:t>
      </w:r>
    </w:p>
    <w:p>
      <w:pPr>
        <w:spacing w:after="200"/>
      </w:pPr>
      <w:r>
        <w:rPr>
          <w:rFonts w:ascii="Times New Roman" w:cs="Times New Roman" w:eastAsia="Times New Roman" w:hAnsi="Times New Roman"/>
          <w:sz w:val="22"/>
          <w:szCs w:val="22"/>
        </w:rPr>
        <w:t xml:space="preserve">The relationship with Behavioral Activation (BA) therapy is particularly important. BA is among the most evidence-based psychotherapies for depression (Dimidjian et al., 2006; Mazzucchelli et al., 2009). BA's "shift from rumination to direct experience" is substantively identical to this model's "shift from self-referential loop to closed loop" expressed at a different descriptive level. BA's clinical success thus serves as indirect corroboration of the balance mechanism. This model adds a structural dimension: BA's mastery/pleasure evaluation rates activities by subjective reward value; this model adds loop closure as a structural dimension. SNS interaction rated pleasure 8/10 in BA would still be predicted to have limited balance improvement if it is open-loop (text-based, asynchronous, non-embodied).</w:t>
      </w:r>
    </w:p>
    <w:p>
      <w:pPr>
        <w:pStyle w:val="Heading2"/>
        <w:spacing w:before="300"/>
      </w:pPr>
      <w:r>
        <w:t xml:space="preserve">8.2 Policy Implications</w:t>
      </w:r>
    </w:p>
    <w:p>
      <w:pPr>
        <w:spacing w:after="200"/>
      </w:pPr>
      <w:r>
        <w:rPr>
          <w:rFonts w:ascii="Times New Roman" w:cs="Times New Roman" w:eastAsia="Times New Roman" w:hAnsi="Times New Roman"/>
          <w:sz w:val="22"/>
          <w:szCs w:val="22"/>
        </w:rPr>
        <w:t xml:space="preserve">If this framework is correct, current policy debate is structurally incomplete. SNS age restrictions (regulatory camp) and digital literacy education (other camp) address only the input side of balance. Term 2—experiential processing capacity—requires entirely different policies: mandatory physical education time, outdoor activity time, arts and crafts curricula.</w:t>
      </w:r>
    </w:p>
    <w:p>
      <w:pPr>
        <w:spacing w:after="200"/>
      </w:pPr>
      <w:r>
        <w:rPr>
          <w:rFonts w:ascii="Times New Roman" w:cs="Times New Roman" w:eastAsia="Times New Roman" w:hAnsi="Times New Roman"/>
          <w:sz w:val="22"/>
          <w:szCs w:val="22"/>
        </w:rPr>
        <w:t xml:space="preserve">Core policy insight: SNS age restrictions and physical education hours should be treated as a single policy package, not alternatives. Reducing Term 1 without increasing Term 2 (or vice versa) is insufficient.</w:t>
      </w:r>
    </w:p>
    <w:p>
      <w:pPr>
        <w:spacing w:after="200"/>
      </w:pPr>
      <w:r>
        <w:rPr>
          <w:rFonts w:ascii="Times New Roman" w:cs="Times New Roman" w:eastAsia="Times New Roman" w:hAnsi="Times New Roman"/>
          <w:sz w:val="22"/>
          <w:szCs w:val="22"/>
        </w:rPr>
        <w:t xml:space="preserve">The qualitative transformation of advertising formats represents a third policy axis. This framework's loop closure theory (Section 3.3) implies that advertising's cognitive load differs qualitatively by format. Sponsorship advertising (e.g., Red Bull content marketing) has relatively high loop closure; programmatic/retargeting/push notification advertising has extremely low loop closure. The transition from the former to the latter format was the substance of the 2010s digital advertising market explosion—and potentially the mechanism detected in Study 1's benefit-to-harm reversal.</w:t>
      </w:r>
    </w:p>
    <w:p>
      <w:pPr>
        <w:spacing w:after="200"/>
      </w:pPr>
      <w:r>
        <w:rPr>
          <w:rFonts w:ascii="Times New Roman" w:cs="Times New Roman" w:eastAsia="Times New Roman" w:hAnsi="Times New Roman"/>
          <w:sz w:val="22"/>
          <w:szCs w:val="22"/>
        </w:rPr>
        <w:t xml:space="preserve">8.2.1 AI Design Implications: The Principle of Cognitive Motorization</w:t>
      </w:r>
    </w:p>
    <w:p>
      <w:pPr>
        <w:spacing w:after="200"/>
      </w:pPr>
      <w:r>
        <w:rPr>
          <w:rFonts w:ascii="Times New Roman" w:cs="Times New Roman" w:eastAsia="Times New Roman" w:hAnsi="Times New Roman"/>
          <w:sz w:val="22"/>
          <w:szCs w:val="22"/>
        </w:rPr>
        <w:t xml:space="preserve">The analysis from Section 3.5 yields concrete implications for AI system design. "Cognitive motorization" (kognitiv-motorisierung) redirects the same user engagement energy into higher-loop-closure activities, derived directly from loop closure theory. Rather than cutting the loop, transfer the same energy to a more closed loop—corresponding to "don't say 'stop eating,' increase exercise" in the nutritional analogy.</w:t>
      </w:r>
    </w:p>
    <w:p>
      <w:pPr>
        <w:pStyle w:val="Heading2"/>
        <w:spacing w:before="300"/>
      </w:pPr>
      <w:r>
        <w:t xml:space="preserve">8.3 The Observation Problem</w:t>
      </w:r>
    </w:p>
    <w:p>
      <w:pPr>
        <w:spacing w:after="200"/>
      </w:pPr>
      <w:r>
        <w:rPr>
          <w:rFonts w:ascii="Times New Roman" w:cs="Times New Roman" w:eastAsia="Times New Roman" w:hAnsi="Times New Roman"/>
          <w:sz w:val="22"/>
          <w:szCs w:val="22"/>
        </w:rPr>
        <w:t xml:space="preserve">A methodologically important implication: the same external behavior (e.g., screen use) may constitute cognitive input for one individual and experiential processing for another. A programmer debugging code (closed loop: write→test→error→revise) and a person scrolling social media feeds on the same screen are at opposite ends of the balance spectrum. This observation problem means that external behavioral measures (screen time, app category) are fundamentally insufficient for testing this framework. Individual-level assessment of loop closure state—through ESM or wearable-based interaction contingency detection—is required.</w:t>
      </w:r>
    </w:p>
    <w:p>
      <w:pPr>
        <w:pStyle w:val="Heading2"/>
        <w:spacing w:before="300"/>
      </w:pPr>
      <w:r>
        <w:t xml:space="preserve">8.4 Honest Assessment of Current Evidence</w:t>
      </w:r>
    </w:p>
    <w:p>
      <w:pPr>
        <w:spacing w:after="200"/>
      </w:pPr>
      <w:r>
        <w:rPr>
          <w:rFonts w:ascii="Times New Roman" w:cs="Times New Roman" w:eastAsia="Times New Roman" w:hAnsi="Times New Roman"/>
          <w:sz w:val="22"/>
          <w:szCs w:val="22"/>
        </w:rPr>
        <w:t xml:space="preserve">What this paper provides: A new organizing axis for existing confusion (balance). Predictions consistent with existing data. Convergent reinterpretation across behavioral economics, environmental psychology, neuroscience. Macro-level statistical evidence (177 countries). Individual-level cross-sectional support (NHANES, ATUS). Specific falsification conditions and experimental designs.</w:t>
      </w:r>
    </w:p>
    <w:p>
      <w:pPr>
        <w:spacing w:after="200"/>
      </w:pPr>
      <w:r>
        <w:rPr>
          <w:rFonts w:ascii="Times New Roman" w:cs="Times New Roman" w:eastAsia="Times New Roman" w:hAnsi="Times New Roman"/>
          <w:sz w:val="22"/>
          <w:szCs w:val="22"/>
        </w:rPr>
        <w:t xml:space="preserve">What this paper does not provide: Individual-level confirmatory causal evidence. Prospective longitudinal data. Direct measurement of "non-selective cognitive input density." Natural experiment identification strategy. Cross-cultural validation of the balance model. Resolution of ecological fallacy.</w:t>
      </w:r>
    </w:p>
    <w:p>
      <w:r>
        <w:br w:type="page"/>
      </w:r>
    </w:p>
    <w:p>
      <w:pPr>
        <w:pStyle w:val="Heading1"/>
      </w:pPr>
      <w:r>
        <w:t xml:space="preserve">References</w:t>
      </w:r>
    </w:p>
    <w:p>
      <w:pPr>
        <w:spacing w:after="80"/>
        <w:ind w:left="720" w:hanging="720"/>
      </w:pPr>
      <w:r>
        <w:rPr>
          <w:rFonts w:ascii="Times New Roman" w:cs="Times New Roman" w:eastAsia="Times New Roman" w:hAnsi="Times New Roman"/>
          <w:sz w:val="20"/>
          <w:szCs w:val="20"/>
        </w:rPr>
        <w:t xml:space="preserve">Bandura, A. (1977). Self-efficacy: Toward a unifying theory of behavioral change. Psychological Review, 84(2), 191-215.</w:t>
      </w:r>
    </w:p>
    <w:p>
      <w:pPr>
        <w:spacing w:after="80"/>
        <w:ind w:left="720" w:hanging="720"/>
      </w:pPr>
      <w:r>
        <w:rPr>
          <w:rFonts w:ascii="Times New Roman" w:cs="Times New Roman" w:eastAsia="Times New Roman" w:hAnsi="Times New Roman"/>
          <w:sz w:val="20"/>
          <w:szCs w:val="20"/>
        </w:rPr>
        <w:t xml:space="preserve">Barrett, L. F. (2017). How Emotions Are Made: The Secret Life of the Brain. Houghton Mifflin Harcourt.</w:t>
      </w:r>
    </w:p>
    <w:p>
      <w:pPr>
        <w:spacing w:after="80"/>
        <w:ind w:left="720" w:hanging="720"/>
      </w:pPr>
      <w:r>
        <w:rPr>
          <w:rFonts w:ascii="Times New Roman" w:cs="Times New Roman" w:eastAsia="Times New Roman" w:hAnsi="Times New Roman"/>
          <w:sz w:val="20"/>
          <w:szCs w:val="20"/>
        </w:rPr>
        <w:t xml:space="preserve">Bratman, G. N., et al. (2015). Nature experience reduces rumination and subgenual prefrontal cortex activation. PNAS, 112(28), 8567-8572.</w:t>
      </w:r>
    </w:p>
    <w:p>
      <w:pPr>
        <w:spacing w:after="80"/>
        <w:ind w:left="720" w:hanging="720"/>
      </w:pPr>
      <w:r>
        <w:rPr>
          <w:rFonts w:ascii="Times New Roman" w:cs="Times New Roman" w:eastAsia="Times New Roman" w:hAnsi="Times New Roman"/>
          <w:sz w:val="20"/>
          <w:szCs w:val="20"/>
        </w:rPr>
        <w:t xml:space="preserve">Carter, T. J., &amp; Gilovich, T. (2010). The relative relativity of material and experiential purchases. JPSP, 98(1), 146-159.</w:t>
      </w:r>
    </w:p>
    <w:p>
      <w:pPr>
        <w:spacing w:after="80"/>
        <w:ind w:left="720" w:hanging="720"/>
      </w:pPr>
      <w:r>
        <w:rPr>
          <w:rFonts w:ascii="Times New Roman" w:cs="Times New Roman" w:eastAsia="Times New Roman" w:hAnsi="Times New Roman"/>
          <w:sz w:val="20"/>
          <w:szCs w:val="20"/>
        </w:rPr>
        <w:t xml:space="preserve">Dimidjian, S., et al. (2006). Randomized trial of behavioral activation, cognitive therapy, and antidepressant medication. JCCP, 74(4), 658-670.</w:t>
      </w:r>
    </w:p>
    <w:p>
      <w:pPr>
        <w:spacing w:after="80"/>
        <w:ind w:left="720" w:hanging="720"/>
      </w:pPr>
      <w:r>
        <w:rPr>
          <w:rFonts w:ascii="Times New Roman" w:cs="Times New Roman" w:eastAsia="Times New Roman" w:hAnsi="Times New Roman"/>
          <w:sz w:val="20"/>
          <w:szCs w:val="20"/>
        </w:rPr>
        <w:t xml:space="preserve">Granic, I., Lobel, A., &amp; Engels, R. C. M. E. (2014). The benefits of playing video games. American Psychologist, 69(1), 66-78.</w:t>
      </w:r>
    </w:p>
    <w:p>
      <w:pPr>
        <w:spacing w:after="80"/>
        <w:ind w:left="720" w:hanging="720"/>
      </w:pPr>
      <w:r>
        <w:rPr>
          <w:rFonts w:ascii="Times New Roman" w:cs="Times New Roman" w:eastAsia="Times New Roman" w:hAnsi="Times New Roman"/>
          <w:sz w:val="20"/>
          <w:szCs w:val="20"/>
        </w:rPr>
        <w:t xml:space="preserve">Haidt, J. (2024). The Anxious Generation. Penguin Press.</w:t>
      </w:r>
    </w:p>
    <w:p>
      <w:pPr>
        <w:spacing w:after="80"/>
        <w:ind w:left="720" w:hanging="720"/>
      </w:pPr>
      <w:r>
        <w:rPr>
          <w:rFonts w:ascii="Times New Roman" w:cs="Times New Roman" w:eastAsia="Times New Roman" w:hAnsi="Times New Roman"/>
          <w:sz w:val="20"/>
          <w:szCs w:val="20"/>
        </w:rPr>
        <w:t xml:space="preserve">Hansen, B. E. (1999). Threshold effects in non-dynamic panels. Journal of Econometrics, 93(2), 345-368.</w:t>
      </w:r>
    </w:p>
    <w:p>
      <w:pPr>
        <w:spacing w:after="80"/>
        <w:ind w:left="720" w:hanging="720"/>
      </w:pPr>
      <w:r>
        <w:rPr>
          <w:rFonts w:ascii="Times New Roman" w:cs="Times New Roman" w:eastAsia="Times New Roman" w:hAnsi="Times New Roman"/>
          <w:sz w:val="20"/>
          <w:szCs w:val="20"/>
        </w:rPr>
        <w:t xml:space="preserve">Heinz, M. V., et al. (2025). A randomized controlled trial of a generative AI mental health intervention. NEJM AI.</w:t>
      </w:r>
    </w:p>
    <w:p>
      <w:pPr>
        <w:spacing w:after="80"/>
        <w:ind w:left="720" w:hanging="720"/>
      </w:pPr>
      <w:r>
        <w:rPr>
          <w:rFonts w:ascii="Times New Roman" w:cs="Times New Roman" w:eastAsia="Times New Roman" w:hAnsi="Times New Roman"/>
          <w:sz w:val="20"/>
          <w:szCs w:val="20"/>
        </w:rPr>
        <w:t xml:space="preserve">Hunter, M. R., et al. (2019). Urban nature experiences reduce stress. Frontiers in Psychology, 10, 722.</w:t>
      </w:r>
    </w:p>
    <w:p>
      <w:pPr>
        <w:spacing w:after="80"/>
        <w:ind w:left="720" w:hanging="720"/>
      </w:pPr>
      <w:r>
        <w:rPr>
          <w:rFonts w:ascii="Times New Roman" w:cs="Times New Roman" w:eastAsia="Times New Roman" w:hAnsi="Times New Roman"/>
          <w:sz w:val="20"/>
          <w:szCs w:val="20"/>
        </w:rPr>
        <w:t xml:space="preserve">Johannes, N., Vuorre, M., &amp; Przybylski, A. K. (2021). Video game play is positively correlated with well-being. Royal Society Open Science, 8(2), 202049.</w:t>
      </w:r>
    </w:p>
    <w:p>
      <w:pPr>
        <w:spacing w:after="80"/>
        <w:ind w:left="720" w:hanging="720"/>
      </w:pPr>
      <w:r>
        <w:rPr>
          <w:rFonts w:ascii="Times New Roman" w:cs="Times New Roman" w:eastAsia="Times New Roman" w:hAnsi="Times New Roman"/>
          <w:sz w:val="20"/>
          <w:szCs w:val="20"/>
        </w:rPr>
        <w:t xml:space="preserve">Kaplan, S. (1995). The restorative benefits of nature. Journal of Environmental Psychology, 15(3), 169-182.</w:t>
      </w:r>
    </w:p>
    <w:p>
      <w:pPr>
        <w:spacing w:after="80"/>
        <w:ind w:left="720" w:hanging="720"/>
      </w:pPr>
      <w:r>
        <w:rPr>
          <w:rFonts w:ascii="Times New Roman" w:cs="Times New Roman" w:eastAsia="Times New Roman" w:hAnsi="Times New Roman"/>
          <w:sz w:val="20"/>
          <w:szCs w:val="20"/>
        </w:rPr>
        <w:t xml:space="preserve">Mazzucchelli, T. G., et al. (2009). Behavioral activation treatments for depression. Clinical Psychology, 16(4), 383-411.</w:t>
      </w:r>
    </w:p>
    <w:p>
      <w:pPr>
        <w:spacing w:after="80"/>
        <w:ind w:left="720" w:hanging="720"/>
      </w:pPr>
      <w:r>
        <w:rPr>
          <w:rFonts w:ascii="Times New Roman" w:cs="Times New Roman" w:eastAsia="Times New Roman" w:hAnsi="Times New Roman"/>
          <w:sz w:val="20"/>
          <w:szCs w:val="20"/>
        </w:rPr>
        <w:t xml:space="preserve">Mehling, W. E., et al. (2018). MAIA-2. PLOS ONE, 13(12), e0208034.</w:t>
      </w:r>
    </w:p>
    <w:p>
      <w:pPr>
        <w:spacing w:after="80"/>
        <w:ind w:left="720" w:hanging="720"/>
      </w:pPr>
      <w:r>
        <w:rPr>
          <w:rFonts w:ascii="Times New Roman" w:cs="Times New Roman" w:eastAsia="Times New Roman" w:hAnsi="Times New Roman"/>
          <w:sz w:val="20"/>
          <w:szCs w:val="20"/>
        </w:rPr>
        <w:t xml:space="preserve">Roy, J., &amp; Orazem, P. F. (2021). Active and passive leisure. Economics Letters, 199, 109722.</w:t>
      </w:r>
    </w:p>
    <w:p>
      <w:pPr>
        <w:spacing w:after="80"/>
        <w:ind w:left="720" w:hanging="720"/>
      </w:pPr>
      <w:r>
        <w:rPr>
          <w:rFonts w:ascii="Times New Roman" w:cs="Times New Roman" w:eastAsia="Times New Roman" w:hAnsi="Times New Roman"/>
          <w:sz w:val="20"/>
          <w:szCs w:val="20"/>
        </w:rPr>
        <w:t xml:space="preserve">Singh, B., et al. (2023). Effectiveness of physical activity interventions. British Journal of Sports Medicine, 57(18), 1203-1209.</w:t>
      </w:r>
    </w:p>
    <w:p>
      <w:pPr>
        <w:spacing w:after="80"/>
        <w:ind w:left="720" w:hanging="720"/>
      </w:pPr>
      <w:r>
        <w:rPr>
          <w:rFonts w:ascii="Times New Roman" w:cs="Times New Roman" w:eastAsia="Times New Roman" w:hAnsi="Times New Roman"/>
          <w:sz w:val="20"/>
          <w:szCs w:val="20"/>
        </w:rPr>
        <w:t xml:space="preserve">Van Boven, L., &amp; Gilovich, T. (2003). To do or to have? JPSP, 85(6), 1193-1202.</w:t>
      </w:r>
    </w:p>
    <w:p>
      <w:pPr>
        <w:spacing w:after="80"/>
        <w:ind w:left="720" w:hanging="720"/>
      </w:pPr>
      <w:r>
        <w:rPr>
          <w:rFonts w:ascii="Times New Roman" w:cs="Times New Roman" w:eastAsia="Times New Roman" w:hAnsi="Times New Roman"/>
          <w:sz w:val="20"/>
          <w:szCs w:val="20"/>
        </w:rPr>
        <w:t xml:space="preserve">Verduyn, P., et al. (2015). Passive Facebook usage undermines affective well-being. JEP: General, 144(2), 480-488.</w:t>
      </w:r>
    </w:p>
    <w:p>
      <w:pPr>
        <w:spacing w:after="80"/>
        <w:ind w:left="720" w:hanging="720"/>
      </w:pPr>
      <w:r>
        <w:rPr>
          <w:rFonts w:ascii="Times New Roman" w:cs="Times New Roman" w:eastAsia="Times New Roman" w:hAnsi="Times New Roman"/>
          <w:sz w:val="20"/>
          <w:szCs w:val="20"/>
        </w:rPr>
        <w:t xml:space="preserve">Watkins, E., &amp; Teasdale, J. D. (2004). Adaptive and maladaptive self-focus in depression. JAD, 82(1), 1-8.</w:t>
      </w:r>
    </w:p>
    <w:p>
      <w:pPr>
        <w:spacing w:after="80"/>
        <w:ind w:left="720" w:hanging="720"/>
      </w:pPr>
      <w:r>
        <w:rPr>
          <w:rFonts w:ascii="Times New Roman" w:cs="Times New Roman" w:eastAsia="Times New Roman" w:hAnsi="Times New Roman"/>
          <w:sz w:val="20"/>
          <w:szCs w:val="20"/>
        </w:rPr>
        <w:t xml:space="preserve">Whitworth, A. (2009). Information Obesity. Chandos Publishing.</w:t>
      </w:r>
    </w:p>
    <w:p>
      <w:r>
        <w:br w:type="page"/>
      </w:r>
    </w:p>
    <w:p>
      <w:pPr>
        <w:pStyle w:val="Heading1"/>
      </w:pPr>
      <w:r>
        <w:t xml:space="preserve">Data Availability and Replication Materials</w:t>
      </w:r>
    </w:p>
    <w:p>
      <w:pPr>
        <w:spacing w:after="200"/>
      </w:pPr>
      <w:r>
        <w:rPr>
          <w:rFonts w:ascii="Times New Roman" w:cs="Times New Roman" w:eastAsia="Times New Roman" w:hAnsi="Times New Roman"/>
          <w:sz w:val="22"/>
          <w:szCs w:val="22"/>
        </w:rPr>
        <w:t xml:space="preserve">All analysis scripts (15 Python + 1 R), data download procedures, alternative estimators (Driscoll-Kraay SE, Pesaran CCE, Bai IFE, first-difference IV), survey-weighted and covariate-adjusted variants, ad proxy validation data, BibTeX references, publication-ready figures, and paper-to-code correspondence tables are available at: github.com/miyauchikazuyoshi/cognitive-obesity-replication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2026-03-05T03:42:23.797Z</dcterms:created>
  <dcterms:modified xsi:type="dcterms:W3CDTF">2026-03-05T03:42:23.798Z</dcterms:modified>
</cp:coreProperties>
</file>

<file path=docProps/custom.xml><?xml version="1.0" encoding="utf-8"?>
<Properties xmlns="http://schemas.openxmlformats.org/officeDocument/2006/custom-properties" xmlns:vt="http://schemas.openxmlformats.org/officeDocument/2006/docPropsVTypes"/>
</file>