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
    <w:p>
      <w:pPr>
        <w:pStyle w:val="2"/>
        <w:numPr>
          <w:ilvl w:val="0"/>
          <w:numId w:val="2"/>
        </w:numPr>
        <w:rPr>
          <w:sz w:val="32"/>
        </w:rPr>
      </w:pPr>
      <w:r>
        <w:rPr>
          <w:rFonts w:hint="eastAsia"/>
          <w:sz w:val="32"/>
        </w:rPr>
        <w:t>需求概况</w:t>
      </w:r>
    </w:p>
    <w:tbl>
      <w:tblPr>
        <w:tblStyle w:val="20"/>
        <w:tblW w:w="8926"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704"/>
      </w:tblGrid>
      <w:tr>
        <w:tc>
          <w:tcPr>
            <w:tcW w:w="2074" w:type="dxa"/>
            <w:shd w:val="clear" w:color="auto" w:fill="D8D8D8" w:themeFill="background1" w:themeFillShade="D9"/>
          </w:tcPr>
          <w:p>
            <w:pPr>
              <w:rPr>
                <w:b/>
              </w:rPr>
            </w:pPr>
            <w:r>
              <w:rPr>
                <w:rFonts w:hint="eastAsia"/>
                <w:b/>
              </w:rPr>
              <w:t>客户名称</w:t>
            </w:r>
          </w:p>
        </w:tc>
        <w:tc>
          <w:tcPr>
            <w:tcW w:w="2074" w:type="dxa"/>
          </w:tcPr>
          <w:p>
            <w:pPr/>
            <w:r>
              <w:rPr>
                <w:rFonts w:hint="eastAsia"/>
              </w:rPr>
              <w:t>广东移动</w:t>
            </w:r>
          </w:p>
        </w:tc>
        <w:tc>
          <w:tcPr>
            <w:tcW w:w="2074" w:type="dxa"/>
            <w:shd w:val="clear" w:color="auto" w:fill="D8D8D8" w:themeFill="background1" w:themeFillShade="D9"/>
          </w:tcPr>
          <w:p>
            <w:pPr>
              <w:rPr>
                <w:b/>
              </w:rPr>
            </w:pPr>
            <w:r>
              <w:rPr>
                <w:rFonts w:hint="eastAsia"/>
                <w:b/>
              </w:rPr>
              <w:t>项目</w:t>
            </w:r>
            <w:r>
              <w:rPr>
                <w:b/>
              </w:rPr>
              <w:t>名称</w:t>
            </w:r>
          </w:p>
        </w:tc>
        <w:tc>
          <w:tcPr>
            <w:tcW w:w="2704" w:type="dxa"/>
          </w:tcPr>
          <w:p>
            <w:pPr/>
            <w:r>
              <w:rPr>
                <w:rFonts w:hint="eastAsia"/>
              </w:rPr>
              <w:t>广东移动网管支撑定制化软件开发需求</w:t>
            </w:r>
          </w:p>
        </w:tc>
      </w:tr>
      <w:tr>
        <w:tc>
          <w:tcPr>
            <w:tcW w:w="2074" w:type="dxa"/>
            <w:shd w:val="clear" w:color="auto" w:fill="D8D8D8" w:themeFill="background1" w:themeFillShade="D9"/>
          </w:tcPr>
          <w:p>
            <w:pPr>
              <w:rPr>
                <w:b/>
              </w:rPr>
            </w:pPr>
            <w:r>
              <w:rPr>
                <w:rFonts w:hint="eastAsia"/>
                <w:b/>
              </w:rPr>
              <w:t>项目</w:t>
            </w:r>
            <w:r>
              <w:rPr>
                <w:b/>
              </w:rPr>
              <w:t>编号</w:t>
            </w:r>
          </w:p>
        </w:tc>
        <w:tc>
          <w:tcPr>
            <w:tcW w:w="2074" w:type="dxa"/>
          </w:tcPr>
          <w:p>
            <w:pPr/>
            <w:r>
              <w:t>2016GDCM01</w:t>
            </w:r>
          </w:p>
        </w:tc>
        <w:tc>
          <w:tcPr>
            <w:tcW w:w="2074" w:type="dxa"/>
            <w:shd w:val="clear" w:color="auto" w:fill="D8D8D8" w:themeFill="background1" w:themeFillShade="D9"/>
          </w:tcPr>
          <w:p>
            <w:pPr>
              <w:rPr>
                <w:b/>
              </w:rPr>
            </w:pPr>
            <w:r>
              <w:rPr>
                <w:rFonts w:hint="eastAsia"/>
                <w:b/>
              </w:rPr>
              <w:t>项目</w:t>
            </w:r>
            <w:r>
              <w:rPr>
                <w:b/>
              </w:rPr>
              <w:t>进展</w:t>
            </w:r>
          </w:p>
        </w:tc>
        <w:tc>
          <w:tcPr>
            <w:tcW w:w="2704" w:type="dxa"/>
          </w:tcPr>
          <w:p>
            <w:pPr/>
            <w:r>
              <w:rPr>
                <w:rFonts w:hint="eastAsia"/>
              </w:rPr>
              <w:t>售后</w:t>
            </w:r>
          </w:p>
        </w:tc>
      </w:tr>
      <w:tr>
        <w:tc>
          <w:tcPr>
            <w:tcW w:w="2074" w:type="dxa"/>
            <w:shd w:val="clear" w:color="auto" w:fill="D8D8D8" w:themeFill="background1" w:themeFillShade="D9"/>
          </w:tcPr>
          <w:p>
            <w:pPr>
              <w:rPr>
                <w:b/>
              </w:rPr>
            </w:pPr>
            <w:r>
              <w:rPr>
                <w:rFonts w:hint="eastAsia"/>
                <w:b/>
              </w:rPr>
              <w:t>提交</w:t>
            </w:r>
            <w:r>
              <w:rPr>
                <w:b/>
              </w:rPr>
              <w:t>人</w:t>
            </w:r>
          </w:p>
        </w:tc>
        <w:tc>
          <w:tcPr>
            <w:tcW w:w="2074" w:type="dxa"/>
          </w:tcPr>
          <w:p>
            <w:pPr/>
            <w:r>
              <w:rPr>
                <w:rFonts w:hint="eastAsia"/>
              </w:rPr>
              <w:t>林桂云</w:t>
            </w:r>
          </w:p>
        </w:tc>
        <w:tc>
          <w:tcPr>
            <w:tcW w:w="2074" w:type="dxa"/>
            <w:shd w:val="clear" w:color="auto" w:fill="D8D8D8" w:themeFill="background1" w:themeFillShade="D9"/>
          </w:tcPr>
          <w:p>
            <w:pPr>
              <w:rPr>
                <w:b/>
              </w:rPr>
            </w:pPr>
            <w:r>
              <w:rPr>
                <w:rFonts w:hint="eastAsia"/>
                <w:b/>
              </w:rPr>
              <w:t>填报</w:t>
            </w:r>
            <w:r>
              <w:rPr>
                <w:b/>
              </w:rPr>
              <w:t>时间</w:t>
            </w:r>
          </w:p>
        </w:tc>
        <w:tc>
          <w:tcPr>
            <w:tcW w:w="2704" w:type="dxa"/>
          </w:tcPr>
          <w:p>
            <w:pPr/>
            <w:r>
              <w:rPr>
                <w:rFonts w:hint="eastAsia"/>
              </w:rPr>
              <w:t>2017</w:t>
            </w:r>
            <w:r>
              <w:t>8</w:t>
            </w:r>
            <w:r>
              <w:rPr>
                <w:rFonts w:hint="eastAsia"/>
              </w:rPr>
              <w:t>年</w:t>
            </w:r>
            <w:r>
              <w:t>1</w:t>
            </w:r>
            <w:r>
              <w:rPr>
                <w:rFonts w:hint="eastAsia"/>
              </w:rPr>
              <w:t>月</w:t>
            </w:r>
            <w:r>
              <w:t>128</w:t>
            </w:r>
            <w:r>
              <w:rPr>
                <w:rFonts w:hint="eastAsia"/>
              </w:rPr>
              <w:t>日</w:t>
            </w:r>
          </w:p>
        </w:tc>
      </w:tr>
      <w:tr>
        <w:tc>
          <w:tcPr>
            <w:tcW w:w="2074" w:type="dxa"/>
            <w:shd w:val="clear" w:color="auto" w:fill="D8D8D8" w:themeFill="background1" w:themeFillShade="D9"/>
          </w:tcPr>
          <w:p>
            <w:pPr>
              <w:rPr>
                <w:b/>
              </w:rPr>
            </w:pPr>
            <w:r>
              <w:rPr>
                <w:rFonts w:hint="eastAsia"/>
                <w:b/>
              </w:rPr>
              <w:t>*紧急</w:t>
            </w:r>
            <w:r>
              <w:rPr>
                <w:b/>
              </w:rPr>
              <w:t>程度</w:t>
            </w:r>
          </w:p>
        </w:tc>
        <w:tc>
          <w:tcPr>
            <w:tcW w:w="2074" w:type="dxa"/>
          </w:tcPr>
          <w:p>
            <w:pPr/>
            <w:r>
              <w:rPr>
                <w:rFonts w:hint="eastAsia"/>
              </w:rPr>
              <w:t>普通</w:t>
            </w:r>
          </w:p>
        </w:tc>
        <w:tc>
          <w:tcPr>
            <w:tcW w:w="2074" w:type="dxa"/>
            <w:shd w:val="clear" w:color="auto" w:fill="D8D8D8" w:themeFill="background1" w:themeFillShade="D9"/>
          </w:tcPr>
          <w:p>
            <w:pPr>
              <w:rPr>
                <w:b/>
              </w:rPr>
            </w:pPr>
            <w:r>
              <w:rPr>
                <w:rFonts w:hint="eastAsia"/>
                <w:b/>
              </w:rPr>
              <w:t>*开发</w:t>
            </w:r>
            <w:r>
              <w:rPr>
                <w:b/>
              </w:rPr>
              <w:t>类型</w:t>
            </w:r>
          </w:p>
        </w:tc>
        <w:tc>
          <w:tcPr>
            <w:tcW w:w="2704" w:type="dxa"/>
          </w:tcPr>
          <w:p>
            <w:pPr/>
            <w:r>
              <w:rPr>
                <w:rFonts w:hint="eastAsia"/>
              </w:rPr>
              <w:t>已签合同的产品交付开发</w:t>
            </w:r>
          </w:p>
        </w:tc>
      </w:tr>
      <w:tr>
        <w:tc>
          <w:tcPr>
            <w:tcW w:w="2074" w:type="dxa"/>
            <w:shd w:val="clear" w:color="auto" w:fill="D8D8D8" w:themeFill="background1" w:themeFillShade="D9"/>
          </w:tcPr>
          <w:p>
            <w:pPr>
              <w:rPr>
                <w:b/>
              </w:rPr>
            </w:pPr>
            <w:r>
              <w:rPr>
                <w:rFonts w:hint="eastAsia"/>
                <w:b/>
              </w:rPr>
              <w:t>需求时限</w:t>
            </w:r>
          </w:p>
        </w:tc>
        <w:tc>
          <w:tcPr>
            <w:tcW w:w="2074" w:type="dxa"/>
          </w:tcPr>
          <w:p>
            <w:pPr/>
          </w:p>
        </w:tc>
        <w:tc>
          <w:tcPr>
            <w:tcW w:w="2074" w:type="dxa"/>
            <w:shd w:val="clear" w:color="auto" w:fill="D8D8D8" w:themeFill="background1" w:themeFillShade="D9"/>
          </w:tcPr>
          <w:p>
            <w:pPr>
              <w:rPr>
                <w:b/>
              </w:rPr>
            </w:pPr>
            <w:r>
              <w:rPr>
                <w:rFonts w:hint="eastAsia"/>
                <w:b/>
              </w:rPr>
              <w:t>*功能</w:t>
            </w:r>
            <w:r>
              <w:rPr>
                <w:b/>
              </w:rPr>
              <w:t>归属</w:t>
            </w:r>
          </w:p>
        </w:tc>
        <w:tc>
          <w:tcPr>
            <w:tcW w:w="2704" w:type="dxa"/>
          </w:tcPr>
          <w:p>
            <w:pPr/>
            <w:r>
              <w:rPr>
                <w:rFonts w:hint="eastAsia"/>
              </w:rPr>
              <w:t>CDN</w:t>
            </w:r>
          </w:p>
        </w:tc>
      </w:tr>
    </w:tbl>
    <w:p>
      <w:pPr>
        <w:rPr>
          <w:b/>
        </w:rPr>
      </w:pPr>
    </w:p>
    <w:p>
      <w:pPr>
        <w:rPr>
          <w:b/>
          <w:color w:val="FF0000"/>
        </w:rPr>
      </w:pPr>
      <w:r>
        <w:rPr>
          <w:rFonts w:hint="eastAsia"/>
          <w:b/>
          <w:color w:val="FF0000"/>
        </w:rPr>
        <w:t>注</w:t>
      </w:r>
      <w:r>
        <w:rPr>
          <w:b/>
          <w:color w:val="FF0000"/>
        </w:rPr>
        <w:t>：</w:t>
      </w:r>
      <w:r>
        <w:rPr>
          <w:rFonts w:hint="eastAsia"/>
          <w:b/>
          <w:color w:val="FF0000"/>
        </w:rPr>
        <w:t>以上</w:t>
      </w:r>
      <w:r>
        <w:rPr>
          <w:b/>
          <w:color w:val="FF0000"/>
        </w:rPr>
        <w:t>内容都为必填项，其中带“*”</w:t>
      </w:r>
      <w:r>
        <w:rPr>
          <w:rFonts w:hint="eastAsia"/>
          <w:b/>
          <w:color w:val="FF0000"/>
        </w:rPr>
        <w:t>项</w:t>
      </w:r>
      <w:r>
        <w:rPr>
          <w:b/>
          <w:color w:val="FF0000"/>
        </w:rPr>
        <w:t>请参考《</w:t>
      </w:r>
      <w:r>
        <w:rPr>
          <w:rFonts w:hint="eastAsia"/>
          <w:b/>
          <w:color w:val="FF0000"/>
        </w:rPr>
        <w:t>研发</w:t>
      </w:r>
      <w:r>
        <w:rPr>
          <w:b/>
          <w:color w:val="FF0000"/>
        </w:rPr>
        <w:t>需求管理制度</w:t>
      </w:r>
      <w:r>
        <w:rPr>
          <w:rFonts w:hint="eastAsia"/>
          <w:b/>
          <w:color w:val="FF0000"/>
        </w:rPr>
        <w:t>》</w:t>
      </w:r>
      <w:r>
        <w:rPr>
          <w:b/>
          <w:color w:val="FF0000"/>
        </w:rPr>
        <w:t>文档中章节</w:t>
      </w:r>
      <w:r>
        <w:rPr>
          <w:rFonts w:hint="eastAsia"/>
          <w:b/>
          <w:color w:val="FF0000"/>
        </w:rPr>
        <w:t>1的</w:t>
      </w:r>
      <w:r>
        <w:rPr>
          <w:b/>
          <w:color w:val="FF0000"/>
        </w:rPr>
        <w:t>说明进行填写</w:t>
      </w:r>
      <w:r>
        <w:rPr>
          <w:rFonts w:hint="eastAsia"/>
          <w:b/>
          <w:color w:val="FF0000"/>
        </w:rPr>
        <w:t>。</w:t>
      </w:r>
    </w:p>
    <w:p>
      <w:pPr>
        <w:pStyle w:val="2"/>
        <w:numPr>
          <w:ilvl w:val="0"/>
          <w:numId w:val="2"/>
        </w:numPr>
        <w:rPr>
          <w:sz w:val="32"/>
        </w:rPr>
      </w:pPr>
      <w:r>
        <w:rPr>
          <w:rFonts w:hint="eastAsia"/>
          <w:sz w:val="32"/>
        </w:rPr>
        <w:t>需求背景</w:t>
      </w:r>
    </w:p>
    <w:p>
      <w:pPr/>
      <w:r>
        <w:rPr>
          <w:rFonts w:hint="eastAsia"/>
        </w:rPr>
        <w:t>该系统结合集团对CDN资源引入的审批要求，将审批流程固化到系统上，并关联拨测数据和CDN日志数据。</w:t>
      </w:r>
    </w:p>
    <w:p>
      <w:pPr/>
    </w:p>
    <w:p>
      <w:pPr/>
      <w:r>
        <w:rPr>
          <w:rFonts w:hint="eastAsia" w:ascii="微软雅黑" w:hAnsi="微软雅黑" w:eastAsia="微软雅黑"/>
          <w:color w:val="191F25"/>
          <w:szCs w:val="21"/>
          <w:shd w:val="clear" w:color="auto" w:fill="FFFFFF"/>
        </w:rPr>
        <w:t>可与“CDN 日志分析系统的服务器“放到同一台服务器</w:t>
      </w:r>
    </w:p>
    <w:p>
      <w:pPr>
        <w:pStyle w:val="2"/>
        <w:numPr>
          <w:ilvl w:val="0"/>
          <w:numId w:val="2"/>
        </w:numPr>
        <w:rPr>
          <w:sz w:val="32"/>
        </w:rPr>
      </w:pPr>
      <w:r>
        <w:rPr>
          <w:rFonts w:hint="eastAsia"/>
          <w:sz w:val="32"/>
        </w:rPr>
        <w:t>相关</w:t>
      </w:r>
      <w:r>
        <w:rPr>
          <w:sz w:val="32"/>
        </w:rPr>
        <w:t>系统</w:t>
      </w:r>
      <w:r>
        <w:rPr>
          <w:rFonts w:hint="eastAsia"/>
          <w:sz w:val="32"/>
        </w:rPr>
        <w:t>及</w:t>
      </w:r>
      <w:r>
        <w:rPr>
          <w:sz w:val="32"/>
        </w:rPr>
        <w:t>设备登录方式</w:t>
      </w:r>
    </w:p>
    <w:p>
      <w:pPr>
        <w:pStyle w:val="24"/>
        <w:ind w:left="425" w:firstLine="0" w:firstLineChars="0"/>
      </w:pPr>
    </w:p>
    <w:p>
      <w:pPr/>
      <w:r>
        <w:rPr>
          <w:rFonts w:hint="eastAsia"/>
        </w:rPr>
        <w:t>（</w:t>
      </w:r>
      <w:r>
        <w:t>说明需求相关的</w:t>
      </w:r>
      <w:r>
        <w:rPr>
          <w:rFonts w:hint="eastAsia"/>
        </w:rPr>
        <w:t>系统和</w:t>
      </w:r>
      <w:r>
        <w:t>设备登录方式</w:t>
      </w:r>
      <w:r>
        <w:rPr>
          <w:rFonts w:hint="eastAsia"/>
        </w:rPr>
        <w:t>，客户端类</w:t>
      </w:r>
      <w:r>
        <w:t>的需求说明客户端版本号，如有</w:t>
      </w:r>
      <w:r>
        <w:rPr>
          <w:rFonts w:hint="eastAsia"/>
        </w:rPr>
        <w:t>多个</w:t>
      </w:r>
      <w:r>
        <w:t>新系统或设备</w:t>
      </w:r>
      <w:r>
        <w:rPr>
          <w:rFonts w:hint="eastAsia"/>
        </w:rPr>
        <w:t>可</w:t>
      </w:r>
      <w:r>
        <w:t>自行编辑</w:t>
      </w:r>
      <w:r>
        <w:rPr>
          <w:rFonts w:hint="eastAsia"/>
        </w:rPr>
        <w:t>表格</w:t>
      </w:r>
      <w:r>
        <w:t>格式</w:t>
      </w:r>
      <w:r>
        <w:rPr>
          <w:rFonts w:hint="eastAsia"/>
        </w:rPr>
        <w:t>填写</w:t>
      </w:r>
      <w:r>
        <w:t>，如有其他信息说明可自行</w:t>
      </w:r>
      <w:r>
        <w:rPr>
          <w:rFonts w:hint="eastAsia"/>
        </w:rPr>
        <w:t>补充）</w:t>
      </w:r>
    </w:p>
    <w:p>
      <w:pPr/>
    </w:p>
    <w:tbl>
      <w:tblPr>
        <w:tblStyle w:val="19"/>
        <w:tblW w:w="8301" w:type="dxa"/>
        <w:tblInd w:w="-5" w:type="dxa"/>
        <w:tblLayout w:type="fixed"/>
        <w:tblCellMar>
          <w:top w:w="0" w:type="dxa"/>
          <w:left w:w="108" w:type="dxa"/>
          <w:bottom w:w="0" w:type="dxa"/>
          <w:right w:w="108" w:type="dxa"/>
        </w:tblCellMar>
      </w:tblPr>
      <w:tblGrid>
        <w:gridCol w:w="1076"/>
        <w:gridCol w:w="3326"/>
        <w:gridCol w:w="3899"/>
      </w:tblGrid>
      <w:tr>
        <w:trPr>
          <w:trHeight w:val="270" w:hRule="atLeast"/>
        </w:trPr>
        <w:tc>
          <w:tcPr>
            <w:tcW w:w="1076" w:type="dxa"/>
            <w:vMerge w:val="restart"/>
            <w:tcBorders>
              <w:top w:val="single" w:color="auto" w:sz="4" w:space="0"/>
              <w:left w:val="single" w:color="auto" w:sz="4" w:space="0"/>
              <w:bottom w:val="single" w:color="auto" w:sz="4" w:space="0"/>
              <w:right w:val="single" w:color="auto" w:sz="4" w:space="0"/>
            </w:tcBorders>
            <w:shd w:val="clear" w:color="000000" w:fill="F2F2F2"/>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服务器/探针</w:t>
            </w:r>
          </w:p>
        </w:tc>
        <w:tc>
          <w:tcPr>
            <w:tcW w:w="3326" w:type="dxa"/>
            <w:tcBorders>
              <w:top w:val="single" w:color="auto" w:sz="4" w:space="0"/>
              <w:left w:val="nil"/>
              <w:bottom w:val="single" w:color="auto" w:sz="4" w:space="0"/>
              <w:right w:val="single" w:color="auto" w:sz="4" w:space="0"/>
            </w:tcBorders>
            <w:shd w:val="clear" w:color="000000" w:fill="F2F2F2"/>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IP地址</w:t>
            </w:r>
          </w:p>
        </w:tc>
        <w:tc>
          <w:tcPr>
            <w:tcW w:w="3899" w:type="dxa"/>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　120.198.245.97</w:t>
            </w:r>
          </w:p>
        </w:tc>
      </w:tr>
      <w:tr>
        <w:trPr>
          <w:trHeight w:val="270" w:hRule="atLeast"/>
        </w:trPr>
        <w:tc>
          <w:tcPr>
            <w:tcW w:w="107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3326" w:type="dxa"/>
            <w:tcBorders>
              <w:top w:val="nil"/>
              <w:left w:val="nil"/>
              <w:bottom w:val="single" w:color="auto" w:sz="4" w:space="0"/>
              <w:right w:val="single" w:color="auto" w:sz="4" w:space="0"/>
            </w:tcBorders>
            <w:shd w:val="clear" w:color="000000" w:fill="F2F2F2"/>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SSH端口</w:t>
            </w:r>
          </w:p>
        </w:tc>
        <w:tc>
          <w:tcPr>
            <w:tcW w:w="389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　60522</w:t>
            </w:r>
          </w:p>
        </w:tc>
      </w:tr>
      <w:tr>
        <w:trPr>
          <w:trHeight w:val="270" w:hRule="atLeast"/>
        </w:trPr>
        <w:tc>
          <w:tcPr>
            <w:tcW w:w="107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3326" w:type="dxa"/>
            <w:tcBorders>
              <w:top w:val="nil"/>
              <w:left w:val="nil"/>
              <w:bottom w:val="single" w:color="auto" w:sz="4" w:space="0"/>
              <w:right w:val="single" w:color="auto" w:sz="4" w:space="0"/>
            </w:tcBorders>
            <w:shd w:val="clear" w:color="000000" w:fill="F2F2F2"/>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root密码</w:t>
            </w:r>
          </w:p>
        </w:tc>
        <w:tc>
          <w:tcPr>
            <w:tcW w:w="389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Vixtel*2312</w:t>
            </w:r>
          </w:p>
        </w:tc>
      </w:tr>
      <w:tr>
        <w:trPr>
          <w:trHeight w:val="480" w:hRule="atLeast"/>
        </w:trPr>
        <w:tc>
          <w:tcPr>
            <w:tcW w:w="107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3326" w:type="dxa"/>
            <w:tcBorders>
              <w:top w:val="nil"/>
              <w:left w:val="nil"/>
              <w:bottom w:val="single" w:color="auto" w:sz="4" w:space="0"/>
              <w:right w:val="single" w:color="auto" w:sz="4" w:space="0"/>
            </w:tcBorders>
            <w:shd w:val="clear" w:color="000000" w:fill="F2F2F2"/>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普通账号及密码</w:t>
            </w:r>
            <w:r>
              <w:rPr>
                <w:rFonts w:hint="eastAsia" w:ascii="宋体" w:hAnsi="宋体" w:eastAsia="宋体" w:cs="宋体"/>
                <w:color w:val="000000"/>
                <w:kern w:val="0"/>
                <w:sz w:val="20"/>
                <w:szCs w:val="20"/>
              </w:rPr>
              <w:br w:type="textWrapping"/>
            </w:r>
            <w:r>
              <w:rPr>
                <w:rFonts w:hint="eastAsia" w:ascii="宋体" w:hAnsi="宋体" w:eastAsia="宋体" w:cs="宋体"/>
                <w:color w:val="000000"/>
                <w:kern w:val="0"/>
                <w:sz w:val="20"/>
                <w:szCs w:val="20"/>
              </w:rPr>
              <w:t>（有root登录限制的设备填写）</w:t>
            </w:r>
          </w:p>
        </w:tc>
        <w:tc>
          <w:tcPr>
            <w:tcW w:w="389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　</w:t>
            </w:r>
          </w:p>
        </w:tc>
      </w:tr>
      <w:tr>
        <w:trPr>
          <w:trHeight w:val="270" w:hRule="atLeast"/>
        </w:trPr>
        <w:tc>
          <w:tcPr>
            <w:tcW w:w="1076" w:type="dxa"/>
            <w:vMerge w:val="restart"/>
            <w:tcBorders>
              <w:top w:val="nil"/>
              <w:left w:val="single" w:color="auto" w:sz="4" w:space="0"/>
              <w:bottom w:val="single" w:color="auto" w:sz="4" w:space="0"/>
              <w:right w:val="single" w:color="auto" w:sz="4" w:space="0"/>
            </w:tcBorders>
            <w:shd w:val="clear" w:color="000000" w:fill="F2F2F2"/>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系统</w:t>
            </w:r>
          </w:p>
        </w:tc>
        <w:tc>
          <w:tcPr>
            <w:tcW w:w="3326" w:type="dxa"/>
            <w:tcBorders>
              <w:top w:val="nil"/>
              <w:left w:val="nil"/>
              <w:bottom w:val="single" w:color="auto" w:sz="4" w:space="0"/>
              <w:right w:val="single" w:color="auto" w:sz="4" w:space="0"/>
            </w:tcBorders>
            <w:shd w:val="clear" w:color="000000" w:fill="F2F2F2"/>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系统/网站URL</w:t>
            </w:r>
          </w:p>
        </w:tc>
        <w:tc>
          <w:tcPr>
            <w:tcW w:w="389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r>
              <w:rPr>
                <w:rFonts w:ascii="宋体" w:hAnsi="宋体" w:eastAsia="宋体" w:cs="宋体"/>
                <w:color w:val="000000"/>
                <w:kern w:val="0"/>
                <w:sz w:val="20"/>
                <w:szCs w:val="20"/>
              </w:rPr>
              <w:t>http://120.198.245.97:4300/index.html</w:t>
            </w:r>
          </w:p>
        </w:tc>
      </w:tr>
      <w:tr>
        <w:trPr>
          <w:trHeight w:val="270" w:hRule="atLeast"/>
        </w:trPr>
        <w:tc>
          <w:tcPr>
            <w:tcW w:w="1076"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3326" w:type="dxa"/>
            <w:tcBorders>
              <w:top w:val="nil"/>
              <w:left w:val="nil"/>
              <w:bottom w:val="single" w:color="auto" w:sz="4" w:space="0"/>
              <w:right w:val="single" w:color="auto" w:sz="4" w:space="0"/>
            </w:tcBorders>
            <w:shd w:val="clear" w:color="000000" w:fill="F2F2F2"/>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登录账号</w:t>
            </w:r>
          </w:p>
        </w:tc>
        <w:tc>
          <w:tcPr>
            <w:tcW w:w="389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p>
        </w:tc>
      </w:tr>
      <w:tr>
        <w:trPr>
          <w:trHeight w:val="270" w:hRule="atLeast"/>
        </w:trPr>
        <w:tc>
          <w:tcPr>
            <w:tcW w:w="1076"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3326" w:type="dxa"/>
            <w:tcBorders>
              <w:top w:val="nil"/>
              <w:left w:val="nil"/>
              <w:bottom w:val="single" w:color="auto" w:sz="4" w:space="0"/>
              <w:right w:val="single" w:color="auto" w:sz="4" w:space="0"/>
            </w:tcBorders>
            <w:shd w:val="clear" w:color="000000" w:fill="F2F2F2"/>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登录密码</w:t>
            </w:r>
          </w:p>
        </w:tc>
        <w:tc>
          <w:tcPr>
            <w:tcW w:w="3899" w:type="dxa"/>
            <w:tcBorders>
              <w:top w:val="nil"/>
              <w:left w:val="nil"/>
              <w:bottom w:val="single" w:color="auto" w:sz="4" w:space="0"/>
              <w:right w:val="single" w:color="auto" w:sz="4" w:space="0"/>
            </w:tcBorders>
            <w:shd w:val="clear" w:color="auto" w:fill="auto"/>
            <w:vAlign w:val="center"/>
          </w:tcPr>
          <w:p>
            <w:pPr>
              <w:widowControl/>
              <w:jc w:val="left"/>
              <w:rPr>
                <w:rFonts w:ascii="宋体" w:hAnsi="宋体" w:eastAsia="宋体" w:cs="宋体"/>
                <w:color w:val="000000"/>
                <w:kern w:val="0"/>
                <w:sz w:val="20"/>
                <w:szCs w:val="20"/>
              </w:rPr>
            </w:pPr>
          </w:p>
        </w:tc>
      </w:tr>
      <w:tr>
        <w:trPr>
          <w:trHeight w:val="270" w:hRule="atLeast"/>
        </w:trPr>
        <w:tc>
          <w:tcPr>
            <w:tcW w:w="1076" w:type="dxa"/>
            <w:vMerge w:val="restart"/>
            <w:tcBorders>
              <w:top w:val="nil"/>
              <w:left w:val="single" w:color="auto" w:sz="4" w:space="0"/>
              <w:bottom w:val="single" w:color="auto" w:sz="4" w:space="0"/>
              <w:right w:val="single" w:color="auto" w:sz="4" w:space="0"/>
            </w:tcBorders>
            <w:shd w:val="clear" w:color="000000" w:fill="F2F2F2"/>
            <w:vAlign w:val="center"/>
          </w:tcPr>
          <w:p>
            <w:pPr>
              <w:widowControl/>
              <w:jc w:val="center"/>
              <w:rPr>
                <w:rFonts w:ascii="宋体" w:hAnsi="宋体" w:eastAsia="宋体" w:cs="宋体"/>
                <w:color w:val="000000"/>
                <w:kern w:val="0"/>
                <w:sz w:val="20"/>
                <w:szCs w:val="20"/>
              </w:rPr>
            </w:pPr>
            <w:r>
              <w:rPr>
                <w:rFonts w:hint="eastAsia" w:ascii="宋体" w:hAnsi="宋体" w:eastAsia="宋体" w:cs="宋体"/>
                <w:color w:val="000000"/>
                <w:kern w:val="0"/>
                <w:sz w:val="20"/>
                <w:szCs w:val="20"/>
              </w:rPr>
              <w:t>客户端</w:t>
            </w:r>
          </w:p>
        </w:tc>
        <w:tc>
          <w:tcPr>
            <w:tcW w:w="3326" w:type="dxa"/>
            <w:tcBorders>
              <w:top w:val="nil"/>
              <w:left w:val="nil"/>
              <w:bottom w:val="single" w:color="auto" w:sz="4" w:space="0"/>
              <w:right w:val="single" w:color="auto" w:sz="4" w:space="0"/>
            </w:tcBorders>
            <w:shd w:val="clear" w:color="000000" w:fill="F2F2F2"/>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PC端版本号</w:t>
            </w:r>
          </w:p>
        </w:tc>
        <w:tc>
          <w:tcPr>
            <w:tcW w:w="3899"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　</w:t>
            </w:r>
          </w:p>
        </w:tc>
      </w:tr>
      <w:tr>
        <w:trPr>
          <w:trHeight w:val="270" w:hRule="atLeast"/>
        </w:trPr>
        <w:tc>
          <w:tcPr>
            <w:tcW w:w="1076"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eastAsia="宋体" w:cs="宋体"/>
                <w:color w:val="000000"/>
                <w:kern w:val="0"/>
                <w:sz w:val="20"/>
                <w:szCs w:val="20"/>
              </w:rPr>
            </w:pPr>
          </w:p>
        </w:tc>
        <w:tc>
          <w:tcPr>
            <w:tcW w:w="3326" w:type="dxa"/>
            <w:tcBorders>
              <w:top w:val="nil"/>
              <w:left w:val="nil"/>
              <w:bottom w:val="single" w:color="auto" w:sz="4" w:space="0"/>
              <w:right w:val="single" w:color="auto" w:sz="4" w:space="0"/>
            </w:tcBorders>
            <w:shd w:val="clear" w:color="000000" w:fill="F2F2F2"/>
            <w:vAlign w:val="center"/>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手机端版本号</w:t>
            </w:r>
          </w:p>
        </w:tc>
        <w:tc>
          <w:tcPr>
            <w:tcW w:w="3899" w:type="dxa"/>
            <w:tcBorders>
              <w:top w:val="nil"/>
              <w:left w:val="nil"/>
              <w:bottom w:val="single" w:color="auto" w:sz="4" w:space="0"/>
              <w:right w:val="single" w:color="auto" w:sz="4" w:space="0"/>
            </w:tcBorders>
            <w:shd w:val="clear" w:color="auto" w:fill="auto"/>
            <w:vAlign w:val="bottom"/>
          </w:tcPr>
          <w:p>
            <w:pPr>
              <w:widowControl/>
              <w:jc w:val="left"/>
              <w:rPr>
                <w:rFonts w:ascii="宋体" w:hAnsi="宋体" w:eastAsia="宋体" w:cs="宋体"/>
                <w:color w:val="000000"/>
                <w:kern w:val="0"/>
                <w:sz w:val="20"/>
                <w:szCs w:val="20"/>
              </w:rPr>
            </w:pPr>
            <w:r>
              <w:rPr>
                <w:rFonts w:hint="eastAsia" w:ascii="宋体" w:hAnsi="宋体" w:eastAsia="宋体" w:cs="宋体"/>
                <w:color w:val="000000"/>
                <w:kern w:val="0"/>
                <w:sz w:val="20"/>
                <w:szCs w:val="20"/>
              </w:rPr>
              <w:t>　</w:t>
            </w:r>
          </w:p>
        </w:tc>
      </w:tr>
    </w:tbl>
    <w:p>
      <w:pPr/>
    </w:p>
    <w:p>
      <w:pPr>
        <w:pStyle w:val="2"/>
        <w:numPr>
          <w:ilvl w:val="0"/>
          <w:numId w:val="2"/>
        </w:numPr>
        <w:rPr>
          <w:sz w:val="32"/>
        </w:rPr>
      </w:pPr>
      <w:r>
        <w:rPr>
          <w:rFonts w:hint="eastAsia"/>
          <w:sz w:val="32"/>
        </w:rPr>
        <w:t>功能</w:t>
      </w:r>
      <w:r>
        <w:rPr>
          <w:sz w:val="32"/>
        </w:rPr>
        <w:t>详述</w:t>
      </w:r>
    </w:p>
    <w:p>
      <w:pPr>
        <w:ind w:firstLine="424" w:firstLineChars="202"/>
      </w:pPr>
      <w:r>
        <w:rPr>
          <w:rFonts w:hint="eastAsia"/>
        </w:rPr>
        <w:t>系统功能主要包括了地市用户添加CDN引入资源申请、省公司用户审核引入申请、CDN厂家评估可引入性、关联拨测系统拨测引入前后质量对比、关联CDN日志数据梳理引入后的请求数据。</w:t>
      </w:r>
    </w:p>
    <w:p>
      <w:pPr>
        <w:pStyle w:val="3"/>
        <w:numPr>
          <w:ilvl w:val="1"/>
          <w:numId w:val="2"/>
        </w:numPr>
        <w:rPr>
          <w:sz w:val="28"/>
        </w:rPr>
      </w:pPr>
      <w:r>
        <w:rPr>
          <w:rFonts w:hint="eastAsia"/>
          <w:sz w:val="28"/>
        </w:rPr>
        <w:t>待处理申请界面</w:t>
      </w:r>
    </w:p>
    <w:p>
      <w:pPr>
        <w:ind w:firstLine="424" w:firstLineChars="202"/>
      </w:pPr>
      <w:r>
        <w:rPr>
          <w:rFonts w:hint="eastAsia"/>
        </w:rPr>
        <w:t>待处理申请界面要求如下，地市公司账号通过点击添加项添加需要引入的域名信息，每个填报的信息都会自动添加到此界面。</w:t>
      </w:r>
    </w:p>
    <w:p>
      <w:pPr/>
      <w:r>
        <w:drawing>
          <wp:inline distT="0" distB="0" distL="0" distR="0">
            <wp:extent cx="5274310" cy="3387090"/>
            <wp:effectExtent l="0" t="0" r="2540" b="3810"/>
            <wp:docPr id="2" name="图片 2" descr="Z:\资料\项目资料\网管数据承载网\CDN日志分析系统\CDN资源\CDN资源\1.0待处理申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资料\项目资料\网管数据承载网\CDN日志分析系统\CDN资源\CDN资源\1.0待处理申请.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3387096"/>
                    </a:xfrm>
                    <a:prstGeom prst="rect">
                      <a:avLst/>
                    </a:prstGeom>
                    <a:noFill/>
                    <a:ln>
                      <a:noFill/>
                    </a:ln>
                  </pic:spPr>
                </pic:pic>
              </a:graphicData>
            </a:graphic>
          </wp:inline>
        </w:drawing>
      </w:r>
    </w:p>
    <w:p>
      <w:pPr/>
      <w:r>
        <w:rPr>
          <w:rFonts w:hint="eastAsia"/>
        </w:rPr>
        <w:t>界面功能要求：</w:t>
      </w:r>
    </w:p>
    <w:p>
      <w:pPr>
        <w:pStyle w:val="24"/>
        <w:numPr>
          <w:ilvl w:val="0"/>
          <w:numId w:val="3"/>
        </w:numPr>
        <w:ind w:firstLineChars="0"/>
      </w:pPr>
      <w:r>
        <w:rPr>
          <w:rFonts w:hint="eastAsia"/>
        </w:rPr>
        <w:t>【添加项】按钮，点击后弹出以下界面：</w:t>
      </w:r>
    </w:p>
    <w:p>
      <w:pPr>
        <w:pStyle w:val="24"/>
        <w:ind w:left="420" w:firstLine="0" w:firstLineChars="0"/>
        <w:rPr>
          <w:color w:val="FF0000"/>
        </w:rPr>
      </w:pPr>
      <w:r>
        <w:rPr>
          <w:rFonts w:hint="eastAsia"/>
          <w:color w:val="FF0000"/>
          <w:highlight w:val="yellow"/>
        </w:rPr>
        <w:t>“1</w:t>
      </w:r>
      <w:r>
        <w:rPr>
          <w:color w:val="FF0000"/>
          <w:highlight w:val="yellow"/>
        </w:rPr>
        <w:t>.</w:t>
      </w:r>
      <w:r>
        <w:rPr>
          <w:rFonts w:hint="eastAsia"/>
          <w:color w:val="FF0000"/>
          <w:highlight w:val="yellow"/>
        </w:rPr>
        <w:t>客户信息表”：全是用户手动输入，不做任何关联？</w:t>
      </w:r>
    </w:p>
    <w:p>
      <w:pPr>
        <w:pStyle w:val="24"/>
        <w:shd w:val="clear" w:color="auto" w:fill="00B0F0"/>
        <w:ind w:left="420" w:firstLine="0" w:firstLineChars="0"/>
        <w:rPr>
          <w:color w:val="FF0000"/>
        </w:rPr>
      </w:pPr>
      <w:r>
        <w:rPr>
          <w:rFonts w:hint="eastAsia"/>
          <w:color w:val="FF0000"/>
          <w:highlight w:val="green"/>
        </w:rPr>
        <w:t>客户信息表有两种方式实现：1）下表界面要求，直接在界面上让用户手动输入即可；2）用户导入“附件二”模块上已填写的信息，导入后系统自动识别；  目前两种方式二选一即可</w:t>
      </w:r>
    </w:p>
    <w:p>
      <w:pPr>
        <w:pStyle w:val="24"/>
        <w:ind w:left="420" w:firstLine="0" w:firstLineChars="0"/>
      </w:pPr>
      <w:r>
        <w:pict>
          <v:shape id="_x0000_i1025" o:spt="75" alt="1" type="#_x0000_t75" style="height:266.25pt;width:414.75pt;" filled="f" o:preferrelative="t" stroked="f" coordsize="21600,21600">
            <v:path/>
            <v:fill on="f" focussize="0,0"/>
            <v:stroke on="f" joinstyle="miter"/>
            <v:imagedata r:id="rId5" o:title="1"/>
            <o:lock v:ext="edit" aspectratio="t"/>
            <w10:wrap type="none"/>
            <w10:anchorlock/>
          </v:shape>
        </w:pict>
      </w:r>
    </w:p>
    <w:p>
      <w:pPr>
        <w:pStyle w:val="24"/>
        <w:ind w:left="420" w:firstLine="0" w:firstLineChars="0"/>
        <w:rPr>
          <w:color w:val="FF0000"/>
          <w:highlight w:val="yellow"/>
        </w:rPr>
      </w:pPr>
      <w:r>
        <w:rPr>
          <w:rFonts w:hint="eastAsia"/>
          <w:color w:val="FF0000"/>
          <w:highlight w:val="yellow"/>
        </w:rPr>
        <w:t>“2</w:t>
      </w:r>
      <w:r>
        <w:rPr>
          <w:color w:val="FF0000"/>
          <w:highlight w:val="yellow"/>
        </w:rPr>
        <w:t>.</w:t>
      </w:r>
      <w:r>
        <w:rPr>
          <w:rFonts w:hint="eastAsia"/>
          <w:color w:val="FF0000"/>
          <w:highlight w:val="yellow"/>
        </w:rPr>
        <w:t>域名信息表”：全是用户手动输入，不做任何关联？</w:t>
      </w:r>
    </w:p>
    <w:p>
      <w:pPr>
        <w:pStyle w:val="24"/>
        <w:ind w:left="420" w:firstLine="0" w:firstLineChars="0"/>
        <w:rPr>
          <w:color w:val="FF0000"/>
        </w:rPr>
      </w:pPr>
      <w:r>
        <w:rPr>
          <w:rFonts w:hint="eastAsia"/>
          <w:color w:val="FF0000"/>
          <w:highlight w:val="green"/>
        </w:rPr>
        <w:t>域名信息表有两种方式实现：1）下表界面要求，直接在界面上让用户手动输入即可；2）用户导入“附件二”模块上已填写的信息，导入后系统自动识别；  目前两种方式二选一即可</w:t>
      </w:r>
    </w:p>
    <w:p>
      <w:pPr>
        <w:pStyle w:val="24"/>
        <w:ind w:left="420" w:firstLine="0" w:firstLineChars="0"/>
        <w:rPr>
          <w:color w:val="FF0000"/>
          <w:highlight w:val="yellow"/>
        </w:rPr>
      </w:pPr>
    </w:p>
    <w:p>
      <w:pPr>
        <w:pStyle w:val="24"/>
        <w:ind w:left="420" w:firstLine="0" w:firstLineChars="0"/>
        <w:rPr>
          <w:color w:val="FF0000"/>
          <w:highlight w:val="yellow"/>
        </w:rPr>
      </w:pPr>
      <w:r>
        <w:rPr>
          <w:color w:val="FF0000"/>
          <w:highlight w:val="yellow"/>
        </w:rPr>
        <w:tab/>
      </w:r>
      <w:r>
        <w:rPr>
          <w:color w:val="FF0000"/>
          <w:highlight w:val="yellow"/>
        </w:rPr>
        <w:t xml:space="preserve">  </w:t>
      </w:r>
      <w:r>
        <w:rPr>
          <w:rFonts w:hint="eastAsia"/>
          <w:color w:val="FF0000"/>
          <w:highlight w:val="yellow"/>
        </w:rPr>
        <w:t>其中“需加载的域名相关信息”，效果图默认显示两行，有没有可能要增第三行，界面上想如何提示用可增加下一行呢？</w:t>
      </w:r>
    </w:p>
    <w:p>
      <w:pPr>
        <w:pStyle w:val="24"/>
        <w:ind w:left="420" w:firstLine="0" w:firstLineChars="0"/>
        <w:rPr>
          <w:color w:val="FF0000"/>
          <w:highlight w:val="green"/>
        </w:rPr>
      </w:pPr>
      <w:r>
        <w:rPr>
          <w:rFonts w:hint="eastAsia"/>
          <w:color w:val="FF0000"/>
          <w:highlight w:val="green"/>
        </w:rPr>
        <w:t>域名信息的填写需要增加“增加下一行”的按钮，，行尾增加一个“+”和“—”字符，点击后增加下一行或删除本行即可</w:t>
      </w:r>
    </w:p>
    <w:p>
      <w:pPr>
        <w:pStyle w:val="24"/>
        <w:ind w:left="420" w:firstLine="0" w:firstLineChars="0"/>
      </w:pPr>
      <w:r>
        <w:pict>
          <v:shape id="_x0000_i1026" o:spt="75" alt="1" type="#_x0000_t75" style="height:266.25pt;width:414.75pt;" filled="f" o:preferrelative="t" stroked="f" coordsize="21600,21600">
            <v:path/>
            <v:fill on="f" focussize="0,0"/>
            <v:stroke on="f" joinstyle="miter"/>
            <v:imagedata r:id="rId6" o:title="1"/>
            <o:lock v:ext="edit" aspectratio="t"/>
            <w10:wrap type="none"/>
            <w10:anchorlock/>
          </v:shape>
        </w:pict>
      </w:r>
    </w:p>
    <w:p>
      <w:pPr>
        <w:pStyle w:val="24"/>
        <w:ind w:left="420" w:firstLine="0" w:firstLineChars="0"/>
      </w:pPr>
      <w:r>
        <w:drawing>
          <wp:inline distT="0" distB="0" distL="0" distR="0">
            <wp:extent cx="5029200" cy="9251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084587" cy="935992"/>
                    </a:xfrm>
                    <a:prstGeom prst="rect">
                      <a:avLst/>
                    </a:prstGeom>
                  </pic:spPr>
                </pic:pic>
              </a:graphicData>
            </a:graphic>
          </wp:inline>
        </w:drawing>
      </w:r>
    </w:p>
    <w:p>
      <w:pPr>
        <w:pStyle w:val="24"/>
        <w:ind w:left="420" w:firstLine="0" w:firstLineChars="0"/>
      </w:pPr>
      <w:r>
        <w:rPr>
          <w:rFonts w:hint="eastAsia"/>
        </w:rPr>
        <w:t>资料上传是上传word版本的，上传后可下载即可，不需对文件内容进行处理。</w:t>
      </w:r>
    </w:p>
    <w:p>
      <w:pPr>
        <w:pStyle w:val="24"/>
        <w:ind w:left="420" w:firstLine="0" w:firstLineChars="0"/>
        <w:rPr>
          <w:b/>
          <w:color w:val="FF0000"/>
        </w:rPr>
      </w:pPr>
      <w:r>
        <w:rPr>
          <w:rFonts w:hint="eastAsia"/>
          <w:b/>
          <w:color w:val="FF0000"/>
          <w:highlight w:val="yellow"/>
        </w:rPr>
        <w:t>只上传1个文件吗？上传后的效果图呢，显示文件名称、文件大小？</w:t>
      </w:r>
    </w:p>
    <w:p>
      <w:pPr>
        <w:pStyle w:val="24"/>
        <w:ind w:left="420" w:firstLine="0" w:firstLineChars="0"/>
        <w:rPr>
          <w:b/>
          <w:color w:val="FF0000"/>
        </w:rPr>
      </w:pPr>
      <w:r>
        <w:rPr>
          <w:rFonts w:hint="eastAsia"/>
          <w:b/>
          <w:color w:val="FF0000"/>
          <w:highlight w:val="green"/>
        </w:rPr>
        <w:t>可上传一个或多个文件，上传后的效果没有画效果，效果要求：选文件时可选择一个或多个文件；文件上传成功后，显示文件名称、文件大小、上传时间、上传成功或失败的标识；多个文件时分行显示；文件上传后，最后一行扔有“选择文件”按钮，供用户继续上传文件。</w:t>
      </w:r>
    </w:p>
    <w:p>
      <w:pPr>
        <w:pStyle w:val="24"/>
        <w:ind w:left="420" w:firstLine="0" w:firstLineChars="0"/>
      </w:pPr>
      <w:r>
        <w:drawing>
          <wp:inline distT="0" distB="0" distL="0" distR="0">
            <wp:extent cx="5267325" cy="3381375"/>
            <wp:effectExtent l="0" t="0" r="9525" b="9525"/>
            <wp:docPr id="4" name="图片 4" descr="C:\Users\Linguiyun-PC\AppData\Local\Microsoft\Windows\INetCache\Content.Word\1.3添加项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inguiyun-PC\AppData\Local\Microsoft\Windows\INetCache\Content.Word\1.3添加项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67325" cy="3381375"/>
                    </a:xfrm>
                    <a:prstGeom prst="rect">
                      <a:avLst/>
                    </a:prstGeom>
                    <a:noFill/>
                    <a:ln>
                      <a:noFill/>
                    </a:ln>
                  </pic:spPr>
                </pic:pic>
              </a:graphicData>
            </a:graphic>
          </wp:inline>
        </w:drawing>
      </w:r>
    </w:p>
    <w:p>
      <w:pPr>
        <w:pStyle w:val="24"/>
        <w:ind w:left="420" w:firstLine="0" w:firstLineChars="0"/>
      </w:pPr>
    </w:p>
    <w:p>
      <w:pPr>
        <w:pStyle w:val="24"/>
        <w:ind w:left="420" w:firstLine="0" w:firstLineChars="0"/>
        <w:rPr>
          <w:b/>
          <w:color w:val="FF0000"/>
          <w:highlight w:val="yellow"/>
        </w:rPr>
      </w:pPr>
    </w:p>
    <w:p>
      <w:pPr>
        <w:pStyle w:val="24"/>
        <w:ind w:left="420" w:firstLine="0" w:firstLineChars="0"/>
        <w:rPr>
          <w:b/>
          <w:color w:val="FF0000"/>
          <w:highlight w:val="yellow"/>
        </w:rPr>
      </w:pPr>
      <w:r>
        <w:rPr>
          <w:rFonts w:hint="eastAsia"/>
          <w:b/>
          <w:color w:val="FF0000"/>
          <w:highlight w:val="yellow"/>
        </w:rPr>
        <w:t>待处理申请：</w:t>
      </w:r>
    </w:p>
    <w:p>
      <w:pPr>
        <w:pStyle w:val="24"/>
        <w:numPr>
          <w:ilvl w:val="0"/>
          <w:numId w:val="4"/>
        </w:numPr>
        <w:ind w:firstLineChars="0"/>
        <w:rPr>
          <w:b/>
          <w:color w:val="FF0000"/>
          <w:highlight w:val="green"/>
        </w:rPr>
      </w:pPr>
      <w:r>
        <w:rPr>
          <w:rFonts w:hint="eastAsia"/>
          <w:b/>
          <w:color w:val="FF0000"/>
          <w:highlight w:val="green"/>
        </w:rPr>
        <w:t>地市：申请的用户的权限管理中分配哪个地市就显示对应的内容；</w:t>
      </w:r>
    </w:p>
    <w:p>
      <w:pPr>
        <w:pStyle w:val="24"/>
        <w:numPr>
          <w:ilvl w:val="0"/>
          <w:numId w:val="4"/>
        </w:numPr>
        <w:ind w:firstLineChars="0"/>
        <w:rPr>
          <w:b/>
          <w:color w:val="FF0000"/>
          <w:highlight w:val="green"/>
        </w:rPr>
      </w:pPr>
      <w:r>
        <w:rPr>
          <w:rFonts w:hint="eastAsia"/>
          <w:b/>
          <w:color w:val="FF0000"/>
          <w:highlight w:val="green"/>
        </w:rPr>
        <w:t>I</w:t>
      </w:r>
      <w:r>
        <w:rPr>
          <w:b/>
          <w:color w:val="FF0000"/>
          <w:highlight w:val="green"/>
        </w:rPr>
        <w:t>CP</w:t>
      </w:r>
      <w:r>
        <w:rPr>
          <w:rFonts w:hint="eastAsia"/>
          <w:b/>
          <w:color w:val="FF0000"/>
          <w:highlight w:val="green"/>
        </w:rPr>
        <w:t>：一次申请只能填写一个ICP，多个ICP时分多个申请项；</w:t>
      </w:r>
    </w:p>
    <w:p>
      <w:pPr>
        <w:pStyle w:val="24"/>
        <w:numPr>
          <w:ilvl w:val="0"/>
          <w:numId w:val="4"/>
        </w:numPr>
        <w:ind w:firstLineChars="0"/>
        <w:rPr>
          <w:b/>
          <w:color w:val="FF0000"/>
          <w:highlight w:val="green"/>
        </w:rPr>
      </w:pPr>
      <w:r>
        <w:rPr>
          <w:rFonts w:hint="eastAsia"/>
          <w:b/>
          <w:color w:val="FF0000"/>
          <w:highlight w:val="green"/>
        </w:rPr>
        <w:t>加速域名明细：域名多个时，域名换行显示，即域名加载这列为多行，其他列合并单元格；</w:t>
      </w:r>
    </w:p>
    <w:p>
      <w:pPr>
        <w:pStyle w:val="24"/>
        <w:ind w:left="420" w:firstLine="0" w:firstLineChars="0"/>
      </w:pPr>
      <w:r>
        <w:drawing>
          <wp:inline distT="0" distB="0" distL="0" distR="0">
            <wp:extent cx="5274310" cy="549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5274310" cy="549275"/>
                    </a:xfrm>
                    <a:prstGeom prst="rect">
                      <a:avLst/>
                    </a:prstGeom>
                  </pic:spPr>
                </pic:pic>
              </a:graphicData>
            </a:graphic>
          </wp:inline>
        </w:drawing>
      </w:r>
    </w:p>
    <w:p>
      <w:pPr>
        <w:pStyle w:val="24"/>
        <w:ind w:left="420" w:firstLine="0" w:firstLineChars="0"/>
      </w:pPr>
      <w:r>
        <w:rPr>
          <w:rFonts w:hint="eastAsia"/>
        </w:rPr>
        <w:t>客户信息表和域名信息表需要填写的表格信息参照以下附件：</w:t>
      </w:r>
    </w:p>
    <w:p>
      <w:pPr>
        <w:pStyle w:val="24"/>
        <w:ind w:left="420" w:firstLine="0" w:firstLineChars="0"/>
      </w:pPr>
      <w:bookmarkStart w:id="0" w:name="_MON_1578399549"/>
      <w:bookmarkEnd w:id="0"/>
      <w:r>
        <w:object>
          <v:shape id="_x0000_i1027" o:spt="75" type="#_x0000_t75" style="height:56.25pt;width:75.75pt;" o:ole="t" filled="f" o:preferrelative="t" stroked="f" coordsize="21600,21600">
            <v:path/>
            <v:fill on="f" focussize="0,0"/>
            <v:stroke on="f" joinstyle="miter"/>
            <v:imagedata r:id="rId11" o:title=""/>
            <o:lock v:ext="edit" aspectratio="t"/>
            <w10:wrap type="none"/>
            <w10:anchorlock/>
          </v:shape>
          <o:OLEObject Type="Embed" ProgID="Excel.Sheet.12" ShapeID="_x0000_i1027" DrawAspect="Icon" ObjectID="_1468075725" r:id="rId10">
            <o:LockedField>false</o:LockedField>
          </o:OLEObject>
        </w:object>
      </w:r>
    </w:p>
    <w:p>
      <w:pPr>
        <w:pStyle w:val="24"/>
        <w:ind w:left="420" w:firstLine="0" w:firstLineChars="0"/>
      </w:pPr>
    </w:p>
    <w:p>
      <w:pPr>
        <w:pStyle w:val="24"/>
        <w:numPr>
          <w:ilvl w:val="0"/>
          <w:numId w:val="3"/>
        </w:numPr>
        <w:ind w:firstLineChars="0"/>
      </w:pPr>
      <w:r>
        <w:rPr>
          <w:rFonts w:hint="eastAsia"/>
        </w:rPr>
        <w:t>地市用户填写完成申请信息之后，待处理申请界面会新增一条申请信息，申请信息显示的内容包括ID、申请时间、地市、ICP、加载域名明细、处理状态、最近处理时间、最近处理人（处理人用户名称）；处理状态按以下流程图显示，如地市公司填报申请后，省公司审核申请通过，处理状态则显示“省公司审核通过”同时点击文字旁边的按钮可以显示以下流程图，已执行的流程图显示绿色线、未执行的显示灰色虚线</w:t>
      </w:r>
    </w:p>
    <w:p>
      <w:pPr>
        <w:pStyle w:val="24"/>
        <w:ind w:left="420" w:firstLine="0" w:firstLineChars="0"/>
        <w:rPr>
          <w:b/>
          <w:color w:val="7030A0"/>
        </w:rPr>
      </w:pPr>
      <w:r>
        <w:rPr>
          <w:rFonts w:hint="eastAsia"/>
          <w:b/>
          <w:color w:val="7030A0"/>
          <w:highlight w:val="green"/>
        </w:rPr>
        <w:t>审核流程图点【?】弹出</w:t>
      </w:r>
    </w:p>
    <w:p>
      <w:pPr>
        <w:pStyle w:val="24"/>
        <w:ind w:left="420" w:firstLine="0" w:firstLineChars="0"/>
        <w:rPr>
          <w:b/>
          <w:color w:val="7030A0"/>
        </w:rPr>
      </w:pPr>
      <w:r>
        <w:rPr>
          <w:color w:val="7030A0"/>
        </w:rPr>
        <w:drawing>
          <wp:inline distT="0" distB="0" distL="0" distR="0">
            <wp:extent cx="1061085" cy="70485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1068326" cy="710194"/>
                    </a:xfrm>
                    <a:prstGeom prst="rect">
                      <a:avLst/>
                    </a:prstGeom>
                  </pic:spPr>
                </pic:pic>
              </a:graphicData>
            </a:graphic>
          </wp:inline>
        </w:drawing>
      </w:r>
      <w:r>
        <w:rPr>
          <w:rFonts w:hint="eastAsia"/>
          <w:b/>
          <w:color w:val="7030A0"/>
        </w:rPr>
        <w:t xml:space="preserve"> </w:t>
      </w:r>
    </w:p>
    <w:p>
      <w:pPr>
        <w:pStyle w:val="24"/>
        <w:ind w:left="420" w:firstLine="0" w:firstLineChars="0"/>
        <w:rPr>
          <w:b/>
          <w:color w:val="7030A0"/>
        </w:rPr>
      </w:pPr>
      <w:r>
        <w:rPr>
          <w:rFonts w:hint="eastAsia"/>
          <w:b/>
          <w:color w:val="7030A0"/>
          <w:highlight w:val="green"/>
        </w:rPr>
        <w:t>弹出如下界面</w:t>
      </w:r>
    </w:p>
    <w:p>
      <w:pPr>
        <w:pStyle w:val="24"/>
        <w:ind w:left="420" w:firstLine="0" w:firstLineChars="0"/>
      </w:pPr>
      <w:r>
        <w:pict>
          <v:shape id="_x0000_i1028" o:spt="75" alt="1" type="#_x0000_t75" style="height:266.25pt;width:414.75pt;" filled="f" o:preferrelative="t" stroked="f" coordsize="21600,21600">
            <v:path/>
            <v:fill on="f" focussize="0,0"/>
            <v:stroke on="f" joinstyle="miter"/>
            <v:imagedata r:id="rId13" o:title="1"/>
            <o:lock v:ext="edit" aspectratio="t"/>
            <w10:wrap type="none"/>
            <w10:anchorlock/>
          </v:shape>
        </w:pict>
      </w:r>
    </w:p>
    <w:p>
      <w:pPr>
        <w:pStyle w:val="24"/>
        <w:ind w:left="420" w:firstLine="0" w:firstLineChars="0"/>
      </w:pPr>
      <w:r>
        <w:rPr>
          <w:rFonts w:hint="eastAsia"/>
        </w:rPr>
        <w:t>每个执行流程对应的处理状态显示内容——流程解释：</w:t>
      </w:r>
    </w:p>
    <w:p>
      <w:pPr>
        <w:pStyle w:val="24"/>
        <w:numPr>
          <w:ilvl w:val="0"/>
          <w:numId w:val="5"/>
        </w:numPr>
        <w:ind w:firstLineChars="0"/>
      </w:pPr>
      <w:r>
        <w:rPr>
          <w:rFonts w:hint="eastAsia"/>
        </w:rPr>
        <w:t>地市提交申请：地市提交申请——地市填写申请表后的状态</w:t>
      </w:r>
    </w:p>
    <w:p>
      <w:pPr>
        <w:pStyle w:val="24"/>
        <w:numPr>
          <w:ilvl w:val="0"/>
          <w:numId w:val="5"/>
        </w:numPr>
        <w:ind w:firstLineChars="0"/>
      </w:pPr>
      <w:r>
        <w:rPr>
          <w:rFonts w:hint="eastAsia"/>
        </w:rPr>
        <w:t>省公司审核申请（是/否）：省公司审核申请通过/不通过 ——省公司账号审核申请后的状态</w:t>
      </w:r>
    </w:p>
    <w:p>
      <w:pPr>
        <w:pStyle w:val="24"/>
        <w:numPr>
          <w:ilvl w:val="0"/>
          <w:numId w:val="5"/>
        </w:numPr>
        <w:ind w:firstLineChars="0"/>
      </w:pPr>
      <w:r>
        <w:rPr>
          <w:rFonts w:hint="eastAsia"/>
        </w:rPr>
        <w:t>地市确认审核结果（是/否）：结束/地市重新提交申请——地市公司确认省公司的审核结果后的状态，确认则该申请显示结束，不确认允许再修改申请重新提交一次，如果还是审核不通过该申请自动结束</w:t>
      </w:r>
    </w:p>
    <w:p>
      <w:pPr>
        <w:pStyle w:val="24"/>
        <w:numPr>
          <w:ilvl w:val="0"/>
          <w:numId w:val="5"/>
        </w:numPr>
        <w:ind w:firstLineChars="0"/>
      </w:pPr>
      <w:r>
        <w:rPr>
          <w:rFonts w:hint="eastAsia"/>
        </w:rPr>
        <w:t>CDN厂家评估域名资源是否可引入（是/否）：域名已评估可引入/域名已评估不可引入——CDN</w:t>
      </w:r>
      <w:bookmarkStart w:id="1" w:name="_GoBack"/>
      <w:r>
        <w:rPr>
          <w:rFonts w:hint="eastAsia"/>
        </w:rPr>
        <w:t>厂家评估域名是否是否引入后的状态，评估过程在CDN厂家处理，本系统只</w:t>
      </w:r>
      <w:bookmarkEnd w:id="1"/>
      <w:r>
        <w:rPr>
          <w:rFonts w:hint="eastAsia"/>
        </w:rPr>
        <w:t>需显示地市填写的表格信息供CDN厂家评估</w:t>
      </w:r>
    </w:p>
    <w:p>
      <w:pPr>
        <w:pStyle w:val="24"/>
        <w:numPr>
          <w:ilvl w:val="0"/>
          <w:numId w:val="5"/>
        </w:numPr>
        <w:ind w:firstLineChars="0"/>
      </w:pPr>
      <w:r>
        <w:rPr>
          <w:rFonts w:hint="eastAsia"/>
        </w:rPr>
        <w:t>地市确认评估结果（是/否）：结束/地市重新提交申请——CDN厂家评估不能引入后待地市确认评估结果，确认则该申请显示结束，不确认允许再修改申请提交一次，如果还是不通过该申请自动结束</w:t>
      </w:r>
    </w:p>
    <w:p>
      <w:pPr>
        <w:pStyle w:val="24"/>
        <w:numPr>
          <w:ilvl w:val="0"/>
          <w:numId w:val="5"/>
        </w:numPr>
        <w:ind w:firstLineChars="0"/>
      </w:pPr>
      <w:r>
        <w:rPr>
          <w:rFonts w:hint="eastAsia"/>
        </w:rPr>
        <w:t>拨测任务加载:已加载引入前拨测任务——拨测任务加载流程先手动由质量监测模块加载任务完成，故此流程拨测厂家（飞思达）只需确认已加载拨测任务</w:t>
      </w:r>
    </w:p>
    <w:p>
      <w:pPr>
        <w:pStyle w:val="24"/>
        <w:numPr>
          <w:ilvl w:val="0"/>
          <w:numId w:val="5"/>
        </w:numPr>
        <w:ind w:firstLineChars="0"/>
      </w:pPr>
      <w:r>
        <w:t>CDN</w:t>
      </w:r>
      <w:r>
        <w:rPr>
          <w:rFonts w:hint="eastAsia"/>
        </w:rPr>
        <w:t>引入操作：CDN引入操作—— CDN厂家开始执行CDN资源引入操作</w:t>
      </w:r>
    </w:p>
    <w:p>
      <w:pPr>
        <w:pStyle w:val="24"/>
        <w:numPr>
          <w:ilvl w:val="0"/>
          <w:numId w:val="5"/>
        </w:numPr>
        <w:ind w:firstLineChars="0"/>
      </w:pPr>
      <w:r>
        <w:rPr>
          <w:rFonts w:hint="eastAsia"/>
        </w:rPr>
        <w:t>CDN引入完成：CDN引入完成——CDN厂家已完成CDN资源的引入操作</w:t>
      </w:r>
    </w:p>
    <w:p>
      <w:pPr>
        <w:pStyle w:val="24"/>
        <w:numPr>
          <w:ilvl w:val="0"/>
          <w:numId w:val="5"/>
        </w:numPr>
        <w:ind w:firstLineChars="0"/>
      </w:pPr>
      <w:r>
        <w:rPr>
          <w:rFonts w:hint="eastAsia"/>
        </w:rPr>
        <w:t>拨测任务加载：已加载引入后拨测任务——拨测厂家（飞思达）确认加载完成</w:t>
      </w:r>
    </w:p>
    <w:p>
      <w:pPr>
        <w:pStyle w:val="24"/>
        <w:numPr>
          <w:ilvl w:val="0"/>
          <w:numId w:val="5"/>
        </w:numPr>
        <w:ind w:firstLineChars="0"/>
      </w:pPr>
      <w:r>
        <w:rPr>
          <w:rFonts w:hint="eastAsia"/>
        </w:rPr>
        <w:t>CDN加载完成：CDN加载完成——CDN厂家确认拨测结果正常后，确认该流程完成；</w:t>
      </w:r>
    </w:p>
    <w:p>
      <w:pPr>
        <w:pStyle w:val="24"/>
        <w:numPr>
          <w:ilvl w:val="0"/>
          <w:numId w:val="5"/>
        </w:numPr>
        <w:ind w:firstLineChars="0"/>
      </w:pPr>
      <w:r>
        <w:rPr>
          <w:rFonts w:hint="eastAsia"/>
        </w:rPr>
        <w:t>核查地市是否上传安全责任书（是/否）：结束/地市未上传安全责任书——省公司确认地市公司在资料上传中是否上传了安全责任书，上传了则该申请结束，未上传则显示未上传安全责任书；</w:t>
      </w:r>
    </w:p>
    <w:p>
      <w:pPr>
        <w:pStyle w:val="24"/>
        <w:numPr>
          <w:ilvl w:val="0"/>
          <w:numId w:val="5"/>
        </w:numPr>
        <w:ind w:firstLineChars="0"/>
      </w:pPr>
      <w:r>
        <w:rPr>
          <w:rFonts w:hint="eastAsia"/>
        </w:rPr>
        <w:t>短信催办——该流程无需显示在处理状态中，如省公司操作后则该流程连线显示绿色箭头即可；</w:t>
      </w:r>
    </w:p>
    <w:p>
      <w:pPr>
        <w:pStyle w:val="24"/>
        <w:numPr>
          <w:ilvl w:val="0"/>
          <w:numId w:val="5"/>
        </w:numPr>
        <w:ind w:firstLineChars="0"/>
      </w:pPr>
      <w:r>
        <w:rPr>
          <w:rFonts w:hint="eastAsia"/>
        </w:rPr>
        <w:t>10天后核查是否上传信息安全责任书（是/否）：结束/地市仍未上传安全责任书——在</w:t>
      </w:r>
      <w:r>
        <w:t>”</w:t>
      </w:r>
      <w:r>
        <w:rPr>
          <w:rFonts w:hint="eastAsia"/>
        </w:rPr>
        <w:t xml:space="preserve"> 核查地市是否上传安全责任书</w:t>
      </w:r>
      <w:r>
        <w:t>”</w:t>
      </w:r>
      <w:r>
        <w:rPr>
          <w:rFonts w:hint="eastAsia"/>
        </w:rPr>
        <w:t>流程结束后的第10天，省公司用户该状态显示“10天后核查是否上传信息安全责任书”，省公司核查后确认已上传则该申请结束，未上传则地市仍未上传安全责任书；</w:t>
      </w:r>
    </w:p>
    <w:p>
      <w:pPr>
        <w:pStyle w:val="24"/>
        <w:numPr>
          <w:ilvl w:val="0"/>
          <w:numId w:val="5"/>
        </w:numPr>
        <w:ind w:firstLineChars="0"/>
      </w:pPr>
      <w:r>
        <w:rPr>
          <w:rFonts w:hint="eastAsia"/>
        </w:rPr>
        <w:t>CDN加载取消：CDN加载取消——CDN厂家取消加载后确认；</w:t>
      </w:r>
    </w:p>
    <w:p>
      <w:pPr>
        <w:pStyle w:val="24"/>
        <w:numPr>
          <w:ilvl w:val="0"/>
          <w:numId w:val="3"/>
        </w:numPr>
        <w:ind w:firstLineChars="0"/>
      </w:pPr>
      <w:r>
        <w:rPr>
          <w:rFonts w:hint="eastAsia"/>
        </w:rPr>
        <w:t>申请信息的编辑功能，点击到每条申请信息，申请信息的右侧都会出现一个编辑按钮和提醒按钮；除了省公司用户和系统管理员，非自己用户权限的处理流程（如流程是待地市确认评估结果，CDN厂家权限编辑按钮不可点击），编辑按钮不可操作。</w:t>
      </w:r>
    </w:p>
    <w:p>
      <w:pPr>
        <w:pStyle w:val="24"/>
        <w:ind w:left="420" w:firstLine="0" w:firstLineChars="0"/>
      </w:pPr>
      <w:r>
        <w:drawing>
          <wp:inline distT="0" distB="0" distL="0" distR="0">
            <wp:extent cx="5274310" cy="552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rcRect b="66055"/>
                    <a:stretch>
                      <a:fillRect/>
                    </a:stretch>
                  </pic:blipFill>
                  <pic:spPr>
                    <a:xfrm>
                      <a:off x="0" y="0"/>
                      <a:ext cx="5274310" cy="552450"/>
                    </a:xfrm>
                    <a:prstGeom prst="rect">
                      <a:avLst/>
                    </a:prstGeom>
                    <a:ln>
                      <a:noFill/>
                    </a:ln>
                  </pic:spPr>
                </pic:pic>
              </a:graphicData>
            </a:graphic>
          </wp:inline>
        </w:drawing>
      </w:r>
    </w:p>
    <w:p>
      <w:pPr>
        <w:pStyle w:val="24"/>
        <w:ind w:left="420" w:firstLine="0" w:firstLineChars="0"/>
      </w:pPr>
      <w:r>
        <w:rPr>
          <w:rFonts w:hint="eastAsia"/>
        </w:rPr>
        <w:t>编辑按钮点击后，根据不同的用户权限，显示以下边界界面：</w:t>
      </w:r>
    </w:p>
    <w:p>
      <w:pPr>
        <w:pStyle w:val="24"/>
        <w:ind w:left="420" w:firstLine="0" w:firstLineChars="0"/>
      </w:pPr>
      <w:r>
        <w:rPr>
          <w:rFonts w:hint="eastAsia"/>
        </w:rPr>
        <w:t>地市公司：点击后出现与添加项一样的界面，但内容已按添加项界面中地市已经填写的内容填好，地市公司可以手动编辑；</w:t>
      </w:r>
    </w:p>
    <w:p>
      <w:pPr>
        <w:pStyle w:val="24"/>
        <w:ind w:left="420" w:firstLine="0" w:firstLineChars="0"/>
      </w:pPr>
      <w:r>
        <w:rPr>
          <w:rFonts w:hint="eastAsia"/>
        </w:rPr>
        <w:t>省公司用户审核流程：省公司用户点击编辑按钮后可弹出以下界面，客户信息、域名信息、备案信息地市用户已填写的界面：</w:t>
      </w:r>
    </w:p>
    <w:p>
      <w:pPr>
        <w:pStyle w:val="24"/>
        <w:ind w:left="420" w:firstLine="0" w:firstLineChars="0"/>
      </w:pPr>
      <w:r>
        <w:drawing>
          <wp:inline distT="0" distB="0" distL="0" distR="0">
            <wp:extent cx="3253105" cy="206121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275920" cy="2075354"/>
                    </a:xfrm>
                    <a:prstGeom prst="rect">
                      <a:avLst/>
                    </a:prstGeom>
                  </pic:spPr>
                </pic:pic>
              </a:graphicData>
            </a:graphic>
          </wp:inline>
        </w:drawing>
      </w:r>
    </w:p>
    <w:p>
      <w:pPr>
        <w:pStyle w:val="24"/>
        <w:ind w:left="420" w:firstLine="0" w:firstLineChars="0"/>
      </w:pPr>
      <w:r>
        <w:rPr>
          <w:rFonts w:hint="eastAsia"/>
        </w:rPr>
        <w:t>CDN厂家评估流程：CDN厂家用户点击编辑后可弹出以下界面</w:t>
      </w:r>
    </w:p>
    <w:p>
      <w:pPr>
        <w:pStyle w:val="24"/>
        <w:ind w:left="420" w:firstLine="0" w:firstLineChars="0"/>
      </w:pPr>
      <w:r>
        <w:drawing>
          <wp:inline distT="0" distB="0" distL="0" distR="0">
            <wp:extent cx="5274310" cy="33648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4310" cy="3364865"/>
                    </a:xfrm>
                    <a:prstGeom prst="rect">
                      <a:avLst/>
                    </a:prstGeom>
                  </pic:spPr>
                </pic:pic>
              </a:graphicData>
            </a:graphic>
          </wp:inline>
        </w:drawing>
      </w:r>
    </w:p>
    <w:p>
      <w:pPr>
        <w:pStyle w:val="24"/>
        <w:ind w:left="420" w:firstLine="0" w:firstLineChars="0"/>
      </w:pPr>
      <w:r>
        <w:rPr>
          <w:rFonts w:hint="eastAsia"/>
        </w:rPr>
        <w:t>拨测加载流程：</w:t>
      </w:r>
    </w:p>
    <w:p>
      <w:pPr>
        <w:pStyle w:val="24"/>
        <w:ind w:left="420" w:firstLine="0" w:firstLineChars="0"/>
      </w:pPr>
      <w:r>
        <w:drawing>
          <wp:inline distT="0" distB="0" distL="0" distR="0">
            <wp:extent cx="5274310" cy="327406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7"/>
                    <a:stretch>
                      <a:fillRect/>
                    </a:stretch>
                  </pic:blipFill>
                  <pic:spPr>
                    <a:xfrm>
                      <a:off x="0" y="0"/>
                      <a:ext cx="5274310" cy="3274060"/>
                    </a:xfrm>
                    <a:prstGeom prst="rect">
                      <a:avLst/>
                    </a:prstGeom>
                  </pic:spPr>
                </pic:pic>
              </a:graphicData>
            </a:graphic>
          </wp:inline>
        </w:drawing>
      </w:r>
    </w:p>
    <w:p>
      <w:pPr>
        <w:pStyle w:val="24"/>
        <w:ind w:left="420" w:firstLine="0" w:firstLineChars="0"/>
      </w:pPr>
      <w:r>
        <w:rPr>
          <w:rFonts w:hint="eastAsia"/>
        </w:rPr>
        <w:t>CDN引入操作和加载完成、取消加载流程：</w:t>
      </w:r>
    </w:p>
    <w:p>
      <w:pPr>
        <w:pStyle w:val="24"/>
        <w:ind w:left="420" w:firstLine="0" w:firstLineChars="0"/>
      </w:pPr>
    </w:p>
    <w:p>
      <w:pPr>
        <w:pStyle w:val="24"/>
        <w:ind w:left="420" w:firstLine="0" w:firstLineChars="0"/>
      </w:pPr>
    </w:p>
    <w:p>
      <w:pPr>
        <w:pStyle w:val="24"/>
        <w:ind w:left="420" w:firstLine="0" w:firstLineChars="0"/>
      </w:pPr>
      <w:r>
        <w:rPr>
          <w:rFonts w:hint="eastAsia"/>
        </w:rPr>
        <w:t>点击</w:t>
      </w:r>
      <w:r>
        <w:drawing>
          <wp:inline distT="0" distB="0" distL="0" distR="0">
            <wp:extent cx="323850" cy="276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323850" cy="276225"/>
                    </a:xfrm>
                    <a:prstGeom prst="rect">
                      <a:avLst/>
                    </a:prstGeom>
                  </pic:spPr>
                </pic:pic>
              </a:graphicData>
            </a:graphic>
          </wp:inline>
        </w:drawing>
      </w:r>
      <w:r>
        <w:rPr>
          <w:rFonts w:hint="eastAsia"/>
        </w:rPr>
        <w:t>可弹出催办配置，</w:t>
      </w:r>
      <w:r>
        <w:rPr>
          <w:rFonts w:hint="eastAsia"/>
          <w:highlight w:val="green"/>
        </w:rPr>
        <w:t>催办配置可查到到该申请记录的用户都可以点击对下一流程处理者进行催办</w:t>
      </w:r>
      <w:r>
        <w:rPr>
          <w:rFonts w:hint="eastAsia"/>
        </w:rPr>
        <w:t>，催办对象为处理流程的下一流程处理人，</w:t>
      </w:r>
      <w:r>
        <w:t>催办内容根据催办流程</w:t>
      </w:r>
      <w:r>
        <w:rPr>
          <w:rFonts w:hint="eastAsia"/>
        </w:rPr>
        <w:t>自动</w:t>
      </w:r>
      <w:r>
        <w:t>生成，催办对象的短信或者邮</w:t>
      </w:r>
      <w:r>
        <w:rPr>
          <w:rFonts w:hint="eastAsia"/>
        </w:rPr>
        <w:t>件</w:t>
      </w:r>
      <w:r>
        <w:t>根据用户管理中填</w:t>
      </w:r>
      <w:r>
        <w:drawing>
          <wp:inline distT="0" distB="0" distL="0" distR="0">
            <wp:extent cx="5274310" cy="3295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74310" cy="3295650"/>
                    </a:xfrm>
                    <a:prstGeom prst="rect">
                      <a:avLst/>
                    </a:prstGeom>
                  </pic:spPr>
                </pic:pic>
              </a:graphicData>
            </a:graphic>
          </wp:inline>
        </w:drawing>
      </w:r>
      <w:r>
        <w:t>写的</w:t>
      </w:r>
      <w:r>
        <w:rPr>
          <w:rFonts w:hint="eastAsia"/>
        </w:rPr>
        <w:t>信息</w:t>
      </w:r>
      <w:r>
        <w:t>；短信和邮件的配置</w:t>
      </w:r>
      <w:r>
        <w:rPr>
          <w:rFonts w:hint="eastAsia"/>
        </w:rPr>
        <w:t>使用</w:t>
      </w:r>
      <w:r>
        <w:t>NetVista系统中“</w:t>
      </w:r>
      <w:r>
        <w:rPr>
          <w:rFonts w:hint="eastAsia"/>
        </w:rPr>
        <w:t>告警</w:t>
      </w:r>
      <w:r>
        <w:t>监测”</w:t>
      </w:r>
      <w:r>
        <w:rPr>
          <w:rFonts w:hint="eastAsia"/>
        </w:rPr>
        <w:t>模块</w:t>
      </w:r>
      <w:r>
        <w:t>的告警发送email</w:t>
      </w:r>
      <w:r>
        <w:rPr>
          <w:rFonts w:hint="eastAsia"/>
        </w:rPr>
        <w:t>和</w:t>
      </w:r>
      <w:r>
        <w:t>ESB的</w:t>
      </w:r>
      <w:r>
        <w:rPr>
          <w:rFonts w:hint="eastAsia"/>
        </w:rPr>
        <w:t>推送</w:t>
      </w:r>
      <w:r>
        <w:t>配置</w:t>
      </w:r>
    </w:p>
    <w:p>
      <w:pPr>
        <w:pStyle w:val="24"/>
        <w:ind w:left="420" w:firstLine="0" w:firstLineChars="0"/>
        <w:rPr>
          <w:rFonts w:hint="eastAsia"/>
        </w:rPr>
      </w:pPr>
      <w:r>
        <w:drawing>
          <wp:inline distT="0" distB="0" distL="0" distR="0">
            <wp:extent cx="3564890" cy="24136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3578184" cy="2422792"/>
                    </a:xfrm>
                    <a:prstGeom prst="rect">
                      <a:avLst/>
                    </a:prstGeom>
                  </pic:spPr>
                </pic:pic>
              </a:graphicData>
            </a:graphic>
          </wp:inline>
        </w:drawing>
      </w:r>
    </w:p>
    <w:p>
      <w:pPr>
        <w:pStyle w:val="24"/>
        <w:ind w:left="420" w:firstLine="0" w:firstLineChars="0"/>
      </w:pPr>
      <w:r>
        <w:rPr>
          <w:rFonts w:hint="eastAsia"/>
        </w:rPr>
        <w:t>（</w:t>
      </w:r>
      <w:r>
        <w:rPr>
          <w:rFonts w:hint="eastAsia"/>
          <w:color w:val="7030A0"/>
        </w:rPr>
        <w:t>在用户管理表中查找对应用户的手机号与邮箱、</w:t>
      </w:r>
      <w:r>
        <w:rPr>
          <w:rFonts w:hint="eastAsia"/>
          <w:color w:val="7030A0"/>
          <w:highlight w:val="green"/>
        </w:rPr>
        <w:t>处理人选择（可单选和多选，选择对象为下一流程处理类型人员）</w:t>
      </w:r>
      <w:r>
        <w:rPr>
          <w:rFonts w:hint="eastAsia"/>
        </w:rPr>
        <w:t>）</w:t>
      </w:r>
      <w:r>
        <w:t>：</w:t>
      </w:r>
    </w:p>
    <w:p>
      <w:pPr>
        <w:pStyle w:val="24"/>
        <w:ind w:left="420" w:firstLine="0" w:firstLineChars="0"/>
      </w:pPr>
      <w:r>
        <w:drawing>
          <wp:inline distT="0" distB="0" distL="0" distR="0">
            <wp:extent cx="2495550" cy="1123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2495550" cy="1123950"/>
                    </a:xfrm>
                    <a:prstGeom prst="rect">
                      <a:avLst/>
                    </a:prstGeom>
                  </pic:spPr>
                </pic:pic>
              </a:graphicData>
            </a:graphic>
          </wp:inline>
        </w:drawing>
      </w:r>
    </w:p>
    <w:p>
      <w:pPr>
        <w:pStyle w:val="3"/>
        <w:numPr>
          <w:ilvl w:val="1"/>
          <w:numId w:val="2"/>
        </w:numPr>
        <w:rPr>
          <w:sz w:val="28"/>
        </w:rPr>
      </w:pPr>
      <w:r>
        <w:rPr>
          <w:rFonts w:hint="eastAsia"/>
          <w:sz w:val="28"/>
        </w:rPr>
        <w:t>地市引入统计</w:t>
      </w:r>
    </w:p>
    <w:p>
      <w:pPr/>
      <w:r>
        <w:rPr>
          <w:rFonts w:hint="eastAsia"/>
        </w:rPr>
        <w:t>【地市引入统计】呈现地市公司填写的</w:t>
      </w:r>
      <w:r>
        <w:rPr>
          <w:rFonts w:hint="eastAsia"/>
          <w:b/>
        </w:rPr>
        <w:t>引入信息</w:t>
      </w:r>
      <w:r>
        <w:rPr>
          <w:rFonts w:hint="eastAsia"/>
        </w:rPr>
        <w:t>，须呈现的数据字段包括，地市、申请域名（显示数量，点击可钻取下表信息）、未审核域名（显示数量，点击可钻取下表信息，域名状态未审核）、审核通过域名（显示数量，点击可钻取下表信息，域名状态审核通过）、审核失败域名（显示数量，点击可钻取下表信息，域名状态审核失败）、引入域名（显示数量，点击可钻取下表信息，域名状态已引入）、最近申请时间；</w:t>
      </w:r>
    </w:p>
    <w:p>
      <w:pPr/>
      <w:r>
        <w:rPr>
          <w:rFonts w:hint="eastAsia"/>
        </w:rPr>
        <w:t>钻取的表字段说明：</w:t>
      </w:r>
    </w:p>
    <w:p>
      <w:pPr>
        <w:pStyle w:val="24"/>
        <w:numPr>
          <w:ilvl w:val="0"/>
          <w:numId w:val="6"/>
        </w:numPr>
        <w:ind w:firstLineChars="0"/>
      </w:pPr>
      <w:r>
        <w:rPr>
          <w:rFonts w:hint="eastAsia"/>
        </w:rPr>
        <w:t>申请时间：填写 [添加项]</w:t>
      </w:r>
      <w:r>
        <w:t xml:space="preserve"> </w:t>
      </w:r>
      <w:r>
        <w:rPr>
          <w:rFonts w:hint="eastAsia"/>
        </w:rPr>
        <w:t>的时间；</w:t>
      </w:r>
    </w:p>
    <w:p>
      <w:pPr>
        <w:pStyle w:val="24"/>
        <w:numPr>
          <w:ilvl w:val="0"/>
          <w:numId w:val="6"/>
        </w:numPr>
        <w:ind w:firstLineChars="0"/>
      </w:pPr>
      <w:r>
        <w:rPr>
          <w:rFonts w:hint="eastAsia"/>
        </w:rPr>
        <w:t>ICP：域名关联的ICP；</w:t>
      </w:r>
    </w:p>
    <w:p>
      <w:pPr>
        <w:pStyle w:val="24"/>
        <w:numPr>
          <w:ilvl w:val="0"/>
          <w:numId w:val="6"/>
        </w:numPr>
        <w:ind w:firstLineChars="0"/>
      </w:pPr>
      <w:r>
        <w:rPr>
          <w:rFonts w:hint="eastAsia"/>
        </w:rPr>
        <w:t>域名：申请项填写的域名（</w:t>
      </w:r>
      <w:r>
        <w:rPr>
          <w:rFonts w:hint="eastAsia"/>
          <w:color w:val="FF0000"/>
          <w:highlight w:val="green"/>
        </w:rPr>
        <w:t>域名信息表→加速域名</w:t>
      </w:r>
      <w:r>
        <w:rPr>
          <w:rFonts w:hint="eastAsia"/>
          <w:highlight w:val="green"/>
        </w:rPr>
        <w:t>）</w:t>
      </w:r>
      <w:r>
        <w:rPr>
          <w:rFonts w:hint="eastAsia"/>
        </w:rPr>
        <w:t>；</w:t>
      </w:r>
    </w:p>
    <w:p>
      <w:pPr>
        <w:pStyle w:val="24"/>
        <w:numPr>
          <w:ilvl w:val="0"/>
          <w:numId w:val="6"/>
        </w:numPr>
        <w:ind w:firstLineChars="0"/>
      </w:pPr>
      <w:r>
        <w:rPr>
          <w:rFonts w:hint="eastAsia"/>
        </w:rPr>
        <w:t>域名状态：包括未审核、审核通过、审核失败、已引入，该状态对应的域名数量与主表的域名数量对应，如未审核域名5条，则主表未审核域名的数量是5；</w:t>
      </w:r>
    </w:p>
    <w:p>
      <w:pPr>
        <w:pStyle w:val="24"/>
        <w:numPr>
          <w:ilvl w:val="0"/>
          <w:numId w:val="6"/>
        </w:numPr>
        <w:ind w:firstLineChars="0"/>
      </w:pPr>
      <w:r>
        <w:rPr>
          <w:rFonts w:hint="eastAsia"/>
        </w:rPr>
        <w:t>请求次数：</w:t>
      </w:r>
      <w:r>
        <w:rPr>
          <w:rFonts w:hint="eastAsia"/>
          <w:b/>
        </w:rPr>
        <w:t>关联CDN日志分析系统</w:t>
      </w:r>
      <w:r>
        <w:rPr>
          <w:rFonts w:hint="eastAsia"/>
        </w:rPr>
        <w:t>，筛选该域名的请求次数</w:t>
      </w:r>
    </w:p>
    <w:p>
      <w:pPr>
        <w:pStyle w:val="24"/>
        <w:numPr>
          <w:ilvl w:val="0"/>
          <w:numId w:val="6"/>
        </w:numPr>
        <w:ind w:firstLineChars="0"/>
      </w:pPr>
      <w:r>
        <w:rPr>
          <w:rFonts w:hint="eastAsia"/>
        </w:rPr>
        <w:t>拨测评分：</w:t>
      </w:r>
      <w:r>
        <w:rPr>
          <w:rFonts w:hint="eastAsia"/>
          <w:b/>
        </w:rPr>
        <w:t>关联该域名拨测任务</w:t>
      </w:r>
      <w:r>
        <w:rPr>
          <w:rFonts w:hint="eastAsia"/>
        </w:rPr>
        <w:t>的测试ID（拨测任务加载流程中填写的ID），筛选出该域名，输出综合质量指标（暂只有http测试）</w:t>
      </w:r>
    </w:p>
    <w:p>
      <w:pPr/>
      <w:r>
        <w:drawing>
          <wp:inline distT="0" distB="0" distL="0" distR="0">
            <wp:extent cx="5274310" cy="32264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5274310" cy="3226435"/>
                    </a:xfrm>
                    <a:prstGeom prst="rect">
                      <a:avLst/>
                    </a:prstGeom>
                  </pic:spPr>
                </pic:pic>
              </a:graphicData>
            </a:graphic>
          </wp:inline>
        </w:drawing>
      </w:r>
    </w:p>
    <w:p>
      <w:pPr>
        <w:pStyle w:val="3"/>
        <w:numPr>
          <w:ilvl w:val="1"/>
          <w:numId w:val="2"/>
        </w:numPr>
        <w:rPr>
          <w:sz w:val="28"/>
        </w:rPr>
      </w:pPr>
      <w:r>
        <w:rPr>
          <w:rFonts w:hint="eastAsia"/>
          <w:sz w:val="28"/>
        </w:rPr>
        <w:t>资源引入监测</w:t>
      </w:r>
    </w:p>
    <w:p>
      <w:pPr/>
      <w:r>
        <w:rPr>
          <w:rFonts w:hint="eastAsia"/>
        </w:rPr>
        <w:t>资源引入监测界面，按申请时间、地市和ICP统计已引入域名数量（可点击显示列表，包括域名、ICP）、域名请求数量（可点击显示列表，包括域名、ICP、请求次数、流量、业务成功率、缓存名重中率、首字节时间、吞吐率，数据CDN日志分析系统都有可以取到）、引入后拨测评分（域名、ICP、引入前质量（综合质量、首字节时间、吞吐率）、引入后质量（综合质量、首字节时间、吞吐率））、申请表资料（点击后可弹出列表，可下载跟上文集团的申请excel表格式一模一样的表格）、安全备案资料（点击后可弹出列表，点击下载用户上传的文档源文件）</w:t>
      </w:r>
    </w:p>
    <w:p>
      <w:pPr/>
      <w:r>
        <w:drawing>
          <wp:inline distT="0" distB="0" distL="0" distR="0">
            <wp:extent cx="5274310" cy="10820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4310" cy="1082040"/>
                    </a:xfrm>
                    <a:prstGeom prst="rect">
                      <a:avLst/>
                    </a:prstGeom>
                  </pic:spPr>
                </pic:pic>
              </a:graphicData>
            </a:graphic>
          </wp:inline>
        </w:drawing>
      </w:r>
    </w:p>
    <w:p>
      <w:pPr>
        <w:pStyle w:val="3"/>
        <w:numPr>
          <w:ilvl w:val="1"/>
          <w:numId w:val="2"/>
        </w:numPr>
        <w:rPr>
          <w:sz w:val="28"/>
        </w:rPr>
      </w:pPr>
      <w:r>
        <w:rPr>
          <w:rFonts w:hint="eastAsia"/>
          <w:sz w:val="28"/>
        </w:rPr>
        <w:t>系统配置</w:t>
      </w:r>
    </w:p>
    <w:p>
      <w:pPr/>
      <w:r>
        <w:rPr>
          <w:rFonts w:hint="eastAsia"/>
        </w:rPr>
        <w:t>系统配置模块模块ICP配置、地市配置、审核模板配置、关联系统配置（CDN日志分析系统和拨测系统）</w:t>
      </w:r>
    </w:p>
    <w:p>
      <w:pPr>
        <w:pStyle w:val="24"/>
        <w:numPr>
          <w:ilvl w:val="0"/>
          <w:numId w:val="7"/>
        </w:numPr>
        <w:ind w:firstLineChars="0"/>
      </w:pPr>
      <w:r>
        <w:rPr>
          <w:rFonts w:hint="eastAsia"/>
        </w:rPr>
        <w:t>ICP配置：可新建ICP、一级域名</w:t>
      </w:r>
    </w:p>
    <w:p>
      <w:pPr/>
      <w:r>
        <w:pict>
          <v:shape id="_x0000_i1029" o:spt="75" alt="4配置管理" type="#_x0000_t75" style="height:223.5pt;width:414.75pt;" filled="f" o:preferrelative="t" stroked="f" coordsize="21600,21600">
            <v:path/>
            <v:fill on="f" focussize="0,0"/>
            <v:stroke on="f" joinstyle="miter"/>
            <v:imagedata r:id="rId24" o:title="4配置管理"/>
            <o:lock v:ext="edit" aspectratio="t"/>
            <w10:wrap type="none"/>
            <w10:anchorlock/>
          </v:shape>
        </w:pict>
      </w:r>
    </w:p>
    <w:p>
      <w:pPr>
        <w:pStyle w:val="24"/>
        <w:numPr>
          <w:ilvl w:val="0"/>
          <w:numId w:val="7"/>
        </w:numPr>
        <w:ind w:firstLineChars="0"/>
      </w:pPr>
      <w:r>
        <w:rPr>
          <w:rFonts w:hint="eastAsia"/>
        </w:rPr>
        <w:t>地市配置可填写省份、地市名称</w:t>
      </w:r>
    </w:p>
    <w:p>
      <w:pPr>
        <w:pStyle w:val="24"/>
        <w:numPr>
          <w:ilvl w:val="0"/>
          <w:numId w:val="7"/>
        </w:numPr>
        <w:ind w:firstLineChars="0"/>
      </w:pPr>
      <w:r>
        <w:rPr>
          <w:rFonts w:hint="eastAsia"/>
        </w:rPr>
        <w:t>审核模板配置可填写客户信息表和域名信息表的excel表格模板，上传后，待处理申请界面中填写的表格按新上传的模板更新</w:t>
      </w:r>
    </w:p>
    <w:p>
      <w:pPr/>
      <w:r>
        <w:pict>
          <v:shape id="_x0000_i1030" o:spt="75" alt="4配置管理2" type="#_x0000_t75" style="height:223.5pt;width:414.75pt;" filled="f" o:preferrelative="t" stroked="f" coordsize="21600,21600">
            <v:path/>
            <v:fill on="f" focussize="0,0"/>
            <v:stroke on="f" joinstyle="miter"/>
            <v:imagedata r:id="rId25" o:title="4配置管理2"/>
            <o:lock v:ext="edit" aspectratio="t"/>
            <w10:wrap type="none"/>
            <w10:anchorlock/>
          </v:shape>
        </w:pict>
      </w:r>
    </w:p>
    <w:p>
      <w:pPr>
        <w:pStyle w:val="24"/>
        <w:numPr>
          <w:ilvl w:val="0"/>
          <w:numId w:val="7"/>
        </w:numPr>
        <w:ind w:firstLineChars="0"/>
      </w:pPr>
      <w:r>
        <w:rPr>
          <w:rFonts w:hint="eastAsia"/>
        </w:rPr>
        <w:t>关联系统配置，可填写跟本系统关联的CDN日志分析系统和拨测系统信息。</w:t>
      </w:r>
    </w:p>
    <w:p>
      <w:pPr>
        <w:pStyle w:val="3"/>
        <w:numPr>
          <w:ilvl w:val="1"/>
          <w:numId w:val="2"/>
        </w:numPr>
        <w:rPr>
          <w:sz w:val="28"/>
        </w:rPr>
      </w:pPr>
      <w:r>
        <w:rPr>
          <w:rFonts w:hint="eastAsia"/>
          <w:sz w:val="28"/>
        </w:rPr>
        <w:t>用户管理</w:t>
      </w:r>
    </w:p>
    <w:p>
      <w:pPr/>
      <w:r>
        <w:rPr>
          <w:rFonts w:hint="eastAsia"/>
        </w:rPr>
        <w:t>用户管理界面，新建用户可填写用户名、全称（待处理申请中显示的处理人就是用户全称）、组、手机号码、邮箱、用户权限（根据权限管理配置的权限选择）</w:t>
      </w:r>
    </w:p>
    <w:p>
      <w:pPr/>
      <w:r>
        <w:pict>
          <v:shape id="_x0000_i1031" o:spt="75" alt="5用户管理" type="#_x0000_t75" style="height:223.5pt;width:414.75pt;" filled="f" o:preferrelative="t" stroked="f" coordsize="21600,21600">
            <v:path/>
            <v:fill on="f" focussize="0,0"/>
            <v:stroke on="f" joinstyle="miter"/>
            <v:imagedata r:id="rId26" o:title="5用户管理"/>
            <o:lock v:ext="edit" aspectratio="t"/>
            <w10:wrap type="none"/>
            <w10:anchorlock/>
          </v:shape>
        </w:pict>
      </w:r>
    </w:p>
    <w:p>
      <w:pPr/>
      <w:r>
        <w:rPr>
          <w:rFonts w:hint="eastAsia"/>
        </w:rPr>
        <w:t>用户权限管理：可新增权限项，配置每个标签页是否可见、关联地市、关联流程，用户类型：</w:t>
      </w:r>
    </w:p>
    <w:p>
      <w:pPr/>
      <w:r>
        <w:rPr>
          <w:rFonts w:hint="eastAsia"/>
        </w:rPr>
        <w:t>如权限项配置</w:t>
      </w:r>
    </w:p>
    <w:p>
      <w:pPr/>
      <w:r>
        <w:rPr>
          <w:rFonts w:hint="eastAsia"/>
        </w:rPr>
        <w:t>名称：广州公司</w:t>
      </w:r>
    </w:p>
    <w:p>
      <w:pPr/>
      <w:r>
        <w:rPr>
          <w:rFonts w:hint="eastAsia"/>
        </w:rPr>
        <w:t>可见模块：待处理申请、地市引入统计</w:t>
      </w:r>
    </w:p>
    <w:p>
      <w:pPr/>
      <w:r>
        <w:rPr>
          <w:rFonts w:hint="eastAsia"/>
        </w:rPr>
        <w:t>关联地市：广州；</w:t>
      </w:r>
    </w:p>
    <w:p>
      <w:pPr/>
      <w:r>
        <w:rPr>
          <w:rFonts w:hint="eastAsia"/>
        </w:rPr>
        <w:t>关联流程：地市申请、地市审核结果、地市评估结果：</w:t>
      </w:r>
    </w:p>
    <w:p>
      <w:pPr/>
      <w:r>
        <w:rPr>
          <w:rFonts w:hint="eastAsia"/>
          <w:highlight w:val="green"/>
        </w:rPr>
        <w:t>用户类型：系统管理员</w:t>
      </w:r>
      <w:r>
        <w:rPr>
          <w:rFonts w:hint="eastAsia"/>
        </w:rPr>
        <w:t>（</w:t>
      </w:r>
      <w:r>
        <w:rPr>
          <w:rFonts w:hint="eastAsia"/>
          <w:highlight w:val="green"/>
        </w:rPr>
        <w:t>全部流程可见</w:t>
      </w:r>
      <w:r>
        <w:rPr>
          <w:rFonts w:hint="eastAsia"/>
        </w:rPr>
        <w:t>）、</w:t>
      </w:r>
      <w:r>
        <w:rPr>
          <w:rFonts w:hint="eastAsia"/>
          <w:highlight w:val="green"/>
        </w:rPr>
        <w:t>省公司管理员</w:t>
      </w:r>
      <w:r>
        <w:rPr>
          <w:rFonts w:hint="eastAsia"/>
        </w:rPr>
        <w:t>（</w:t>
      </w:r>
      <w:r>
        <w:rPr>
          <w:rFonts w:hint="eastAsia"/>
          <w:highlight w:val="green"/>
        </w:rPr>
        <w:t>全部流程可见</w:t>
      </w:r>
      <w:r>
        <w:rPr>
          <w:rFonts w:hint="eastAsia"/>
        </w:rPr>
        <w:t>）、</w:t>
      </w:r>
      <w:r>
        <w:rPr>
          <w:rFonts w:hint="eastAsia"/>
          <w:highlight w:val="green"/>
        </w:rPr>
        <w:t>地市用户</w:t>
      </w:r>
      <w:r>
        <w:rPr>
          <w:rFonts w:hint="eastAsia"/>
        </w:rPr>
        <w:t>（</w:t>
      </w:r>
      <w:r>
        <w:rPr>
          <w:rFonts w:hint="eastAsia"/>
          <w:highlight w:val="green"/>
        </w:rPr>
        <w:t>只看到本地市数据</w:t>
      </w:r>
      <w:r>
        <w:rPr>
          <w:rFonts w:hint="eastAsia"/>
        </w:rPr>
        <w:t>，</w:t>
      </w:r>
      <w:r>
        <w:rPr>
          <w:rFonts w:hint="eastAsia"/>
          <w:highlight w:val="green"/>
        </w:rPr>
        <w:t>可通过关联地市关联本地市数据</w:t>
      </w:r>
      <w:r>
        <w:rPr>
          <w:rFonts w:hint="eastAsia"/>
        </w:rPr>
        <w:t>，</w:t>
      </w:r>
      <w:r>
        <w:rPr>
          <w:rFonts w:hint="eastAsia"/>
          <w:highlight w:val="green"/>
        </w:rPr>
        <w:t>本地市数据全部流程可见</w:t>
      </w:r>
      <w:r>
        <w:rPr>
          <w:rFonts w:hint="eastAsia"/>
        </w:rPr>
        <w:t>）、</w:t>
      </w:r>
      <w:r>
        <w:rPr>
          <w:rFonts w:hint="eastAsia"/>
          <w:highlight w:val="green"/>
        </w:rPr>
        <w:t>CDN厂家</w:t>
      </w:r>
      <w:r>
        <w:rPr>
          <w:rFonts w:hint="eastAsia"/>
        </w:rPr>
        <w:t>（</w:t>
      </w:r>
      <w:r>
        <w:rPr>
          <w:rFonts w:hint="eastAsia"/>
          <w:highlight w:val="green"/>
        </w:rPr>
        <w:t>只对CDN厂家流程可见</w:t>
      </w:r>
      <w:r>
        <w:rPr>
          <w:rFonts w:hint="eastAsia"/>
        </w:rPr>
        <w:t>）、</w:t>
      </w:r>
      <w:r>
        <w:rPr>
          <w:rFonts w:hint="eastAsia"/>
          <w:highlight w:val="green"/>
        </w:rPr>
        <w:t>拨测厂家</w:t>
      </w:r>
      <w:r>
        <w:rPr>
          <w:rFonts w:hint="eastAsia"/>
        </w:rPr>
        <w:t>（</w:t>
      </w:r>
      <w:r>
        <w:rPr>
          <w:rFonts w:hint="eastAsia"/>
          <w:highlight w:val="green"/>
        </w:rPr>
        <w:t>只对拨测流程可见</w:t>
      </w:r>
      <w:r>
        <w:rPr>
          <w:rFonts w:hint="eastAsia"/>
        </w:rPr>
        <w:t>）</w:t>
      </w:r>
    </w:p>
    <w:p>
      <w:pPr/>
    </w:p>
    <w:p>
      <w:pPr>
        <w:rPr>
          <w:color w:val="FF0000"/>
        </w:rPr>
      </w:pPr>
      <w:r>
        <w:rPr>
          <w:rFonts w:hint="eastAsia"/>
          <w:color w:val="FF0000"/>
          <w:highlight w:val="green"/>
        </w:rPr>
        <w:t>处理流程时，比如催办处理流程的下一流程处理人，可能会有多个（有此流程权限的用户），催办时多个用户时可选择流程处理人，可单选和多选。</w:t>
      </w:r>
    </w:p>
    <w:p>
      <w:pPr>
        <w:rPr>
          <w:color w:val="FF0000"/>
        </w:rPr>
      </w:pPr>
    </w:p>
    <w:p>
      <w:pPr>
        <w:rPr>
          <w:color w:val="FF0000"/>
        </w:rPr>
      </w:pPr>
      <w:r>
        <w:rPr>
          <w:rFonts w:hint="eastAsia"/>
          <w:color w:val="FF0000"/>
        </w:rPr>
        <w:t>备注（吴维仙）：</w:t>
      </w:r>
    </w:p>
    <w:p>
      <w:pPr>
        <w:rPr>
          <w:color w:val="FF0000"/>
        </w:rPr>
      </w:pPr>
      <w:r>
        <w:rPr>
          <w:rFonts w:hint="eastAsia"/>
          <w:color w:val="FF0000"/>
        </w:rPr>
        <w:t>1．用户管理系统还使用</w:t>
      </w:r>
      <w:r>
        <w:rPr>
          <w:color w:val="FF0000"/>
        </w:rPr>
        <w:t>netvista</w:t>
      </w:r>
      <w:r>
        <w:rPr>
          <w:rFonts w:hint="eastAsia"/>
          <w:color w:val="FF0000"/>
        </w:rPr>
        <w:t>来管理，不用单独再开发一套用户管理系统。</w:t>
      </w:r>
    </w:p>
    <w:p>
      <w:pPr>
        <w:rPr>
          <w:color w:val="FF0000"/>
        </w:rPr>
      </w:pPr>
      <w:r>
        <w:rPr>
          <w:color w:val="FF0000"/>
        </w:rPr>
        <w:t xml:space="preserve">2. </w:t>
      </w:r>
      <w:r>
        <w:rPr>
          <w:rFonts w:hint="eastAsia"/>
          <w:color w:val="FF0000"/>
        </w:rPr>
        <w:t>此系统支持JWT，用启登录到</w:t>
      </w:r>
      <w:r>
        <w:rPr>
          <w:color w:val="FF0000"/>
        </w:rPr>
        <w:t>netvista</w:t>
      </w:r>
      <w:r>
        <w:rPr>
          <w:rFonts w:hint="eastAsia"/>
          <w:color w:val="FF0000"/>
        </w:rPr>
        <w:t>系统认证并取到用户权限。返回当前系统使用</w:t>
      </w:r>
    </w:p>
    <w:p>
      <w:pPr>
        <w:rPr>
          <w:rFonts w:hint="eastAsia"/>
          <w:color w:val="FF0000"/>
        </w:rPr>
      </w:pPr>
      <w:r>
        <w:rPr>
          <w:rFonts w:hint="eastAsia"/>
          <w:color w:val="FF0000"/>
        </w:rPr>
        <w:t xml:space="preserve">3. </w:t>
      </w:r>
      <w:r>
        <w:rPr>
          <w:color w:val="FF0000"/>
        </w:rPr>
        <w:t>JWT</w:t>
      </w:r>
      <w:r>
        <w:rPr>
          <w:rFonts w:hint="eastAsia"/>
          <w:color w:val="FF0000"/>
        </w:rPr>
        <w:t>的相关文档稍后提供</w:t>
      </w:r>
    </w:p>
    <w:p>
      <w:pPr>
        <w:rPr>
          <w:rFonts w:hint="eastAsia"/>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ingdings">
    <w:altName w:val="OpenSymbol"/>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decorative"/>
    <w:pitch w:val="default"/>
    <w:sig w:usb0="00000000" w:usb1="00000000" w:usb2="00000009" w:usb3="00000000" w:csb0="000001FF" w:csb1="00000000"/>
  </w:font>
  <w:font w:name="微软雅黑">
    <w:altName w:val="Monospace"/>
    <w:panose1 w:val="020B0503020204020204"/>
    <w:charset w:val="86"/>
    <w:family w:val="decorative"/>
    <w:pitch w:val="default"/>
    <w:sig w:usb0="00000000" w:usb1="00000000" w:usb2="00000016" w:usb3="00000000" w:csb0="0004001F" w:csb1="00000000"/>
  </w:font>
  <w:font w:name="AR PL UKai CN">
    <w:panose1 w:val="02000503000000000000"/>
    <w:charset w:val="86"/>
    <w:family w:val="auto"/>
    <w:pitch w:val="default"/>
    <w:sig w:usb0="A00002FF" w:usb1="3ACFFDFF" w:usb2="00000036" w:usb3="00000000" w:csb0="201600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00000000" w:usb1="00000000" w:usb2="00000000" w:usb3="00000000" w:csb0="00000001" w:csb1="00000000"/>
  </w:font>
  <w:font w:name="Monospace">
    <w:panose1 w:val="020B0609030804020204"/>
    <w:charset w:val="00"/>
    <w:family w:val="auto"/>
    <w:pitch w:val="default"/>
    <w:sig w:usb0="00000000" w:usb1="00000000" w:usb2="00000000" w:usb3="00000000" w:csb0="001D016D" w:csb1="00000000"/>
  </w:font>
  <w:font w:name="OpenSymbol">
    <w:panose1 w:val="0501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77432926">
    <w:nsid w:val="0A93695E"/>
    <w:multiLevelType w:val="multilevel"/>
    <w:tmpl w:val="0A93695E"/>
    <w:lvl w:ilvl="0" w:tentative="1">
      <w:start w:val="1"/>
      <w:numFmt w:val="decimal"/>
      <w:pStyle w:val="2"/>
      <w:lvlText w:val="%1"/>
      <w:lvlJc w:val="left"/>
      <w:pPr>
        <w:ind w:left="432" w:hanging="432"/>
      </w:pPr>
      <w:rPr>
        <w:sz w:val="24"/>
      </w:rPr>
    </w:lvl>
    <w:lvl w:ilvl="1" w:tentative="1">
      <w:start w:val="1"/>
      <w:numFmt w:val="decimal"/>
      <w:pStyle w:val="3"/>
      <w:lvlText w:val="%1.%2"/>
      <w:lvlJc w:val="left"/>
      <w:pPr>
        <w:ind w:left="576" w:hanging="576"/>
      </w:pPr>
      <w:rPr>
        <w:sz w:val="24"/>
      </w:rPr>
    </w:lvl>
    <w:lvl w:ilvl="2" w:tentative="1">
      <w:start w:val="1"/>
      <w:numFmt w:val="decimal"/>
      <w:pStyle w:val="4"/>
      <w:lvlText w:val="%1.%2.%3"/>
      <w:lvlJc w:val="left"/>
      <w:pPr>
        <w:ind w:left="720" w:hanging="720"/>
      </w:p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abstractNum w:abstractNumId="638077558">
    <w:nsid w:val="26084A76"/>
    <w:multiLevelType w:val="multilevel"/>
    <w:tmpl w:val="26084A76"/>
    <w:lvl w:ilvl="0" w:tentative="1">
      <w:start w:val="1"/>
      <w:numFmt w:val="decimal"/>
      <w:lvlText w:val="%1"/>
      <w:lvlJc w:val="left"/>
      <w:pPr>
        <w:ind w:left="425" w:hanging="425"/>
      </w:pPr>
    </w:lvl>
    <w:lvl w:ilvl="1" w:tentative="1">
      <w:start w:val="1"/>
      <w:numFmt w:val="decimal"/>
      <w:lvlText w:val="%1.%2"/>
      <w:lvlJc w:val="left"/>
      <w:pPr>
        <w:ind w:left="992" w:hanging="567"/>
      </w:pPr>
    </w:lvl>
    <w:lvl w:ilvl="2" w:tentative="1">
      <w:start w:val="1"/>
      <w:numFmt w:val="decimal"/>
      <w:lvlText w:val="%1.%2.%3"/>
      <w:lvlJc w:val="left"/>
      <w:pPr>
        <w:ind w:left="1418" w:hanging="567"/>
      </w:p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44993979">
    <w:nsid w:val="0E9A4FBB"/>
    <w:multiLevelType w:val="multilevel"/>
    <w:tmpl w:val="0E9A4FBB"/>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91079139">
    <w:nsid w:val="52EA2EE3"/>
    <w:multiLevelType w:val="multilevel"/>
    <w:tmpl w:val="52EA2EE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01276517">
    <w:nsid w:val="65676B65"/>
    <w:multiLevelType w:val="multilevel"/>
    <w:tmpl w:val="65676B6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28899996">
    <w:nsid w:val="257C409C"/>
    <w:multiLevelType w:val="multilevel"/>
    <w:tmpl w:val="257C409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17323925">
    <w:nsid w:val="72480A95"/>
    <w:multiLevelType w:val="multilevel"/>
    <w:tmpl w:val="72480A9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77432926"/>
  </w:num>
  <w:num w:numId="2">
    <w:abstractNumId w:val="638077558"/>
  </w:num>
  <w:num w:numId="3">
    <w:abstractNumId w:val="244993979"/>
  </w:num>
  <w:num w:numId="4">
    <w:abstractNumId w:val="1391079139"/>
  </w:num>
  <w:num w:numId="5">
    <w:abstractNumId w:val="1701276517"/>
  </w:num>
  <w:num w:numId="6">
    <w:abstractNumId w:val="628899996"/>
  </w:num>
  <w:num w:numId="7">
    <w:abstractNumId w:val="19173239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164"/>
    <w:rsid w:val="00014BCD"/>
    <w:rsid w:val="00043A8D"/>
    <w:rsid w:val="00043B6F"/>
    <w:rsid w:val="00045894"/>
    <w:rsid w:val="000F33C2"/>
    <w:rsid w:val="001258CA"/>
    <w:rsid w:val="00163C52"/>
    <w:rsid w:val="001D642A"/>
    <w:rsid w:val="001F4B09"/>
    <w:rsid w:val="001F52EA"/>
    <w:rsid w:val="002067FB"/>
    <w:rsid w:val="00265D05"/>
    <w:rsid w:val="002859C2"/>
    <w:rsid w:val="002C1744"/>
    <w:rsid w:val="002E5164"/>
    <w:rsid w:val="00301D9E"/>
    <w:rsid w:val="00302306"/>
    <w:rsid w:val="003206B6"/>
    <w:rsid w:val="0032466D"/>
    <w:rsid w:val="003506D6"/>
    <w:rsid w:val="0038764B"/>
    <w:rsid w:val="003F2BE4"/>
    <w:rsid w:val="00423CEC"/>
    <w:rsid w:val="004505DD"/>
    <w:rsid w:val="004563E3"/>
    <w:rsid w:val="00461932"/>
    <w:rsid w:val="00487098"/>
    <w:rsid w:val="004937C8"/>
    <w:rsid w:val="00496E19"/>
    <w:rsid w:val="004A0368"/>
    <w:rsid w:val="004D391B"/>
    <w:rsid w:val="0050237E"/>
    <w:rsid w:val="00534C6A"/>
    <w:rsid w:val="00544920"/>
    <w:rsid w:val="00602086"/>
    <w:rsid w:val="0061567E"/>
    <w:rsid w:val="00634FC1"/>
    <w:rsid w:val="006731DC"/>
    <w:rsid w:val="00715BFF"/>
    <w:rsid w:val="00722C3A"/>
    <w:rsid w:val="00733498"/>
    <w:rsid w:val="007377EB"/>
    <w:rsid w:val="00753BF6"/>
    <w:rsid w:val="00785949"/>
    <w:rsid w:val="0083631D"/>
    <w:rsid w:val="00842491"/>
    <w:rsid w:val="00863BC9"/>
    <w:rsid w:val="00886F11"/>
    <w:rsid w:val="00892E21"/>
    <w:rsid w:val="008A0B23"/>
    <w:rsid w:val="008E6699"/>
    <w:rsid w:val="00917493"/>
    <w:rsid w:val="009277DB"/>
    <w:rsid w:val="009816A6"/>
    <w:rsid w:val="00984DC0"/>
    <w:rsid w:val="009D19F0"/>
    <w:rsid w:val="00AC516B"/>
    <w:rsid w:val="00AF5C03"/>
    <w:rsid w:val="00B12300"/>
    <w:rsid w:val="00B14268"/>
    <w:rsid w:val="00B26E43"/>
    <w:rsid w:val="00B334D2"/>
    <w:rsid w:val="00BA0742"/>
    <w:rsid w:val="00BE17D9"/>
    <w:rsid w:val="00BE7744"/>
    <w:rsid w:val="00C372FB"/>
    <w:rsid w:val="00C567C8"/>
    <w:rsid w:val="00C96A6A"/>
    <w:rsid w:val="00C97D5C"/>
    <w:rsid w:val="00CF09D2"/>
    <w:rsid w:val="00D00D50"/>
    <w:rsid w:val="00D22201"/>
    <w:rsid w:val="00D304C2"/>
    <w:rsid w:val="00D67987"/>
    <w:rsid w:val="00D7700A"/>
    <w:rsid w:val="00D776E0"/>
    <w:rsid w:val="00DD5430"/>
    <w:rsid w:val="00DD749A"/>
    <w:rsid w:val="00DE49DC"/>
    <w:rsid w:val="00E13CD0"/>
    <w:rsid w:val="00E23BD2"/>
    <w:rsid w:val="00E4590D"/>
    <w:rsid w:val="00E55AB0"/>
    <w:rsid w:val="00EA16E2"/>
    <w:rsid w:val="00ED298A"/>
    <w:rsid w:val="00ED7847"/>
    <w:rsid w:val="00EF6C4C"/>
    <w:rsid w:val="00F0105C"/>
    <w:rsid w:val="00F11CA1"/>
    <w:rsid w:val="00F14814"/>
    <w:rsid w:val="00F208B5"/>
    <w:rsid w:val="00F20EE0"/>
    <w:rsid w:val="00F66C58"/>
    <w:rsid w:val="00F8270B"/>
    <w:rsid w:val="00FA702F"/>
    <w:rsid w:val="4EEF03C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36"/>
    <w:unhideWhenUsed/>
    <w:qFormat/>
    <w:uiPriority w:val="99"/>
    <w:rPr>
      <w:b/>
      <w:bCs/>
    </w:rPr>
  </w:style>
  <w:style w:type="paragraph" w:styleId="12">
    <w:name w:val="annotation text"/>
    <w:basedOn w:val="1"/>
    <w:link w:val="35"/>
    <w:unhideWhenUsed/>
    <w:qFormat/>
    <w:uiPriority w:val="99"/>
    <w:pPr>
      <w:jc w:val="left"/>
    </w:pPr>
  </w:style>
  <w:style w:type="paragraph" w:styleId="13">
    <w:name w:val="Balloon Text"/>
    <w:basedOn w:val="1"/>
    <w:link w:val="37"/>
    <w:unhideWhenUsed/>
    <w:qFormat/>
    <w:uiPriority w:val="99"/>
    <w:rPr>
      <w:sz w:val="18"/>
      <w:szCs w:val="18"/>
    </w:rPr>
  </w:style>
  <w:style w:type="paragraph" w:styleId="14">
    <w:name w:val="footer"/>
    <w:basedOn w:val="1"/>
    <w:link w:val="28"/>
    <w:unhideWhenUsed/>
    <w:qFormat/>
    <w:uiPriority w:val="99"/>
    <w:pPr>
      <w:tabs>
        <w:tab w:val="center" w:pos="4153"/>
        <w:tab w:val="right" w:pos="8306"/>
      </w:tabs>
      <w:snapToGrid w:val="0"/>
      <w:jc w:val="left"/>
    </w:pPr>
    <w:rPr>
      <w:sz w:val="18"/>
      <w:szCs w:val="18"/>
    </w:rPr>
  </w:style>
  <w:style w:type="paragraph" w:styleId="15">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styleId="18">
    <w:name w:val="annotation reference"/>
    <w:basedOn w:val="16"/>
    <w:unhideWhenUsed/>
    <w:qFormat/>
    <w:uiPriority w:val="99"/>
    <w:rPr>
      <w:sz w:val="21"/>
      <w:szCs w:val="21"/>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样式1"/>
    <w:basedOn w:val="1"/>
    <w:link w:val="23"/>
    <w:qFormat/>
    <w:uiPriority w:val="0"/>
  </w:style>
  <w:style w:type="character" w:customStyle="1" w:styleId="22">
    <w:name w:val="标题 1 字符"/>
    <w:basedOn w:val="16"/>
    <w:link w:val="2"/>
    <w:qFormat/>
    <w:uiPriority w:val="9"/>
    <w:rPr>
      <w:b/>
      <w:bCs/>
      <w:kern w:val="44"/>
      <w:sz w:val="44"/>
      <w:szCs w:val="44"/>
    </w:rPr>
  </w:style>
  <w:style w:type="character" w:customStyle="1" w:styleId="23">
    <w:name w:val="样式1 Char"/>
    <w:basedOn w:val="16"/>
    <w:link w:val="21"/>
    <w:qFormat/>
    <w:uiPriority w:val="0"/>
  </w:style>
  <w:style w:type="paragraph" w:customStyle="1" w:styleId="24">
    <w:name w:val="List Paragraph"/>
    <w:basedOn w:val="1"/>
    <w:qFormat/>
    <w:uiPriority w:val="34"/>
    <w:pPr>
      <w:ind w:firstLine="420" w:firstLineChars="200"/>
    </w:pPr>
  </w:style>
  <w:style w:type="character" w:customStyle="1" w:styleId="25">
    <w:name w:val="标题 2 字符"/>
    <w:basedOn w:val="16"/>
    <w:link w:val="3"/>
    <w:qFormat/>
    <w:uiPriority w:val="9"/>
    <w:rPr>
      <w:rFonts w:asciiTheme="majorHAnsi" w:hAnsiTheme="majorHAnsi" w:eastAsiaTheme="majorEastAsia" w:cstheme="majorBidi"/>
      <w:b/>
      <w:bCs/>
      <w:sz w:val="32"/>
      <w:szCs w:val="32"/>
    </w:rPr>
  </w:style>
  <w:style w:type="character" w:customStyle="1" w:styleId="26">
    <w:name w:val="标题 3 字符"/>
    <w:basedOn w:val="16"/>
    <w:link w:val="4"/>
    <w:qFormat/>
    <w:uiPriority w:val="9"/>
    <w:rPr>
      <w:b/>
      <w:bCs/>
      <w:sz w:val="32"/>
      <w:szCs w:val="32"/>
    </w:rPr>
  </w:style>
  <w:style w:type="character" w:customStyle="1" w:styleId="27">
    <w:name w:val="页眉 字符"/>
    <w:basedOn w:val="16"/>
    <w:link w:val="15"/>
    <w:qFormat/>
    <w:uiPriority w:val="99"/>
    <w:rPr>
      <w:sz w:val="18"/>
      <w:szCs w:val="18"/>
    </w:rPr>
  </w:style>
  <w:style w:type="character" w:customStyle="1" w:styleId="28">
    <w:name w:val="页脚 字符"/>
    <w:basedOn w:val="16"/>
    <w:link w:val="14"/>
    <w:qFormat/>
    <w:uiPriority w:val="99"/>
    <w:rPr>
      <w:sz w:val="18"/>
      <w:szCs w:val="18"/>
    </w:rPr>
  </w:style>
  <w:style w:type="character" w:customStyle="1" w:styleId="29">
    <w:name w:val="标题 4 字符"/>
    <w:basedOn w:val="16"/>
    <w:link w:val="5"/>
    <w:qFormat/>
    <w:uiPriority w:val="9"/>
    <w:rPr>
      <w:rFonts w:asciiTheme="majorHAnsi" w:hAnsiTheme="majorHAnsi" w:eastAsiaTheme="majorEastAsia" w:cstheme="majorBidi"/>
      <w:b/>
      <w:bCs/>
      <w:sz w:val="28"/>
      <w:szCs w:val="28"/>
    </w:rPr>
  </w:style>
  <w:style w:type="character" w:customStyle="1" w:styleId="30">
    <w:name w:val="标题 5 字符"/>
    <w:basedOn w:val="16"/>
    <w:link w:val="6"/>
    <w:semiHidden/>
    <w:qFormat/>
    <w:uiPriority w:val="9"/>
    <w:rPr>
      <w:b/>
      <w:bCs/>
      <w:sz w:val="28"/>
      <w:szCs w:val="28"/>
    </w:rPr>
  </w:style>
  <w:style w:type="character" w:customStyle="1" w:styleId="31">
    <w:name w:val="标题 6 字符"/>
    <w:basedOn w:val="16"/>
    <w:link w:val="7"/>
    <w:semiHidden/>
    <w:qFormat/>
    <w:uiPriority w:val="9"/>
    <w:rPr>
      <w:rFonts w:asciiTheme="majorHAnsi" w:hAnsiTheme="majorHAnsi" w:eastAsiaTheme="majorEastAsia" w:cstheme="majorBidi"/>
      <w:b/>
      <w:bCs/>
      <w:sz w:val="24"/>
      <w:szCs w:val="24"/>
    </w:rPr>
  </w:style>
  <w:style w:type="character" w:customStyle="1" w:styleId="32">
    <w:name w:val="标题 7 字符"/>
    <w:basedOn w:val="16"/>
    <w:link w:val="8"/>
    <w:semiHidden/>
    <w:qFormat/>
    <w:uiPriority w:val="9"/>
    <w:rPr>
      <w:b/>
      <w:bCs/>
      <w:sz w:val="24"/>
      <w:szCs w:val="24"/>
    </w:rPr>
  </w:style>
  <w:style w:type="character" w:customStyle="1" w:styleId="33">
    <w:name w:val="标题 8 字符"/>
    <w:basedOn w:val="16"/>
    <w:link w:val="9"/>
    <w:semiHidden/>
    <w:qFormat/>
    <w:uiPriority w:val="9"/>
    <w:rPr>
      <w:rFonts w:asciiTheme="majorHAnsi" w:hAnsiTheme="majorHAnsi" w:eastAsiaTheme="majorEastAsia" w:cstheme="majorBidi"/>
      <w:sz w:val="24"/>
      <w:szCs w:val="24"/>
    </w:rPr>
  </w:style>
  <w:style w:type="character" w:customStyle="1" w:styleId="34">
    <w:name w:val="标题 9 字符"/>
    <w:basedOn w:val="16"/>
    <w:link w:val="10"/>
    <w:semiHidden/>
    <w:uiPriority w:val="9"/>
    <w:rPr>
      <w:rFonts w:asciiTheme="majorHAnsi" w:hAnsiTheme="majorHAnsi" w:eastAsiaTheme="majorEastAsia" w:cstheme="majorBidi"/>
      <w:szCs w:val="21"/>
    </w:rPr>
  </w:style>
  <w:style w:type="character" w:customStyle="1" w:styleId="35">
    <w:name w:val="批注文字 字符"/>
    <w:basedOn w:val="16"/>
    <w:link w:val="12"/>
    <w:semiHidden/>
    <w:qFormat/>
    <w:uiPriority w:val="99"/>
  </w:style>
  <w:style w:type="character" w:customStyle="1" w:styleId="36">
    <w:name w:val="批注主题 字符"/>
    <w:basedOn w:val="35"/>
    <w:link w:val="11"/>
    <w:semiHidden/>
    <w:qFormat/>
    <w:uiPriority w:val="99"/>
    <w:rPr>
      <w:b/>
      <w:bCs/>
    </w:rPr>
  </w:style>
  <w:style w:type="character" w:customStyle="1" w:styleId="37">
    <w:name w:val="批注框文本 字符"/>
    <w:basedOn w:val="16"/>
    <w:link w:val="1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657</Words>
  <Characters>3748</Characters>
  <Lines>31</Lines>
  <Paragraphs>8</Paragraphs>
  <TotalTime>0</TotalTime>
  <ScaleCrop>false</ScaleCrop>
  <LinksUpToDate>false</LinksUpToDate>
  <CharactersWithSpaces>4397</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2017-11-12T20:58:00Z</dcterms:created>
  <dc:creator>cor</dc:creator>
  <cp:lastModifiedBy>dp</cp:lastModifiedBy>
  <dcterms:modified xsi:type="dcterms:W3CDTF">2018-03-19T18:09:13Z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