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10" w:space="10"/>
        </w:pBdr>
        <w:spacing w:after="0" w:before="1300"/>
        <w:jc w:val="center"/>
      </w:pPr>
      <w:r>
        <w:rPr>
          <w:color w:val="595959"/>
          <w:spacing w:val="60"/>
          <w:sz w:val="18"/>
          <w:szCs w:val="18"/>
        </w:rPr>
        <w:t xml:space="preserve">PRIVATE &amp; CONFIDENTIAL</w:t>
      </w:r>
    </w:p>
    <w:p>
      <w:pPr>
        <w:spacing w:after="0" w:before="540"/>
        <w:jc w:val="center"/>
      </w:pPr>
      <w:r>
        <w:rPr>
          <w:b/>
          <w:bCs/>
          <w:color w:val="1F3864"/>
          <w:spacing w:val="30"/>
          <w:sz w:val="44"/>
          <w:szCs w:val="44"/>
        </w:rPr>
        <w:t xml:space="preserve">CONSULTING SERVICES AGREEMENT</w:t>
      </w:r>
    </w:p>
    <w:p>
      <w:pPr>
        <w:spacing w:after="0" w:before="200"/>
        <w:jc w:val="center"/>
      </w:pPr>
      <w:r>
        <w:rPr>
          <w:color w:val="333333"/>
          <w:sz w:val="25"/>
          <w:szCs w:val="25"/>
        </w:rPr>
        <w:t xml:space="preserve">ISO/IEC 27001:2022 Information Security Management System</w:t>
      </w:r>
    </w:p>
    <w:p>
      <w:pPr>
        <w:spacing w:after="0" w:before="30"/>
        <w:jc w:val="center"/>
      </w:pPr>
      <w:r>
        <w:rPr>
          <w:i/>
          <w:iCs/>
          <w:color w:val="595959"/>
          <w:sz w:val="23"/>
          <w:szCs w:val="23"/>
        </w:rPr>
        <w:t xml:space="preserve">Implementation &amp; Certification Advisory</w:t>
      </w:r>
    </w:p>
    <w:p>
      <w:pPr>
        <w:spacing w:after="0" w:before="620"/>
        <w:jc w:val="center"/>
      </w:pPr>
      <w:r>
        <w:rPr>
          <w:color w:val="595959"/>
          <w:spacing w:val="80"/>
          <w:sz w:val="18"/>
          <w:szCs w:val="18"/>
        </w:rPr>
        <w:t xml:space="preserve">BETWEEN</w:t>
      </w:r>
    </w:p>
    <w:p>
      <w:pPr>
        <w:spacing w:after="0" w:before="130"/>
        <w:jc w:val="center"/>
      </w:pPr>
      <w:r>
        <w:rPr>
          <w:b/>
          <w:bCs/>
          <w:color w:val="1F3864"/>
          <w:sz w:val="27"/>
          <w:szCs w:val="27"/>
        </w:rPr>
        <w:t xml:space="preserve">MAKEBELL LIMITED</w:t>
      </w:r>
    </w:p>
    <w:p>
      <w:pPr>
        <w:spacing w:after="0" w:before="10"/>
        <w:jc w:val="center"/>
      </w:pPr>
      <w:r>
        <w:rPr>
          <w:i/>
          <w:iCs/>
          <w:color w:val="595959"/>
          <w:sz w:val="18"/>
          <w:szCs w:val="18"/>
        </w:rPr>
        <w:t xml:space="preserve">the Client</w:t>
      </w:r>
    </w:p>
    <w:p>
      <w:pPr>
        <w:spacing w:after="0" w:before="140"/>
        <w:jc w:val="center"/>
      </w:pPr>
      <w:r>
        <w:rPr>
          <w:i/>
          <w:iCs/>
          <w:color w:val="333333"/>
          <w:sz w:val="21"/>
          <w:szCs w:val="21"/>
        </w:rPr>
        <w:t xml:space="preserve">and</w:t>
      </w:r>
    </w:p>
    <w:p>
      <w:pPr>
        <w:spacing w:after="0" w:before="140"/>
        <w:jc w:val="center"/>
      </w:pPr>
      <w:r>
        <w:rPr>
          <w:b/>
          <w:bCs/>
          <w:color w:val="1F3864"/>
          <w:sz w:val="27"/>
          <w:szCs w:val="27"/>
        </w:rPr>
        <w:t xml:space="preserve">MIZANUR RAHMAN ASIF</w:t>
      </w:r>
    </w:p>
    <w:p>
      <w:pPr>
        <w:spacing w:after="0" w:before="10"/>
        <w:jc w:val="center"/>
      </w:pPr>
      <w:r>
        <w:rPr>
          <w:i/>
          <w:iCs/>
          <w:color w:val="595959"/>
          <w:sz w:val="18"/>
          <w:szCs w:val="18"/>
        </w:rPr>
        <w:t xml:space="preserve">the Consultant</w:t>
      </w:r>
    </w:p>
    <w:p>
      <w:pPr>
        <w:pBdr>
          <w:top w:val="single" w:color="1F3864" w:sz="10" w:space="10"/>
        </w:pBdr>
        <w:spacing w:after="0" w:before="680"/>
        <w:jc w:val="center"/>
      </w:pPr>
      <w:r>
        <w:rPr>
          <w:color w:val="333333"/>
          <w:sz w:val="21"/>
          <w:szCs w:val="21"/>
        </w:rPr>
        <w:t xml:space="preserve">Dated [Effective Date] 2026</w:t>
      </w:r>
    </w:p>
    <w:p>
      <w:r>
        <w:br w:type="page"/>
      </w:r>
    </w:p>
    <w:p>
      <w:pPr>
        <w:spacing w:after="120" w:line="276"/>
        <w:jc w:val="both"/>
      </w:pPr>
      <w:r>
        <w:t xml:space="preserve">This Consulting Services Agreement (the </w:t>
      </w:r>
      <w:r>
        <w:rPr>
          <w:b/>
          <w:bCs/>
        </w:rPr>
        <w:t xml:space="preserve">“Agreement”</w:t>
      </w:r>
      <w:r>
        <w:t xml:space="preserve">) is made and entered into on </w:t>
      </w:r>
      <w:r>
        <w:rPr>
          <w:b/>
          <w:bCs/>
        </w:rPr>
        <w:t xml:space="preserve">[Effective Date], 2026</w:t>
      </w:r>
      <w:r>
        <w:t xml:space="preserve"> (the “Effective Date”), by and between: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7ECF3" w:val="clear"/>
            <w:tcMar>
              <w:top w:type="dxa" w:w="70"/>
              <w:left w:type="dxa" w:w="120"/>
              <w:bottom w:type="dxa" w:w="70"/>
              <w:right w:type="dxa" w:w="120"/>
            </w:tcMar>
            <w:vAlign w:val="center"/>
          </w:tcPr>
          <w:p>
            <w:pPr>
              <w:spacing w:after="0" w:line="252"/>
            </w:pPr>
            <w:r>
              <w:rPr>
                <w:b/>
                <w:bCs/>
                <w:sz w:val="19"/>
                <w:szCs w:val="19"/>
              </w:rPr>
              <w:t xml:space="preserve">CLIENT</w:t>
            </w:r>
          </w:p>
        </w:tc>
        <w:tc>
          <w:tcPr>
            <w:tcW w:type="dxa" w:w="71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Makebell Limited (“the Company” / “Client”), operating makebell.com,</w:t>
            </w:r>
          </w:p>
          <w:p>
            <w:pPr>
              <w:spacing w:after="0" w:line="252"/>
            </w:pPr>
            <w:r>
              <w:rPr>
                <w:b w:val="false"/>
                <w:bCs w:val="false"/>
                <w:sz w:val="19"/>
                <w:szCs w:val="19"/>
              </w:rPr>
              <w:t xml:space="preserve">a company incorporated under the laws of the Hong Kong SAR,</w:t>
            </w:r>
          </w:p>
          <w:p>
            <w:pPr>
              <w:spacing w:after="0" w:line="252"/>
            </w:pPr>
            <w:r>
              <w:rPr>
                <w:b w:val="false"/>
                <w:bCs w:val="false"/>
                <w:sz w:val="19"/>
                <w:szCs w:val="19"/>
              </w:rPr>
              <w:t xml:space="preserve">registered office at [Registered Office Address, Hong Kong],</w:t>
            </w:r>
          </w:p>
          <w:p>
            <w:pPr>
              <w:spacing w:after="0" w:line="252"/>
            </w:pPr>
            <w:r>
              <w:rPr>
                <w:b w:val="false"/>
                <w:bCs w:val="false"/>
                <w:sz w:val="19"/>
                <w:szCs w:val="19"/>
              </w:rPr>
              <w:t xml:space="preserve">Company Registration (CR) No. [CR Number],</w:t>
            </w:r>
          </w:p>
          <w:p>
            <w:pPr>
              <w:spacing w:after="0" w:line="252"/>
            </w:pPr>
            <w:r>
              <w:rPr>
                <w:b w:val="false"/>
                <w:bCs w:val="false"/>
                <w:sz w:val="19"/>
                <w:szCs w:val="19"/>
              </w:rPr>
              <w:t xml:space="preserve">represented by its directors, Mr. Ronald Yu and Mr. Kenneth Yip.</w:t>
            </w:r>
          </w:p>
          <w:p>
            <w:pPr>
              <w:spacing w:after="0" w:line="252"/>
            </w:pPr>
            <w:r>
              <w:rPr>
                <w:b w:val="false"/>
                <w:bCs w:val="false"/>
                <w:sz w:val="19"/>
                <w:szCs w:val="19"/>
              </w:rPr>
              <w:t xml:space="preserve">Email: info@makebell.com</w:t>
            </w:r>
          </w:p>
        </w:tc>
      </w:tr>
      <w:tr>
        <w:tc>
          <w:tcPr>
            <w:tcW w:type="dxa" w:w="2200"/>
            <w:tcBorders>
              <w:top w:val="single" w:color="BFBFBF" w:sz="4"/>
              <w:left w:val="single" w:color="BFBFBF" w:sz="4"/>
              <w:bottom w:val="single" w:color="BFBFBF" w:sz="4"/>
              <w:right w:val="single" w:color="BFBFBF" w:sz="4"/>
            </w:tcBorders>
            <w:shd w:fill="E7ECF3" w:val="clear"/>
            <w:tcMar>
              <w:top w:type="dxa" w:w="70"/>
              <w:left w:type="dxa" w:w="120"/>
              <w:bottom w:type="dxa" w:w="70"/>
              <w:right w:type="dxa" w:w="120"/>
            </w:tcMar>
            <w:vAlign w:val="center"/>
          </w:tcPr>
          <w:p>
            <w:pPr>
              <w:spacing w:after="0" w:line="252"/>
            </w:pPr>
            <w:r>
              <w:rPr>
                <w:b/>
                <w:bCs/>
                <w:sz w:val="19"/>
                <w:szCs w:val="19"/>
              </w:rPr>
              <w:t xml:space="preserve">CONSULTANT</w:t>
            </w:r>
          </w:p>
        </w:tc>
        <w:tc>
          <w:tcPr>
            <w:tcW w:type="dxa" w:w="71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Mizanur Rahman Asif (“the Consultant”),</w:t>
            </w:r>
          </w:p>
          <w:p>
            <w:pPr>
              <w:spacing w:after="0" w:line="252"/>
            </w:pPr>
            <w:r>
              <w:rPr>
                <w:b w:val="false"/>
                <w:bCs w:val="false"/>
                <w:sz w:val="19"/>
                <w:szCs w:val="19"/>
              </w:rPr>
              <w:t xml:space="preserve">an independent information-security consultant, of</w:t>
            </w:r>
          </w:p>
          <w:p>
            <w:pPr>
              <w:spacing w:after="0" w:line="252"/>
            </w:pPr>
            <w:r>
              <w:rPr>
                <w:b w:val="false"/>
                <w:bCs w:val="false"/>
                <w:sz w:val="19"/>
                <w:szCs w:val="19"/>
              </w:rPr>
              <w:t xml:space="preserve">2nd Floor, Annondo Nibash, Monjil Housing, Namapara,</w:t>
            </w:r>
          </w:p>
          <w:p>
            <w:pPr>
              <w:spacing w:after="0" w:line="252"/>
            </w:pPr>
            <w:r>
              <w:rPr>
                <w:b w:val="false"/>
                <w:bCs w:val="false"/>
                <w:sz w:val="19"/>
                <w:szCs w:val="19"/>
              </w:rPr>
              <w:t xml:space="preserve">Manikdi, Dhaka Cantonment, Dhaka 1206, Bangladesh.</w:t>
            </w:r>
          </w:p>
          <w:p>
            <w:pPr>
              <w:spacing w:after="0" w:line="252"/>
            </w:pPr>
            <w:r>
              <w:rPr>
                <w:b w:val="false"/>
                <w:bCs w:val="false"/>
                <w:sz w:val="19"/>
                <w:szCs w:val="19"/>
              </w:rPr>
              <w:t xml:space="preserve">Mobile: +880 1837-731749  ·  Email: claudemakebell@gmail.com</w:t>
            </w:r>
          </w:p>
        </w:tc>
      </w:tr>
    </w:tbl>
    <w:p>
      <w:pPr>
        <w:spacing w:after="120" w:line="276"/>
        <w:jc w:val="both"/>
      </w:pPr>
      <w:r>
        <w:t xml:space="preserve"/>
      </w:r>
    </w:p>
    <w:p>
      <w:pPr>
        <w:spacing w:after="120" w:line="276"/>
        <w:jc w:val="both"/>
      </w:pPr>
      <w:r>
        <w:t xml:space="preserve">The Client and the Consultant are each a </w:t>
      </w:r>
      <w:r>
        <w:rPr>
          <w:b/>
          <w:bCs/>
        </w:rPr>
        <w:t xml:space="preserve">“Party”</w:t>
      </w:r>
      <w:r>
        <w:t xml:space="preserve"> and together the </w:t>
      </w:r>
      <w:r>
        <w:rPr>
          <w:b/>
          <w:bCs/>
        </w:rPr>
        <w:t xml:space="preserve">“Parties.”</w:t>
      </w:r>
    </w:p>
    <w:p>
      <w:pPr>
        <w:pStyle w:val="Heading1"/>
        <w:pBdr>
          <w:bottom w:val="single" w:color="1F3864" w:sz="4" w:space="6"/>
        </w:pBdr>
      </w:pPr>
      <w:r>
        <w:t xml:space="preserve">Background</w:t>
      </w:r>
    </w:p>
    <w:p>
      <w:pPr>
        <w:pStyle w:val="ListParagraph"/>
        <w:numPr>
          <w:ilvl w:val="0"/>
          <w:numId w:val="2"/>
        </w:numPr>
        <w:spacing w:after="60" w:line="276"/>
        <w:jc w:val="both"/>
      </w:pPr>
      <w:r>
        <w:t xml:space="preserve">The Client wishes to design, implement and operate an Information Security Management System (“ISMS”) and to obtain certification to ISO/IEC 27001:2022 from an accredited certification body.</w:t>
      </w:r>
    </w:p>
    <w:p>
      <w:pPr>
        <w:pStyle w:val="ListParagraph"/>
        <w:numPr>
          <w:ilvl w:val="0"/>
          <w:numId w:val="2"/>
        </w:numPr>
        <w:spacing w:after="60" w:line="276"/>
        <w:jc w:val="both"/>
      </w:pPr>
      <w:r>
        <w:t xml:space="preserve">The Consultant has prepared and delivered to the Client a complete, internally-consistent sample ISMS pack (covering scope, risk assessment, Statement of Applicability, policies, business continuity, internal audit, corrective actions and an evidence pack) demonstrating the artefacts that an auditor reviews.</w:t>
      </w:r>
    </w:p>
    <w:p>
      <w:pPr>
        <w:pStyle w:val="ListParagraph"/>
        <w:numPr>
          <w:ilvl w:val="0"/>
          <w:numId w:val="2"/>
        </w:numPr>
        <w:spacing w:after="60" w:line="276"/>
        <w:jc w:val="both"/>
      </w:pPr>
      <w:r>
        <w:t xml:space="preserve">Relying on that demonstrated capability, the Client wishes to engage the Consultant to lead the ISMS implementation and certification readiness over a six (6) month programme, targeting issuance of the certificate on or before 1 December 2026.</w:t>
      </w:r>
    </w:p>
    <w:p>
      <w:pPr>
        <w:pStyle w:val="ListParagraph"/>
        <w:numPr>
          <w:ilvl w:val="0"/>
          <w:numId w:val="2"/>
        </w:numPr>
        <w:spacing w:after="60" w:line="276"/>
        <w:jc w:val="both"/>
      </w:pPr>
      <w:r>
        <w:t xml:space="preserve">The Consultant agrees to provide the services on the terms set out in this Agreement.</w:t>
      </w:r>
    </w:p>
    <w:p>
      <w:pPr>
        <w:spacing w:after="120" w:line="276"/>
        <w:jc w:val="both"/>
      </w:pPr>
      <w:r>
        <w:rPr>
          <w:b/>
          <w:bCs/>
        </w:rPr>
        <w:t xml:space="preserve">NOW, THEREFORE,</w:t>
      </w:r>
      <w:r>
        <w:t xml:space="preserve"> in consideration of the mutual covenants below, the Parties agree as follows:</w:t>
      </w:r>
    </w:p>
    <w:p>
      <w:pPr>
        <w:pStyle w:val="Heading1"/>
        <w:pBdr>
          <w:bottom w:val="single" w:color="1F3864" w:sz="4" w:space="6"/>
        </w:pBdr>
      </w:pPr>
      <w:r>
        <w:t xml:space="preserve">1. Engagement and Objective</w:t>
      </w:r>
    </w:p>
    <w:p>
      <w:pPr>
        <w:spacing w:after="120" w:line="276"/>
        <w:jc w:val="both"/>
      </w:pPr>
      <w:r>
        <w:t xml:space="preserve">1.1  The Client engages the Consultant, and the Consultant accepts the engagement, to act as the Client’s ISO/IEC 27001:2022 implementation consultant and certification-readiness lead (the “Services”), as described in Schedule A (Scope of Services) and Schedule B (Timeline &amp; Milestones).</w:t>
      </w:r>
    </w:p>
    <w:p>
      <w:pPr>
        <w:spacing w:after="120" w:line="276"/>
        <w:jc w:val="both"/>
      </w:pPr>
      <w:r>
        <w:t xml:space="preserve">1.2  Engagement Objective. The objective is for the Client’s ISMS to be implemented, operating and audited such that the Client is issued an ISO/IEC 27001:2022 certificate — or is formally recommended for certification pending closure of minor items — by an accredited certification body, with a target date on or before 1 December 2026 (the “Target Certification Date”).</w:t>
      </w:r>
    </w:p>
    <w:p>
      <w:pPr>
        <w:spacing w:after="120" w:line="276"/>
        <w:jc w:val="both"/>
      </w:pPr>
      <w:r>
        <w:t xml:space="preserve">1.3  Scope Discipline. To keep the six-month timeline achievable, the first certificate shall cover a single, defined product, service or environment (the “Certification Scope”), to be finalised and signed off in Month 1. Expansion of the Certification Scope is a change governed by clause 12.</w:t>
      </w:r>
    </w:p>
    <w:p>
      <w:pPr>
        <w:pStyle w:val="Heading1"/>
        <w:pBdr>
          <w:bottom w:val="single" w:color="1F3864" w:sz="4" w:space="6"/>
        </w:pBdr>
      </w:pPr>
      <w:r>
        <w:t xml:space="preserve">2. Term</w:t>
      </w:r>
    </w:p>
    <w:p>
      <w:pPr>
        <w:spacing w:after="120" w:line="276"/>
        <w:jc w:val="both"/>
      </w:pPr>
      <w:r>
        <w:t xml:space="preserve">2.1  This Agreement commences on the Effective Date and continues for an initial term of six (6) months (the “Term”), expected to run from June 2026 through November 2026, unless extended by written agreement or terminated earlier under clause 13.</w:t>
      </w:r>
    </w:p>
    <w:p>
      <w:pPr>
        <w:spacing w:after="120" w:line="276"/>
        <w:jc w:val="both"/>
      </w:pPr>
      <w:r>
        <w:t xml:space="preserve">2.2  Certification Support Tail. The Consultant shall, at no additional retainer cost, provide reasonable support during the certification body’s decision period and the closure of any minor nonconformities raised at the Stage 2 audit, up to thirty (30) days after the end of the Term.</w:t>
      </w:r>
    </w:p>
    <w:p>
      <w:pPr>
        <w:pStyle w:val="Heading1"/>
        <w:pBdr>
          <w:bottom w:val="single" w:color="1F3864" w:sz="4" w:space="6"/>
        </w:pBdr>
      </w:pPr>
      <w:r>
        <w:t xml:space="preserve">3. Scope of Services</w:t>
      </w:r>
    </w:p>
    <w:p>
      <w:pPr>
        <w:spacing w:after="120" w:line="276"/>
        <w:jc w:val="both"/>
      </w:pPr>
      <w:r>
        <w:t xml:space="preserve">3.1  The Consultant shall perform the Services described in Schedule A and shall deliver the artefacts and meet the stage gates set out in Schedule B.</w:t>
      </w:r>
    </w:p>
    <w:p>
      <w:pPr>
        <w:spacing w:after="120" w:line="276"/>
        <w:jc w:val="both"/>
      </w:pPr>
      <w:r>
        <w:t xml:space="preserve">3.2  The Consultant shall lead and own the ISMS documentation and audit preparation, and shall guide and enable the Client’s personnel to implement and operate the technical and organisational controls. The Consultant advises and configures; the Client’s personnel operate the live controls under the Consultant’s direction.</w:t>
      </w:r>
    </w:p>
    <w:p>
      <w:pPr>
        <w:spacing w:after="120" w:line="276"/>
        <w:jc w:val="both"/>
      </w:pPr>
      <w:r>
        <w:t xml:space="preserve">3.3  Without limiting Schedule A, the Services include: scope definition; gap assessment against all 93 Annex A controls and ISO/IEC 27001 Clauses 4–10; risk assessment and treatment; the Statement of Applicability; the policy suite; control implementation guidance; security awareness training; business continuity / disaster recovery testing; internal audit; management review; coordination of a penetration test and remediation; and management of Stage 1 and Stage 2 certification audit logistics and evidence presentation. In this Agreement, an “accredited certification body” means a certification body accredited for ISO/IEC 27001 by a national accreditation body that is a signatory to the IAF Multilateral Recognition Arrangement (the “IAF MLA”), so that the resulting certificate enjoys international recognition.</w:t>
      </w:r>
    </w:p>
    <w:p>
      <w:pPr>
        <w:pStyle w:val="Heading1"/>
        <w:pBdr>
          <w:bottom w:val="single" w:color="1F3864" w:sz="4" w:space="6"/>
        </w:pBdr>
      </w:pPr>
      <w:r>
        <w:t xml:space="preserve">4. Consultant’s Responsibilities</w:t>
      </w:r>
    </w:p>
    <w:p>
      <w:pPr>
        <w:pStyle w:val="ListParagraph"/>
        <w:numPr>
          <w:ilvl w:val="0"/>
          <w:numId w:val="3"/>
        </w:numPr>
        <w:spacing w:after="60" w:line="276"/>
        <w:jc w:val="both"/>
      </w:pPr>
      <w:r>
        <w:t xml:space="preserve">Deliver the Services to the Standard of Performance defined in clause 8.2, consistent with the demonstrated sample ISMS pack.</w:t>
      </w:r>
    </w:p>
    <w:p>
      <w:pPr>
        <w:pStyle w:val="ListParagraph"/>
        <w:numPr>
          <w:ilvl w:val="0"/>
          <w:numId w:val="3"/>
        </w:numPr>
        <w:spacing w:after="60" w:line="276"/>
        <w:jc w:val="both"/>
      </w:pPr>
      <w:r>
        <w:t xml:space="preserve">Produce the deliverables and meet (or escalate risks to) the stage gates in Schedule B on the monthly cadence.</w:t>
      </w:r>
    </w:p>
    <w:p>
      <w:pPr>
        <w:pStyle w:val="ListParagraph"/>
        <w:numPr>
          <w:ilvl w:val="0"/>
          <w:numId w:val="3"/>
        </w:numPr>
        <w:spacing w:after="60" w:line="276"/>
        <w:jc w:val="both"/>
      </w:pPr>
      <w:r>
        <w:t xml:space="preserve">Provide a RAG-rated gap report, a project plan with named owners, and regular written progress updates.</w:t>
      </w:r>
    </w:p>
    <w:p>
      <w:pPr>
        <w:pStyle w:val="ListParagraph"/>
        <w:numPr>
          <w:ilvl w:val="0"/>
          <w:numId w:val="3"/>
        </w:numPr>
        <w:spacing w:after="60" w:line="276"/>
        <w:jc w:val="both"/>
      </w:pPr>
      <w:r>
        <w:t xml:space="preserve">Engage, evaluate and shortlist reliable, cost-effective accredited certification bodies on the Client’s behalf, and manage the audit booking early in the programme; the Client contracts with and pays the chosen certification body.</w:t>
      </w:r>
    </w:p>
    <w:p>
      <w:pPr>
        <w:pStyle w:val="ListParagraph"/>
        <w:numPr>
          <w:ilvl w:val="0"/>
          <w:numId w:val="3"/>
        </w:numPr>
        <w:spacing w:after="60" w:line="276"/>
        <w:jc w:val="both"/>
      </w:pPr>
      <w:r>
        <w:t xml:space="preserve">Support the Client’s team throughout the audit process and certification follow-up, including evidence presentation to the auditor.</w:t>
      </w:r>
    </w:p>
    <w:p>
      <w:pPr>
        <w:pStyle w:val="ListParagraph"/>
        <w:numPr>
          <w:ilvl w:val="0"/>
          <w:numId w:val="3"/>
        </w:numPr>
        <w:spacing w:after="60" w:line="276"/>
        <w:jc w:val="both"/>
      </w:pPr>
      <w:r>
        <w:t xml:space="preserve">Promptly notify the Client of any risk to the timeline, scope or Target Certification Date.</w:t>
      </w:r>
    </w:p>
    <w:p>
      <w:pPr>
        <w:pStyle w:val="Heading1"/>
        <w:pBdr>
          <w:bottom w:val="single" w:color="1F3864" w:sz="4" w:space="6"/>
        </w:pBdr>
      </w:pPr>
      <w:r>
        <w:t xml:space="preserve">5. Client’s Responsibilities</w:t>
      </w:r>
    </w:p>
    <w:p>
      <w:pPr>
        <w:spacing w:after="120" w:line="276"/>
        <w:jc w:val="both"/>
      </w:pPr>
      <w:r>
        <w:t xml:space="preserve">5.1  The Client acknowledges that timely certification depends on its active participation, and shall:</w:t>
      </w:r>
    </w:p>
    <w:p>
      <w:pPr>
        <w:pStyle w:val="ListParagraph"/>
        <w:numPr>
          <w:ilvl w:val="0"/>
          <w:numId w:val="3"/>
        </w:numPr>
        <w:spacing w:after="60" w:line="276"/>
        <w:jc w:val="both"/>
      </w:pPr>
      <w:r>
        <w:t xml:space="preserve">Appoint an ISMS owner and an executive management sponsor in Month 1, and make them and relevant staff reasonably available.</w:t>
      </w:r>
    </w:p>
    <w:p>
      <w:pPr>
        <w:pStyle w:val="ListParagraph"/>
        <w:numPr>
          <w:ilvl w:val="0"/>
          <w:numId w:val="3"/>
        </w:numPr>
        <w:spacing w:after="60" w:line="276"/>
        <w:jc w:val="both"/>
      </w:pPr>
      <w:r>
        <w:t xml:space="preserve">Provide timely, accurate access to systems, data, personnel, records and facilities required for the Services.</w:t>
      </w:r>
    </w:p>
    <w:p>
      <w:pPr>
        <w:pStyle w:val="ListParagraph"/>
        <w:numPr>
          <w:ilvl w:val="0"/>
          <w:numId w:val="3"/>
        </w:numPr>
        <w:spacing w:after="60" w:line="276"/>
        <w:jc w:val="both"/>
      </w:pPr>
      <w:r>
        <w:t xml:space="preserve">Implement and operate the agreed controls, and have staff complete security awareness training.</w:t>
      </w:r>
    </w:p>
    <w:p>
      <w:pPr>
        <w:pStyle w:val="ListParagraph"/>
        <w:numPr>
          <w:ilvl w:val="0"/>
          <w:numId w:val="3"/>
        </w:numPr>
        <w:spacing w:after="60" w:line="276"/>
        <w:jc w:val="both"/>
      </w:pPr>
      <w:r>
        <w:t xml:space="preserve">Make management decisions (including risk-acceptance criteria and the Statement of Applicability) within the timeframes in Schedule B.</w:t>
      </w:r>
    </w:p>
    <w:p>
      <w:pPr>
        <w:pStyle w:val="ListParagraph"/>
        <w:numPr>
          <w:ilvl w:val="0"/>
          <w:numId w:val="3"/>
        </w:numPr>
        <w:spacing w:after="60" w:line="276"/>
        <w:jc w:val="both"/>
      </w:pPr>
      <w:r>
        <w:t xml:space="preserve">Contract directly with the accredited certification body selected with the Consultant’s support, and pay its Stage 1 and Stage 2 audit fees.</w:t>
      </w:r>
    </w:p>
    <w:p>
      <w:pPr>
        <w:pStyle w:val="ListParagraph"/>
        <w:numPr>
          <w:ilvl w:val="0"/>
          <w:numId w:val="3"/>
        </w:numPr>
        <w:spacing w:after="60" w:line="276"/>
        <w:jc w:val="both"/>
      </w:pPr>
      <w:r>
        <w:t xml:space="preserve">Bear the cost of third-party items (certification body fees, penetration-test tooling or third-party testers if outsourced, and any compliance/automation platform licences), as described in clause 7.4.</w:t>
      </w:r>
    </w:p>
    <w:p>
      <w:pPr>
        <w:spacing w:after="120" w:line="276"/>
        <w:jc w:val="both"/>
      </w:pPr>
      <w:r>
        <w:t xml:space="preserve">5.2  Client Delay and Mixed-Cause Slippage. Where the Client’s delay, decision latency or failure to implement controls causes the timeline to slip, any resulting failure to meet the Target Certification Date shall not be a breach by the Consultant, and the Target Certification Date and the affected Schedule B dates shall be extended by a reasonable period reflecting the delay. Where a slip is caused by a combination of Client-side and Consultant-side factors, the Consultant is not in breach to the extent the slip would have occurred but for the Consultant’s factors, and the Parties shall act reasonably and in good faith to re-plan. If Client-caused delay requires the Consultant to perform the Services beyond the six (6) month Term, the Parties shall agree in writing under clause 12 an extension of the Term and an additional retainer at the rate in clause 6.2 for each further month, and the maximum total in clause 6.5 shall increase accordingly. Delays caused by Force Majeure are governed by clause 16. The early-certification bonus under clause 6.4 remains conditioned solely on the actual certificate-issuance date.</w:t>
      </w:r>
    </w:p>
    <w:p>
      <w:pPr>
        <w:spacing w:after="120" w:line="276"/>
        <w:jc w:val="both"/>
      </w:pPr>
      <w:r>
        <w:t xml:space="preserve">5.3  Acceptance of Deliverables. The Client shall review each deliverable and, within five (5) business days of receipt, either accept it in writing or reject it in writing identifying with reasonable particularity how it fails to conform to Schedule A or Schedule B. If the Client does not respond within that period, the deliverable is deemed accepted. On a valid rejection, the Consultant shall use reasonable endeavours to correct the identified non-conformities and re-submit within five (5) business days, whereupon this clause 5.3 applies again to the corrected deliverable. Acceptance (actual or deemed) does not waive the warranties in clauses 8.3 and 11.6, does not affect rights in respect of latent defects, and does not by itself trigger any fee; the monthly retainer remains payable against the stage-gate progress update under clause 6.2.</w:t>
      </w:r>
    </w:p>
    <w:p>
      <w:pPr>
        <w:pStyle w:val="Heading1"/>
        <w:pBdr>
          <w:bottom w:val="single" w:color="1F3864" w:sz="4" w:space="6"/>
        </w:pBdr>
      </w:pPr>
      <w:r>
        <w:t xml:space="preserve">6. Professional Fees</w:t>
      </w:r>
    </w:p>
    <w:p>
      <w:pPr>
        <w:spacing w:after="120" w:line="276"/>
        <w:jc w:val="both"/>
      </w:pPr>
      <w:r>
        <w:t xml:space="preserve">6.1  In consideration of the Services, the Client shall pay the Consultant the fees set out in this clause 6 and in Schedule C (Fee Schedule). All amounts are stated and payable in United States Dollars (USD). The Client shall pay each amount in full in USD by bank transfer to the account the Consultant designates in writing, and shall bear all sending-bank, correspondent / intermediary-bank and recipient-bank charges, so that the Consultant receives the full invoiced USD amount free and clear of bank charges (subject only to any tax withholding required by law under clause 6.6). Any local-currency conversion at the Consultant’s receiving bank is for the Consultant’s account. The fees are exclusive of any taxes for which the Consultant is responsible under clause 9.2.</w:t>
      </w:r>
    </w:p>
    <w:p>
      <w:pPr>
        <w:pStyle w:val="Heading2"/>
      </w:pPr>
      <w:r>
        <w:t xml:space="preserve">6.2  Monthly Retainer</w:t>
      </w:r>
    </w:p>
    <w:p>
      <w:pPr>
        <w:spacing w:after="120" w:line="276"/>
        <w:jc w:val="both"/>
      </w:pPr>
      <w:r>
        <w:t xml:space="preserve">USD 1,000 per month for each of the six (6) months of the Term, totalling USD 6,000, payable in arrears at the end of each month against a stage-gate progress update for that month.</w:t>
      </w:r>
    </w:p>
    <w:p>
      <w:pPr>
        <w:pStyle w:val="Heading2"/>
      </w:pPr>
      <w:r>
        <w:t xml:space="preserve">6.3  Certification Success Fee</w:t>
      </w:r>
    </w:p>
    <w:p>
      <w:pPr>
        <w:spacing w:after="120" w:line="276"/>
        <w:jc w:val="both"/>
      </w:pPr>
      <w:r>
        <w:t xml:space="preserve">USD 1,200, payable upon the earlier of (a) issuance to the Client of an ISO/IEC 27001:2022 certificate by the accredited certification body, or (b) the accredited certification body’s lead auditor recommending the Client for certification in the written Stage 2 audit report, subject only to closure of minor (not major) nonconformities. Where the fee is paid under (b) and the certification body subsequently declines to certify for reasons within the Consultant’s control, the fee is repayable.</w:t>
      </w:r>
    </w:p>
    <w:p>
      <w:pPr>
        <w:pStyle w:val="Heading2"/>
      </w:pPr>
      <w:r>
        <w:t xml:space="preserve">6.4  Early-Certification Bonus</w:t>
      </w:r>
    </w:p>
    <w:p>
      <w:pPr>
        <w:spacing w:after="120" w:line="276"/>
        <w:jc w:val="both"/>
      </w:pPr>
      <w:r>
        <w:t xml:space="preserve">USD 1,500, payable in addition to the success fee if, and only if, an ISO/IEC 27001:2022 certificate is actually issued to the Client on or before 1 December 2026, the controlling date being the issue date stated on the face of the certificate. A recommendation for certification under clause 6.3(b) does not, by itself, trigger this bonus. For the avoidance of doubt, this is an outcome-based incentive and not a warranty or guarantee of issuance, which remains subject to clause 8.</w:t>
      </w:r>
    </w:p>
    <w:p>
      <w:pPr>
        <w:pStyle w:val="Heading2"/>
      </w:pPr>
      <w:r>
        <w:t xml:space="preserve">6.5  Maximum Consideration</w:t>
      </w:r>
    </w:p>
    <w:p>
      <w:pPr>
        <w:spacing w:after="120" w:line="276"/>
        <w:jc w:val="both"/>
      </w:pPr>
      <w:r>
        <w:t xml:space="preserve">The maximum total professional fee payable under this Agreement is USD 8,700 (USD 6,000 retainer + USD 1,200 success fee + USD 1,500 early bonus), subject to any increase agreed in writing under clauses 5.2 and 12.</w:t>
      </w:r>
    </w:p>
    <w:p>
      <w:pPr>
        <w:pStyle w:val="Heading2"/>
      </w:pPr>
      <w:r>
        <w:t xml:space="preserve">6.6  Taxes and Withholding</w:t>
      </w:r>
    </w:p>
    <w:p>
      <w:pPr>
        <w:spacing w:after="120" w:line="276"/>
        <w:jc w:val="both"/>
      </w:pPr>
      <w:r>
        <w:t xml:space="preserve">(a) Except as stated in this clause, each Party bears its own income and similar taxes on amounts it receives or earns, consistent with clause 9.2. (b) If any law requires the Client to deduct or withhold tax from a payment to the Consultant, the Client may make that deduction and account for it to the relevant authority, and shall within a reasonable time give the Consultant an official receipt or certificate sufficient to support a foreign tax-credit claim. (c) Any such withholding is borne by the Consultant: the stated fees (maximum USD 8,700 under clause 6.5) are the maximum payable and are not grossed up, unless the Parties agree a gross-up in writing. (d) Each Party shall provide the other, on reasonable request, with tax-residence certificates and similar documentation reasonably required to reduce or eliminate any withholding under applicable law. The fees are for the provision of services and are not a royalty.</w:t>
      </w:r>
    </w:p>
    <w:p>
      <w:pPr>
        <w:pStyle w:val="Heading1"/>
        <w:pBdr>
          <w:bottom w:val="single" w:color="1F3864" w:sz="4" w:space="6"/>
        </w:pBdr>
      </w:pPr>
      <w:r>
        <w:t xml:space="preserve">7. Invoicing, Payment and Third-Party Costs</w:t>
      </w:r>
    </w:p>
    <w:p>
      <w:pPr>
        <w:spacing w:after="120" w:line="276"/>
        <w:jc w:val="both"/>
      </w:pPr>
      <w:r>
        <w:t xml:space="preserve">7.1  The Consultant shall invoice the monthly retainer at the end of each month, and the success fee and (where applicable) the early-certification bonus upon the triggering event in clauses 6.3 and 6.4.</w:t>
      </w:r>
    </w:p>
    <w:p>
      <w:pPr>
        <w:spacing w:after="120" w:line="276"/>
        <w:jc w:val="both"/>
      </w:pPr>
      <w:r>
        <w:t xml:space="preserve">7.2  The Client shall pay each undisputed invoice within ten (10) business days of receipt. Undisputed amounts that remain unpaid after the due date bear simple interest at one percent (1%) per month (or the maximum rate permitted by law, if lower) from the due date until paid. The Client may set off against any amount due to the Consultant any amount the Consultant owes the Client under this Agreement that is undisputed or has been finally determined. If undisputed invoiced amounts remain unpaid for more than fifteen (15) business days after written reminder, the Consultant may, on five (5) business days’ further written notice, suspend the Services until payment is received, in which case the timeline dates (including the Target Certification Date) are extended by the period of suspension.</w:t>
      </w:r>
    </w:p>
    <w:p>
      <w:pPr>
        <w:spacing w:after="120" w:line="276"/>
        <w:jc w:val="both"/>
      </w:pPr>
      <w:r>
        <w:t xml:space="preserve">7.3  Disputed Amounts. The Client shall pay all undisputed amounts on time and shall notify the Consultant in writing of any good-faith dispute within five (5) business days of the invoice, limiting the dispute to the specific line item and stating its basis. The Parties shall seek to resolve the disputed line item within ten (10) business days; the Client shall pay any amount so resolved, or determined under clause 17, within ten (10) business days of resolution. Failure to give notice of dispute within the five-business-day period is deemed acceptance of the invoice.</w:t>
      </w:r>
    </w:p>
    <w:p>
      <w:pPr>
        <w:spacing w:after="120" w:line="276"/>
        <w:jc w:val="both"/>
      </w:pPr>
      <w:r>
        <w:t xml:space="preserve">7.4  Third-Party Costs Excluded. The professional fees exclude, and the Client shall pay directly: (a) accredited certification body Stage 1 and Stage 2 audit and certificate fees; (b) penetration-test tooling and any outsourced testers; (c) compliance/automation platform and other software licences; and (d) any other third-party products or services. The Consultant shall not incur reimbursable expenses above USD 100 in aggregate without the Client’s prior written approval.</w:t>
      </w:r>
    </w:p>
    <w:p>
      <w:pPr>
        <w:pStyle w:val="Heading1"/>
        <w:pBdr>
          <w:bottom w:val="single" w:color="1F3864" w:sz="4" w:space="6"/>
        </w:pBdr>
      </w:pPr>
      <w:r>
        <w:t xml:space="preserve">8. Certification Outcome and Professional Standard</w:t>
      </w:r>
    </w:p>
    <w:p>
      <w:pPr>
        <w:spacing w:after="120" w:line="276"/>
        <w:jc w:val="both"/>
      </w:pPr>
      <w:r>
        <w:t xml:space="preserve">8.1  The certification decision is made solely by the independent accredited certification body. The Consultant does not, and cannot lawfully, guarantee that the certification body will issue the certificate, as that decision is outside the Consultant’s control.</w:t>
      </w:r>
    </w:p>
    <w:p>
      <w:pPr>
        <w:spacing w:after="120" w:line="276"/>
        <w:jc w:val="both"/>
      </w:pPr>
      <w:r>
        <w:t xml:space="preserve">8.2  The Consultant shall perform the Services using reasonable skill, care and professional diligence to the standard of a competent ISO/IEC 27001 implementation consultant (the “Standard of Performance”), and shall use reasonable endeavours to bring the Client to a state of certification readiness in line with Schedule B, subject to clause 5.2. The success fee and early bonus are outcome-based incentives that reward achievement of the certificate and the Target Certification Date; they are not a warranty of that result.</w:t>
      </w:r>
    </w:p>
    <w:p>
      <w:pPr>
        <w:spacing w:after="120" w:line="276"/>
        <w:jc w:val="both"/>
      </w:pPr>
      <w:r>
        <w:t xml:space="preserve">8.3  The Consultant warrants that the Services will be performed to the Standard of Performance and in a manner consistent with recognised ISO/IEC 27001 implementation practice. Except for the warranties in this clause 8 and in clause 11.6, and save for any term that cannot lawfully be excluded, all other warranties, conditions and representations, whether express or implied by statute, common law or otherwise, are excluded to the fullest extent permitted by law.</w:t>
      </w:r>
    </w:p>
    <w:p>
      <w:pPr>
        <w:spacing w:after="120" w:line="276"/>
        <w:jc w:val="both"/>
      </w:pPr>
      <w:r>
        <w:t xml:space="preserve">8.4  Use of AI Tools. The Consultant may use artificial-intelligence tools to assist in preparing deliverables, provided that: (a) the Consultant shall not input the Client’s Confidential Information or personal data into any AI tool that uses inputs to train its models, retains them, or does not provide confidentiality protection equivalent to clause 10, without the Client’s prior written approval of the tool; (b) the Consultant remains responsible for reviewing, verifying and correcting all AI-assisted output before delivery, so that each deliverable reflects sufficient human authorship to attract and convey the rights assigned under clause 11.1; and (c) the Standard of Performance and the warranties in this Agreement apply to AI-assisted work without distinction. On the Client’s reasonable request, the Consultant shall disclose where and how any AI tool was used in producing a deliverable.</w:t>
      </w:r>
    </w:p>
    <w:p>
      <w:pPr>
        <w:pStyle w:val="Heading1"/>
        <w:pBdr>
          <w:bottom w:val="single" w:color="1F3864" w:sz="4" w:space="6"/>
        </w:pBdr>
      </w:pPr>
      <w:r>
        <w:t xml:space="preserve">9. Independent Contractor Status</w:t>
      </w:r>
    </w:p>
    <w:p>
      <w:pPr>
        <w:spacing w:after="120" w:line="276"/>
        <w:jc w:val="both"/>
      </w:pPr>
      <w:r>
        <w:t xml:space="preserve">9.1  The Consultant is an independent contractor, not an employee, partner, agent or joint-venturer of the Client. Nothing in this Agreement creates an employment relationship.</w:t>
      </w:r>
    </w:p>
    <w:p>
      <w:pPr>
        <w:spacing w:after="120" w:line="276"/>
        <w:jc w:val="both"/>
      </w:pPr>
      <w:r>
        <w:t xml:space="preserve">9.2  The Consultant is responsible for the Consultant’s own taxes, contributions and statutory obligations in the Consultant’s jurisdiction. The Consultant determines the manner and means of performing the Services, subject to the deliverables and timeline herein, and may engage approved subcontractors provided the Consultant remains responsible for their work and confidentiality. The Consultant shall not disclose any Confidential Information or Security Findings to a subcontractor unless the Client has approved that subcontractor in writing and the subcontractor has first entered into written confidentiality and IP-assignment obligations at least as protective as clauses 10 and 11; and the Consultant shall not subcontract any work involving Security Findings or personal data without the Client’s prior written consent.</w:t>
      </w:r>
    </w:p>
    <w:p>
      <w:pPr>
        <w:spacing w:after="120" w:line="276"/>
        <w:jc w:val="both"/>
      </w:pPr>
      <w:r>
        <w:t xml:space="preserve">9.3  Personal Performance; Key Person. The Client has entered into this Agreement in reliance on the skills and experience of Mizanur Rahman Asif personally. The Consultant shall personally lead and substantially perform the Services and shall not delegate overall responsibility for the engagement. Any subcontractor engaged under clause 9.2 may perform only discrete supporting tasks under the Consultant’s direction and with the Client’s prior written approval; the Consultant remains fully responsible and liable for all subcontracted work. If the Consultant becomes unable to perform for a continuous period exceeding fifteen (15) business days, the Client may terminate under clause 13 without further liability beyond Services properly performed to that date.</w:t>
      </w:r>
    </w:p>
    <w:p>
      <w:pPr>
        <w:spacing w:after="120" w:line="276"/>
        <w:jc w:val="both"/>
      </w:pPr>
      <w:r>
        <w:t xml:space="preserve">9.4  Place of Performance and Right to Work. The Consultant shall perform the Services remotely from Bangladesh, save where the Parties agree in writing that specific activities require attendance in the Hong Kong SAR or elsewhere. Where on-site attendance is agreed, the Consultant is responsible for obtaining any necessary visa, entry permit and right-to-work authorisation, and the Client shall provide reasonable supporting documentation; nothing in this Agreement entitles the Consultant to work in the Hong Kong SAR.</w:t>
      </w:r>
    </w:p>
    <w:p>
      <w:pPr>
        <w:spacing w:after="120" w:line="276"/>
        <w:jc w:val="both"/>
      </w:pPr>
      <w:r>
        <w:t xml:space="preserve">9.5  Vetting and Good Standing. The Consultant represents and warrants that, to the best of the Consultant’s knowledge: (a) the Consultant has not been convicted of any offence involving dishonesty, fraud, data theft, computer misuse or breach of confidence; (b) the Consultant is not subject to any current investigation, sanction or disqualification by any regulator or professional body relevant to information-security services; and (c) the Consultant will promptly notify the Client if any of the foregoing ceases to be true during the Term. The Consultant shall provide reasonable evidence of identity and professional background on the Client’s reasonable request.</w:t>
      </w:r>
    </w:p>
    <w:p>
      <w:pPr>
        <w:pStyle w:val="Heading1"/>
        <w:pBdr>
          <w:bottom w:val="single" w:color="1F3864" w:sz="4" w:space="6"/>
        </w:pBdr>
      </w:pPr>
      <w:r>
        <w:t xml:space="preserve">10. Confidentiality</w:t>
      </w:r>
    </w:p>
    <w:p>
      <w:pPr>
        <w:spacing w:after="120" w:line="276"/>
        <w:jc w:val="both"/>
      </w:pPr>
      <w:r>
        <w:t xml:space="preserve">10.1  Definition. In this Agreement, “Confidential Information” means all non-public information disclosed by or on behalf of one Party (the “Discloser”) to the other (the “Recipient”), whether before or after the Effective Date and in any form (oral, written, electronic, visual or observed), that is marked or identified as confidential, or that a reasonable person would understand to be confidential given its nature or the circumstances of disclosure. It includes, without limitation, each Party’s business, technical, financial, security, audit and personnel information; the Client’s and its clients’ documents and data; the bespoke ISMS deliverables produced for the Client under clause 11.1; the Security Findings under clause 10.4; and the existence and terms of this Agreement. Confidential Information does not include information that the Recipient can demonstrate: (a) is or becomes public other than through breach of this Agreement; (b) was lawfully in the Recipient’s possession free of any obligation of confidence before disclosure; (c) is independently developed by the Recipient without use of the Discloser’s Confidential Information; or (d) is lawfully received from a third party free of any obligation of confidence. The exclusions in (a)–(d) do not apply to the Security Findings under clause 10.4 or to personal data, which remain protected. The Consultant Materials described in clause 11.2 remain the Consultant’s property and their reuse in accordance with clause 11.2 is not a breach of this clause 10.</w:t>
      </w:r>
    </w:p>
    <w:p>
      <w:pPr>
        <w:spacing w:after="120" w:line="276"/>
        <w:jc w:val="both"/>
      </w:pPr>
      <w:r>
        <w:t xml:space="preserve">10.2  Confidentiality Obligations. The Recipient shall use the Discloser’s Confidential Information solely to perform this Agreement, shall protect it with at least reasonable care, and shall not disclose it except to its personnel, the certification body and Client-approved subcontractors on a need-to-know basis and bound by written confidentiality obligations no less protective than this clause 10, for which the Recipient remains responsible. The Recipient shall not aggregate, anonymise or reuse the Confidential Information for benchmarking, marketing, portfolio, case-study or training purposes, nor input it into any generative-AI or machine-learning system that retains, trains on, or makes it available to third parties, without the Discloser’s prior written consent.</w:t>
      </w:r>
    </w:p>
    <w:p>
      <w:pPr>
        <w:spacing w:after="120" w:line="276"/>
        <w:jc w:val="both"/>
      </w:pPr>
      <w:r>
        <w:t xml:space="preserve">10.3  Compelled Disclosure. If the Recipient is required by law, regulation, court order or a competent authority to disclose Confidential Information, it may do so to the extent legally required without breach of this Agreement, and shall, where lawfully permitted, give the Discloser prompt prior written notice and reasonable cooperation to enable the Discloser to seek protective or confidential treatment.</w:t>
      </w:r>
    </w:p>
    <w:p>
      <w:pPr>
        <w:spacing w:after="120" w:line="276"/>
        <w:jc w:val="both"/>
      </w:pPr>
      <w:r>
        <w:t xml:space="preserve">10.4  Security Findings — Handling. The Consultant shall treat all vulnerability, gap-assessment and penetration-test findings and all security architecture and configuration details (together, the “Security Findings”) as strictly confidential, and shall disclose them only to the Client and parties the Client authorises in writing. The Consultant shall: (a) store and process Security Findings and the Client’s Confidential Information only on access-controlled, full-disk-encrypted devices and accounts under the Consultant’s sole control and not shared with any other person; (b) protect them with multi-factor authentication, current anti-malware and up-to-date security patches, and encrypt them in transit; (c) keep them segregated from any other client engagement; and (d) not store, process or synchronise them on any shared, consumer or public cloud, file-sharing, or AI or other tool that retains, trains on or reuses the data. The Consultant shall notify the Client without undue delay, and in any event within forty-eight (48) hours, of becoming aware of any actual or suspected loss of, or unauthorised access to or disclosure of, any Security Findings or other Client Confidential Information, and shall provide the information the Client reasonably requires to respond. A breach of this clause 10.4 is a breach of confidentiality for the purposes of clause 14.3.</w:t>
      </w:r>
    </w:p>
    <w:p>
      <w:pPr>
        <w:spacing w:after="120" w:line="276"/>
        <w:jc w:val="both"/>
      </w:pPr>
      <w:r>
        <w:t xml:space="preserve">10.5  Survival; Return and Destruction. The obligations in this clause 10 survive for five (5) years after termination, save that (a) the Security Findings remain confidential indefinitely until the Client confirms in writing that they are no longer sensitive, and (b) trade secrets and personal data remain protected for as long as they retain that character or as applicable law requires, whichever is longer. On termination, or earlier on the Discloser’s written request, the Recipient shall within ten (10) business days, at the Discloser’s election, return or securely and permanently destroy all Confidential Information in its possession or control (including copies on personal devices, cloud accounts and any AI tools used) and, in the Consultant’s case, certify destruction in writing, save for one copy required by law or held in routine secured backups, which remains subject to this clause 10 for as long as retained.</w:t>
      </w:r>
    </w:p>
    <w:p>
      <w:pPr>
        <w:spacing w:after="120" w:line="276"/>
        <w:jc w:val="both"/>
      </w:pPr>
      <w:r>
        <w:t xml:space="preserve">10.6  Injunctive Relief. Each Party acknowledges that any breach or threatened breach of this clause 10 or of clause 11.3 may cause harm for which monetary damages are an inadequate remedy. Accordingly, the affected Party may, without prejudice to any other remedy, apply for injunctive or other equitable relief, including interim and conservatory measures, from any court of competent jurisdiction, notwithstanding clause 17, and the seeking of such relief is not a waiver of the agreement to arbitrate.</w:t>
      </w:r>
    </w:p>
    <w:p>
      <w:pPr>
        <w:pStyle w:val="Heading1"/>
        <w:pBdr>
          <w:bottom w:val="single" w:color="1F3864" w:sz="4" w:space="6"/>
        </w:pBdr>
      </w:pPr>
      <w:r>
        <w:t xml:space="preserve">11. Intellectual Property</w:t>
      </w:r>
    </w:p>
    <w:p>
      <w:pPr>
        <w:spacing w:after="120" w:line="276"/>
        <w:jc w:val="both"/>
      </w:pPr>
      <w:r>
        <w:t xml:space="preserve">11.1  Assignment of Client Deliverables. The Consultant hereby irrevocably assigns to the Client, with full title guarantee and free from all encumbrances (and, to the extent any such rights cannot presently be assigned, agrees to assign them on creation), all right, title and interest worldwide — including all copyright, database rights, design rights and other intellectual property rights, whether now existing or arising in future — in and to all deliverables, work product and materials created by the Consultant specifically for the Client under this Agreement (the “Client Deliverables”), including the ISMS scope documentation, policies, risk register and risk-treatment plan, Statement of Applicability, internal-audit and management-review records, corrective-action register and evidence pack. This assignment takes effect on the creation of each Client Deliverable and is not conditioned on payment of any fee; to the extent any Client Deliverable does not vest automatically, the Consultant holds it on trust for the Client pending assignment. The Consultant’s sole remedies for non-payment are the debt and dispute-resolution rights in clauses 7 and 17, and not the retention, revocation or revesting of any intellectual property rights. This clause does not assign the Consultant Materials, which are dealt with in clause 11.2.</w:t>
      </w:r>
    </w:p>
    <w:p>
      <w:pPr>
        <w:spacing w:after="120" w:line="276"/>
        <w:jc w:val="both"/>
      </w:pPr>
      <w:r>
        <w:t xml:space="preserve">11.2  Consultant Materials. The Consultant retains ownership of all intellectual property that (a) existed before the Effective Date, or (b) is developed by the Consultant independently of and outside this engagement without use of the Client’s Confidential Information, including the Consultant’s pre-existing methods, templates, tools, checklists and know-how and the sample ISMS pack framework (the “Consultant Materials”). Consultant Materials do not include, and the Consultant shall not characterise as Consultant Materials, any Client Deliverable assigned under clause 11.1. To the extent Consultant Materials are embedded in or necessary to use the Client Deliverables, the Consultant grants the Client a worldwide, perpetual, irrevocable, non-exclusive, royalty-free, fully paid-up licence (with the right to sublicense to the Client’s affiliates, successors, auditors and service providers) to use, copy, modify, maintain and create derivative works of those Consultant Materials for the Client’s ISMS, certification, surveillance-audit and security-operations purposes. This licence survives termination.</w:t>
      </w:r>
    </w:p>
    <w:p>
      <w:pPr>
        <w:spacing w:after="120" w:line="276"/>
        <w:jc w:val="both"/>
      </w:pPr>
      <w:r>
        <w:t xml:space="preserve">11.3  Personal Data. Each Party shall comply with applicable data-protection law, including the Personal Data (Privacy) Ordinance (Cap. 486) of the Hong Kong SAR, in handling personal data under this Agreement. The Consultant shall process personal data made available by the Client only as reasonably necessary to perform the Services and in accordance with the Client’s reasonable written instructions, shall apply appropriate technical and organisational security measures, shall assist the Client (at the Client’s reasonable cost) with data-subject requests and with personal-data breach handling, and shall return or securely delete such personal data on completion of the Services or on the Client’s request, subject to retention required by law. [model knowledge — verify Cap. 486 application]</w:t>
      </w:r>
    </w:p>
    <w:p>
      <w:pPr>
        <w:spacing w:after="120" w:line="276"/>
        <w:jc w:val="both"/>
      </w:pPr>
      <w:r>
        <w:t xml:space="preserve">11.4  Further Assurances. The Consultant shall, at the Client’s request and reasonable expense, promptly do all acts and execute all documents the Client reasonably requires to vest, perfect, record, evidence or enforce the Client’s ownership under clause 11.1, including confirmatory assignments and registration or filing documents, whether during or after the Term. If the Consultant fails to execute any such document within ten (10) business days of a written request, the Consultant irrevocably appoints the Client as its attorney solely to execute that document in the Consultant’s name; this appointment is limited to documents the Consultant is obliged to execute under this clause and is given to secure the Client’s proprietary interest.</w:t>
      </w:r>
    </w:p>
    <w:p>
      <w:pPr>
        <w:spacing w:after="120" w:line="276"/>
        <w:jc w:val="both"/>
      </w:pPr>
      <w:r>
        <w:t xml:space="preserve">11.5  Moral Rights. To the fullest extent permitted by law, including the Copyright Ordinance (Cap. 528) of the Hong Kong SAR, the Consultant unconditionally and irrevocably waives, and undertakes not to assert against the Client or its successors, assignees and licensees, all moral rights and analogous rights (including the rights of attribution and integrity) in the Client Deliverables, and shall procure an equivalent waiver from any subcontractor or other individual who contributes to them. [model knowledge — verify Cap. 528]</w:t>
      </w:r>
    </w:p>
    <w:p>
      <w:pPr>
        <w:spacing w:after="120" w:line="276"/>
        <w:jc w:val="both"/>
      </w:pPr>
      <w:r>
        <w:t xml:space="preserve">11.6  IP Warranties. The Consultant warrants that: (a) the Client Deliverables are original to the Consultant or, where they incorporate Consultant Materials or third-party materials, the Consultant has all rights necessary to assign or licence them as set out in clauses 11.1 and 11.2; (b) the Client Deliverables, and the Client’s authorised use of them for its internal ISMS and certification purposes, do not and will not infringe or misappropriate any copyright, trade secret, database right or other intellectual property right of any third party and (so far as the Consultant is aware, having made reasonable enquiry) do not infringe any third-party patent; and (c) the Client Deliverables do not incorporate any open-source, free or third-party-licensed software or content except as disclosed in writing to the Client with the applicable licence terms, and none of it subjects the Client Deliverables or the Client’s own materials to any obligation to disclose, license or make them available.</w:t>
      </w:r>
    </w:p>
    <w:p>
      <w:pPr>
        <w:spacing w:after="120" w:line="276"/>
        <w:jc w:val="both"/>
      </w:pPr>
      <w:r>
        <w:t xml:space="preserve">11.7  IP Indemnity. The Consultant shall indemnify the Client against losses, damages, liabilities, agreed settlements and reasonable legal costs arising out of any third-party claim that the Client Deliverables, or the Client’s authorised use of them, infringe or misappropriate that third party’s intellectual property rights, provided that the Client (a) promptly notifies the Consultant of the claim, (b) allows the Consultant to control the defence and settlement (save that no settlement imposing a non-indemnified obligation or admission on the Client may be made without the Client’s prior written consent, not to be unreasonably withheld), and (c) provides reasonable cooperation at the Consultant’s expense. This indemnity does not apply to the extent a claim arises from the Client’s modification of a Client Deliverable, or its combination with materials not supplied by the Consultant, where the infringement would not have arisen but for that modification or combination. The Consultant’s total aggregate liability under clauses 11.6 and 11.7 shall not exceed two (2) times the total professional fees paid and payable under this Agreement, and the exclusion of consequential loss in clause 14.1 does not apply to this indemnity.</w:t>
      </w:r>
    </w:p>
    <w:p>
      <w:pPr>
        <w:spacing w:after="120" w:line="276"/>
        <w:jc w:val="both"/>
      </w:pPr>
      <w:r>
        <w:t xml:space="preserve">11.8  No Lien; No Withholding of Client Property. The Consultant shall not assert any lien, charge, set-off or retention over, and shall not withhold delivery of, any deliverable, evidence pack, work-in-progress, the Client’s data, or access to the Client’s own systems, by reason of any dispute (including any fee dispute), and shall on request promptly hand over all such materials in a usable format. Nothing in this clause excuses the Client from paying undisputed amounts when due.</w:t>
      </w:r>
    </w:p>
    <w:p>
      <w:pPr>
        <w:pStyle w:val="Heading1"/>
        <w:pBdr>
          <w:bottom w:val="single" w:color="1F3864" w:sz="4" w:space="6"/>
        </w:pBdr>
      </w:pPr>
      <w:r>
        <w:t xml:space="preserve">12. Change Control</w:t>
      </w:r>
    </w:p>
    <w:p>
      <w:pPr>
        <w:spacing w:after="120" w:line="276"/>
        <w:jc w:val="both"/>
      </w:pPr>
      <w:r>
        <w:t xml:space="preserve">12.1  Any change to the Certification Scope, deliverables, timeline or fees must be agreed in writing (including by email) by both Parties before it takes effect. Until a change is so agreed, the Parties shall continue to perform on the basis of the existing Certification Scope, deliverables, timeline and fees, and no additional fee is payable. No change increases the maximum total professional fee in clause 6.5 unless expressly agreed in a signed writing that refers to this clause 12. Material expansion of scope (for example, adding sites, products or environments) may extend the timeline and adjust the fees, and may affect the achievability of the Target Certification Date.</w:t>
      </w:r>
    </w:p>
    <w:p>
      <w:pPr>
        <w:spacing w:after="120" w:line="276"/>
        <w:jc w:val="both"/>
      </w:pPr>
      <w:r>
        <w:t xml:space="preserve">12.2  Stage-Gate Disputes. If the Parties disagree whether a Schedule B stage gate has been met, either Party may within three (3) business days escalate the matter in writing to the Client’s management sponsor and the Consultant for resolution within a further five (5) business days. Pending resolution, both Parties shall continue to perform so as to protect the Target Certification Date, and any agreed re-plan shall be recorded under clause 12.1. This clause does not displace clause 17, but the Parties shall use it before commencing arbitration over a stage-gate question.</w:t>
      </w:r>
    </w:p>
    <w:p>
      <w:pPr>
        <w:pStyle w:val="Heading1"/>
        <w:pBdr>
          <w:bottom w:val="single" w:color="1F3864" w:sz="4" w:space="6"/>
        </w:pBdr>
      </w:pPr>
      <w:r>
        <w:t xml:space="preserve">13. Termination</w:t>
      </w:r>
    </w:p>
    <w:p>
      <w:pPr>
        <w:spacing w:after="120" w:line="276"/>
        <w:jc w:val="both"/>
      </w:pPr>
      <w:r>
        <w:t xml:space="preserve">13.1  The Client may terminate this Agreement for convenience on fifteen (15) days’ written notice. The Consultant may terminate for convenience only on not less than thirty (30) days’ written notice, and shall during any notice period continue to perform the Services and provide an orderly handover (including all deliverables and work-in-progress in usable form) so as to minimise prejudice to the Target Certification Date.</w:t>
      </w:r>
    </w:p>
    <w:p>
      <w:pPr>
        <w:spacing w:after="120" w:line="276"/>
        <w:jc w:val="both"/>
      </w:pPr>
      <w:r>
        <w:t xml:space="preserve">13.2  Either Party may terminate immediately on written notice if the other materially breaches this Agreement and fails to remedy the breach within ten (10) business days of written notice, or becomes Insolvent. A Party is “Insolvent” if: (a) being an individual, the Party is declared bankrupt, has a bankruptcy petition presented against them, enters any voluntary arrangement or composition with creditors, or is unable to pay their debts as they fall due; (b) being a company, the Party passes a resolution or has an order made for its winding-up (other than a solvent reorganisation), has a receiver, liquidator, administrator or provisional liquidator appointed, is unable to pay its debts within the meaning of applicable insolvency law, or ceases or threatens to cease to carry on business; or (c) any analogous event occurs in any jurisdiction.</w:t>
      </w:r>
    </w:p>
    <w:p>
      <w:pPr>
        <w:spacing w:after="120" w:line="276"/>
        <w:jc w:val="both"/>
      </w:pPr>
      <w:r>
        <w:t xml:space="preserve">13.3  On termination, the Client shall pay the Consultant (a) the full retainer for each whole month of the Term completed before the termination date, (b) a pro-rata portion of the retainer for any partial month by reference to days elapsed to the termination date, and (c) any other Services properly performed to that date and not otherwise covered by the retainer. The certification success fee (clause 6.3) and the early-certification bonus (clause 6.4) are payable only if their respective triggering events occur, including where they occur within thirty (30) days after the end of the Term, provided the ISMS submitted for certification is materially the system documented and prepared by the Consultant under this Agreement. No success fee or early-certification bonus is payable where the Client has terminated under clause 13.2 for the Consultant’s material breach or Insolvency.</w:t>
      </w:r>
    </w:p>
    <w:p>
      <w:pPr>
        <w:spacing w:after="120" w:line="276"/>
        <w:jc w:val="both"/>
      </w:pPr>
      <w:r>
        <w:t xml:space="preserve">13.4  Survival. Clauses 6 and 7 (in respect of amounts accrued or payable), 8, 9, 10, 11, 13.3, 14, 15, 16 (final sentence), 17, 18, 19, 20, 21, 22 and 23 survive termination or expiry of this Agreement for so long as is necessary to give them effect.</w:t>
      </w:r>
    </w:p>
    <w:p>
      <w:pPr>
        <w:pStyle w:val="Heading1"/>
        <w:pBdr>
          <w:bottom w:val="single" w:color="1F3864" w:sz="4" w:space="6"/>
        </w:pBdr>
      </w:pPr>
      <w:r>
        <w:t xml:space="preserve">14. Limitation of Liability</w:t>
      </w:r>
    </w:p>
    <w:p>
      <w:pPr>
        <w:spacing w:after="120" w:line="276"/>
        <w:jc w:val="both"/>
      </w:pPr>
      <w:r>
        <w:t xml:space="preserve">14.1  Neither Party is liable for indirect, incidental, special, consequential or punitive damages, or for loss of profit, revenue, data or goodwill, arising out of or in connection with this Agreement.</w:t>
      </w:r>
    </w:p>
    <w:p>
      <w:pPr>
        <w:spacing w:after="120" w:line="276"/>
        <w:jc w:val="both"/>
      </w:pPr>
      <w:r>
        <w:t xml:space="preserve">14.2  Subject to clauses 14.1, 14.3 and 11.7, the Consultant’s total aggregate liability under or in connection with this Agreement, whether in contract, tort (including negligence), breach of statutory duty or otherwise, shall not exceed the greater of (a) the total professional fees paid and payable to the Consultant under this Agreement, and (b) USD 8,700.</w:t>
      </w:r>
    </w:p>
    <w:p>
      <w:pPr>
        <w:spacing w:after="120" w:line="276"/>
        <w:jc w:val="both"/>
      </w:pPr>
      <w:r>
        <w:t xml:space="preserve">14.3  Nothing in this Agreement excludes or limits liability that cannot lawfully be excluded or limited, including liability for fraud, wilful misconduct, or (in either Party’s case) death or personal injury caused by negligence. In addition, neither the cap in clause 14.2 nor the exclusion of consequential and data-loss damages in clause 14.1 applies to the Consultant’s liability for breach of clause 10 (Confidentiality) or clause 11.3 (Personal Data), for which the Consultant’s liability is unlimited.</w:t>
      </w:r>
    </w:p>
    <w:p>
      <w:pPr>
        <w:spacing w:after="120" w:line="276"/>
        <w:jc w:val="both"/>
      </w:pPr>
      <w:r>
        <w:t xml:space="preserve">14.4  Indemnity. (a) The Consultant shall indemnify the Client against losses, liabilities, damages, costs and expenses (including reasonable legal fees) arising out of any third-party claim to the extent caused by the Consultant’s breach of clause 10 (Confidentiality) or of applicable data-protection law (clause 11.3). (b) The Client shall indemnify the Consultant on the same terms in respect of materials, data and instructions supplied by the Client, to the extent a claim arises from the Client’s breach of law or infringement of a third party’s rights. (c) The indemnified Party shall promptly notify the other of the claim, shall not admit liability or settle without the indemnifier’s prior written consent (not to be unreasonably withheld), and shall give the indemnifier reasonable conduct of the defence and reasonable cooperation. IP-infringement claims are governed by clause 11.7.</w:t>
      </w:r>
    </w:p>
    <w:p>
      <w:pPr>
        <w:spacing w:after="120" w:line="276"/>
        <w:jc w:val="both"/>
      </w:pPr>
      <w:r>
        <w:t xml:space="preserve">14.5  Insurance. During the Term, and using reasonable endeavours to maintain such cover for two (2) years thereafter, the Consultant shall maintain professional-indemnity (errors and omissions) insurance of not less than USD 100,000 per claim covering the Services, and, to the extent commercially available on reasonable terms, cyber-liability insurance covering the Consultant’s obligations under clauses 10 and 11.3. On the Client’s reasonable written request (not more than once per year), the Consultant shall provide a certificate of insurance. A lapse of cover outside the Consultant’s reasonable control is not of itself a material breach under clause 13.2, but the Consultant shall promptly notify the Client and use reasonable endeavours to reinstate equivalent cover. [review — confirm PI/E&amp;O and cyber cover are obtainable by an individual consultant in Bangladesh before finalising]</w:t>
      </w:r>
    </w:p>
    <w:p>
      <w:pPr>
        <w:pStyle w:val="Heading1"/>
        <w:pBdr>
          <w:bottom w:val="single" w:color="1F3864" w:sz="4" w:space="6"/>
        </w:pBdr>
      </w:pPr>
      <w:r>
        <w:t xml:space="preserve">15. Non-Solicitation</w:t>
      </w:r>
    </w:p>
    <w:p>
      <w:pPr>
        <w:spacing w:after="120" w:line="276"/>
        <w:jc w:val="both"/>
      </w:pPr>
      <w:r>
        <w:t xml:space="preserve">During the Term and for six (6) months thereafter, neither Party shall knowingly solicit for employment the other Party’s key personnel directly involved in the Services without the other Party’s written consent. General public advertising not targeted at such personnel is permitted.</w:t>
      </w:r>
    </w:p>
    <w:p>
      <w:pPr>
        <w:pStyle w:val="Heading1"/>
        <w:pBdr>
          <w:bottom w:val="single" w:color="1F3864" w:sz="4" w:space="6"/>
        </w:pBdr>
      </w:pPr>
      <w:r>
        <w:t xml:space="preserve">16. Force Majeure</w:t>
      </w:r>
    </w:p>
    <w:p>
      <w:pPr>
        <w:spacing w:after="120" w:line="276"/>
        <w:jc w:val="both"/>
      </w:pPr>
      <w:r>
        <w:t xml:space="preserve">Neither Party is liable for delay or failure to perform (other than payment obligations) caused by events beyond its reasonable control, including acts of God, natural disaster, war, civil unrest, epidemic, government action, internet or power outage, or failure of third-party services. The affected Party shall notify the other promptly and use reasonable efforts to mitigate; timeline dates, including the Target Certification Date and the Schedule B dates, shall be extended by a period equal to the delay. A delay or failure excused under this clause is not a breach and does not of itself forfeit the early-certification bonus. If a Force Majeure event continues for more than thirty (30) consecutive days, either Party may terminate this Agreement on written notice, in which case clause 13.3 applies to amounts accrued to the date of termination.</w:t>
      </w:r>
    </w:p>
    <w:p>
      <w:pPr>
        <w:pStyle w:val="Heading1"/>
        <w:pBdr>
          <w:bottom w:val="single" w:color="1F3864" w:sz="4" w:space="6"/>
        </w:pBdr>
      </w:pPr>
      <w:r>
        <w:t xml:space="preserve">17. Governing Law and Disputes</w:t>
      </w:r>
    </w:p>
    <w:p>
      <w:pPr>
        <w:spacing w:after="120" w:line="276"/>
        <w:jc w:val="both"/>
      </w:pPr>
      <w:r>
        <w:t xml:space="preserve">17.1  This Agreement, and any non-contractual obligations, claims or disputes arising out of or in connection with it or its subject matter, are governed by and construed in accordance with the laws of the Hong Kong Special Administrative Region (the “Hong Kong SAR”), without regard to its conflict-of-laws rules.</w:t>
      </w:r>
    </w:p>
    <w:p>
      <w:pPr>
        <w:spacing w:after="120" w:line="276"/>
        <w:jc w:val="both"/>
      </w:pPr>
      <w:r>
        <w:t xml:space="preserve">17.2  The Parties shall first attempt to resolve any dispute amicably through good-faith negotiation. Failing resolution within thirty (30) days, the dispute shall be finally settled by arbitration administered by the Hong Kong International Arbitration Centre (“HKIAC”) under the HKIAC Administered Arbitration Rules in force at the commencement of the arbitration (currently the 2024 Rules), seated in the Hong Kong SAR, conducted in English before a sole arbitrator. The award is final, binding and not subject to appeal, and each Party consents to its recognition and enforcement by any court of competent jurisdiction, including the courts of the Hong Kong SAR and of Bangladesh (each a party to the New York Convention), and waives, to the extent permitted by law, any objection to such enforcement and any defence of sovereign or other immunity from jurisdiction or execution. Nothing in this clause prevents either Party from applying to any court of competent jurisdiction (including the courts of the Hong Kong SAR or of Bangladesh) for interim, urgent or conservatory relief before or after the tribunal is constituted, and such application is not a waiver of this agreement to arbitrate. The arbitration, including its existence, all submissions, evidence and the award, is confidential, save as required by law or to enforce or challenge the award. Pending resolution, both Parties shall continue to perform their non-disputed obligations.</w:t>
      </w:r>
    </w:p>
    <w:p>
      <w:pPr>
        <w:pStyle w:val="Heading1"/>
        <w:pBdr>
          <w:bottom w:val="single" w:color="1F3864" w:sz="4" w:space="6"/>
        </w:pBdr>
      </w:pPr>
      <w:r>
        <w:t xml:space="preserve">18. General Provisions</w:t>
      </w:r>
    </w:p>
    <w:p>
      <w:pPr>
        <w:spacing w:after="120" w:line="276"/>
        <w:jc w:val="both"/>
      </w:pPr>
      <w:r>
        <w:t xml:space="preserve">18.1  Notices. Notices shall be in writing and sent to the email addresses on page 1 (or as updated in writing) and are deemed received on the next business day.</w:t>
      </w:r>
    </w:p>
    <w:p>
      <w:pPr>
        <w:spacing w:after="120" w:line="276"/>
        <w:jc w:val="both"/>
      </w:pPr>
      <w:r>
        <w:t xml:space="preserve">18.2  Entire Agreement. This Agreement, with its Schedules, is the entire agreement between the Parties on its subject matter and supersedes all prior discussions and proposals.</w:t>
      </w:r>
    </w:p>
    <w:p>
      <w:pPr>
        <w:spacing w:after="120" w:line="276"/>
        <w:jc w:val="both"/>
      </w:pPr>
      <w:r>
        <w:t xml:space="preserve">18.3  Amendments. Any amendment must be in writing and signed (including by electronic signature or email confirmation) by both Parties.</w:t>
      </w:r>
    </w:p>
    <w:p>
      <w:pPr>
        <w:spacing w:after="120" w:line="276"/>
        <w:jc w:val="both"/>
      </w:pPr>
      <w:r>
        <w:t xml:space="preserve">18.4  Assignment. Neither Party may assign this Agreement without the other’s prior written consent, not to be unreasonably withheld.</w:t>
      </w:r>
    </w:p>
    <w:p>
      <w:pPr>
        <w:spacing w:after="120" w:line="276"/>
        <w:jc w:val="both"/>
      </w:pPr>
      <w:r>
        <w:t xml:space="preserve">18.5  Severability. If any provision is held unenforceable, the remainder continues in full force, and the provision shall be modified to the minimum extent necessary to make it enforceable.</w:t>
      </w:r>
    </w:p>
    <w:p>
      <w:pPr>
        <w:spacing w:after="120" w:line="276"/>
        <w:jc w:val="both"/>
      </w:pPr>
      <w:r>
        <w:t xml:space="preserve">18.6  Counterparts &amp; E-Signature. This Agreement may be executed in counterparts and by electronic signature, each of which is deemed an original and together one instrument.</w:t>
      </w:r>
    </w:p>
    <w:p>
      <w:pPr>
        <w:spacing w:after="120" w:line="276"/>
        <w:jc w:val="both"/>
      </w:pPr>
      <w:r>
        <w:t xml:space="preserve">18.7  Schedules. Schedules A, B and C form an integral part of this Agreement. In case of conflict, the body of this Agreement prevails over the Schedules.</w:t>
      </w:r>
    </w:p>
    <w:p>
      <w:pPr>
        <w:spacing w:after="120" w:line="276"/>
        <w:jc w:val="both"/>
      </w:pPr>
      <w:r>
        <w:t xml:space="preserve">18.8  Third-Party Rights. A person who is not a Party has no right under the Contracts (Rights of Third Parties) Ordinance (Cap. 623) of the Hong Kong SAR to enforce or enjoy the benefit of any term of this Agreement, and no third party’s consent is required to vary, rescind or terminate it. [model knowledge — verify Cap. 623]</w:t>
      </w:r>
    </w:p>
    <w:p>
      <w:pPr>
        <w:spacing w:after="120" w:line="276"/>
        <w:jc w:val="both"/>
      </w:pPr>
      <w:r>
        <w:t xml:space="preserve">18.9  Language. This Agreement is made in the English language; the English-language version governs and prevails over any translation, and all notices, schedules, deliverables and communications shall be in English.</w:t>
      </w:r>
    </w:p>
    <w:p>
      <w:pPr>
        <w:spacing w:after="120" w:line="276"/>
        <w:jc w:val="both"/>
      </w:pPr>
      <w:r>
        <w:t xml:space="preserve">18.10  No Waiver; Cumulative Remedies. No failure or delay in exercising a right is a waiver of it, and no single or partial exercise precludes any further exercise. The Parties’ rights and remedies under this Agreement are cumulative and not exclusive of any rights or remedies provided by law.</w:t>
      </w:r>
    </w:p>
    <w:p>
      <w:pPr>
        <w:spacing w:after="120" w:line="276"/>
        <w:jc w:val="both"/>
      </w:pPr>
      <w:r>
        <w:t xml:space="preserve">18.11  Mutual Representations. Each Party represents and warrants that: (a) it has full power, capacity and authority to enter into and perform this Agreement and the person(s) signing are authorised to bind it; (b) this Agreement is its legal, valid and binding obligation; and (c) its entry into and performance of this Agreement does not breach any other agreement, obligation, court order or restrictive covenant by which it is bound. The Consultant further represents that the Consultant is free to provide the Services and is not subject to any non-compete, confidentiality or other obligation that would conflict with them.</w:t>
      </w:r>
    </w:p>
    <w:p>
      <w:pPr>
        <w:pStyle w:val="Heading1"/>
        <w:pBdr>
          <w:bottom w:val="single" w:color="1F3864" w:sz="4" w:space="6"/>
        </w:pBdr>
      </w:pPr>
      <w:r>
        <w:t xml:space="preserve">19. Anti-Bribery and Anti-Corruption</w:t>
      </w:r>
    </w:p>
    <w:p>
      <w:pPr>
        <w:spacing w:after="120" w:line="276"/>
        <w:jc w:val="both"/>
      </w:pPr>
      <w:r>
        <w:t xml:space="preserve">19.1  The Consultant shall comply with all anti-bribery and anti-corruption laws applicable to either Party or to the Services, including the Prevention of Bribery Ordinance (Cap. 201) of the Hong Kong SAR. [model knowledge — verify Cap. 201]</w:t>
      </w:r>
    </w:p>
    <w:p>
      <w:pPr>
        <w:spacing w:after="120" w:line="276"/>
        <w:jc w:val="both"/>
      </w:pPr>
      <w:r>
        <w:t xml:space="preserve">19.2  The Consultant shall not, directly or indirectly, offer, promise, give, request, accept or authorise any bribe, kickback, facilitation payment or other improper advantage to or from any person — including any official, employee or representative of a certification body, auditor, supplier or government authority — in connection with this Agreement, including to influence the selection of a certification body or the conduct or outcome of any Stage 1 or Stage 2 audit.</w:t>
      </w:r>
    </w:p>
    <w:p>
      <w:pPr>
        <w:spacing w:after="120" w:line="276"/>
        <w:jc w:val="both"/>
      </w:pPr>
      <w:r>
        <w:t xml:space="preserve">19.3  Breach of this clause 19 is a material breach entitling the Client to terminate immediately under clause 13.2, and the Consultant shall indemnify the Client against losses, penalties, fines and reasonable costs arising from the Consultant’s breach. This liability is not subject to the cap in clause 14.2.</w:t>
      </w:r>
    </w:p>
    <w:p>
      <w:pPr>
        <w:pStyle w:val="Heading1"/>
        <w:pBdr>
          <w:bottom w:val="single" w:color="1F3864" w:sz="4" w:space="6"/>
        </w:pBdr>
      </w:pPr>
      <w:r>
        <w:t xml:space="preserve">20. Sanctions and Export Control</w:t>
      </w:r>
    </w:p>
    <w:p>
      <w:pPr>
        <w:spacing w:after="120" w:line="276"/>
        <w:jc w:val="both"/>
      </w:pPr>
      <w:r>
        <w:t xml:space="preserve">20.1  Each Party represents and warrants that, as at the Effective Date and throughout the Term, neither it nor (so far as it is aware) any person that owns or controls it is the target of, or listed under, any trade or economic sanctions administered by the United Nations, the Hong Kong SAR, the United States (including OFAC), the United Kingdom or the European Union, and that it is not ordinarily resident in a comprehensively sanctioned jurisdiction.</w:t>
      </w:r>
    </w:p>
    <w:p>
      <w:pPr>
        <w:spacing w:after="120" w:line="276"/>
        <w:jc w:val="both"/>
      </w:pPr>
      <w:r>
        <w:t xml:space="preserve">20.2  Each Party shall comply with all sanctions and export-control laws applicable to it in performing this Agreement. If a Party becomes a sanctions target, or if continued performance or payment would breach sanctions applicable to a Party, the other Party may suspend performance and/or terminate immediately on written notice without liability for the suspension or termination itself; the Client’s obligation to pay for Services properly performed is suspended (and not extinguished) only for so long as, and to the extent that, payment is legally prohibited, and shall be settled promptly once lawful.</w:t>
      </w:r>
    </w:p>
    <w:p>
      <w:pPr>
        <w:pStyle w:val="Heading1"/>
        <w:pBdr>
          <w:bottom w:val="single" w:color="1F3864" w:sz="4" w:space="6"/>
        </w:pBdr>
      </w:pPr>
      <w:r>
        <w:t xml:space="preserve">21. Conflicts of Interest</w:t>
      </w:r>
    </w:p>
    <w:p>
      <w:pPr>
        <w:spacing w:after="120" w:line="276"/>
        <w:jc w:val="both"/>
      </w:pPr>
      <w:r>
        <w:t xml:space="preserve">The Consultant may provide similar services to other clients, provided that the Consultant: (a) does not use or disclose the Client’s Confidential Information or Security Findings for any other client; (b) promptly discloses to the Client in writing any actual or potential conflict of interest, including any engagement by a direct competitor of the Client in the AI legal-technology field that could reasonably be affected by the Consultant’s knowledge of the Client’s security posture; and (c) does not, during the Term and for six (6) months thereafter, perform information-security advisory services for any direct competitor of the Client using methodologies or learnings derived specifically from the Client’s environment. The Client may, acting reasonably, require the Consultant to put in place ethical-wall arrangements to manage a disclosed conflict.</w:t>
      </w:r>
    </w:p>
    <w:p>
      <w:pPr>
        <w:pStyle w:val="Heading1"/>
        <w:pBdr>
          <w:bottom w:val="single" w:color="1F3864" w:sz="4" w:space="6"/>
        </w:pBdr>
      </w:pPr>
      <w:r>
        <w:t xml:space="preserve">22. Publicity and Use of Name</w:t>
      </w:r>
    </w:p>
    <w:p>
      <w:pPr>
        <w:spacing w:after="120" w:line="276"/>
        <w:jc w:val="both"/>
      </w:pPr>
      <w:r>
        <w:t xml:space="preserve">Neither Party shall use the other Party’s name, logo, trade marks or the existence or details of this engagement in any marketing, website, case study, portfolio, press release, social-media post or client reference without the other Party’s prior written consent (email sufficing), which may be withheld in that Party’s absolute discretion. Any consent is limited to the specific use approved and may be revoked on reasonable notice. This clause survives termination.</w:t>
      </w:r>
    </w:p>
    <w:p>
      <w:pPr>
        <w:pStyle w:val="Heading1"/>
        <w:pBdr>
          <w:bottom w:val="single" w:color="1F3864" w:sz="4" w:space="6"/>
        </w:pBdr>
      </w:pPr>
      <w:r>
        <w:t xml:space="preserve">23. Non-Disparagement</w:t>
      </w:r>
    </w:p>
    <w:p>
      <w:pPr>
        <w:spacing w:after="120" w:line="276"/>
        <w:jc w:val="both"/>
      </w:pPr>
      <w:r>
        <w:t xml:space="preserve">During the Term and thereafter, neither Party shall make or publish any statement that disparages or is reasonably likely to harm the reputation, business or professional standing of the other Party, its products, services or (in the Client’s case) its directors and personnel. Nothing in this clause prevents a Party from making truthful statements required by law or in any legal or arbitral proceeding, or from giving good-faith feedback directly to the other Party. This clause survives termination.</w:t>
      </w:r>
    </w:p>
    <w:p>
      <w:pPr>
        <w:pStyle w:val="Heading1"/>
        <w:pageBreakBefore/>
      </w:pPr>
      <w:r>
        <w:t xml:space="preserve">Signatures</w:t>
      </w:r>
    </w:p>
    <w:p>
      <w:pPr>
        <w:spacing w:after="120" w:line="276"/>
        <w:jc w:val="both"/>
      </w:pPr>
      <w:r>
        <w:t xml:space="preserve">Executed by the duly authorised representatives of the Parties as of the Effective Date.</w:t>
      </w:r>
    </w:p>
    <w:p>
      <w:pPr>
        <w:spacing w:after="60" w:before="200"/>
      </w:pPr>
      <w:r>
        <w:rPr>
          <w:b/>
          <w:bCs/>
          <w:color w:val="1F3864"/>
          <w:sz w:val="22"/>
          <w:szCs w:val="22"/>
        </w:rPr>
        <w:t xml:space="preserve">FOR THE CLIENT — Makebell Limited</w:t>
      </w:r>
    </w:p>
    <w:p>
      <w:pPr>
        <w:spacing w:after="120"/>
      </w:pPr>
      <w:r>
        <w:rPr>
          <w:sz w:val="20"/>
          <w:szCs w:val="20"/>
        </w:rPr>
        <w:t xml:space="preserve">Signed by the duly authorised directors of Makebell Limited:</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40"/>
              <w:left w:type="dxa" w:w="60"/>
              <w:bottom w:type="dxa" w:w="40"/>
              <w:right w:type="dxa" w:w="240"/>
            </w:tcMar>
          </w:tcPr>
          <w:p>
            <w:pPr>
              <w:pBdr>
                <w:bottom w:val="single" w:color="808080" w:sz="6"/>
              </w:pBdr>
              <w:spacing w:after="30" w:before="360"/>
            </w:pPr>
            <w:r>
              <w:t xml:space="preserve"> </w:t>
            </w:r>
          </w:p>
          <w:p>
            <w:pPr>
              <w:spacing w:after="30"/>
            </w:pPr>
            <w:r>
              <w:rPr>
                <w:b/>
                <w:bCs/>
                <w:color w:val="000000"/>
                <w:sz w:val="20"/>
                <w:szCs w:val="20"/>
              </w:rPr>
              <w:t xml:space="preserve">Mr. Ronald Yu</w:t>
            </w:r>
          </w:p>
          <w:p>
            <w:pPr>
              <w:spacing w:after="30"/>
            </w:pPr>
            <w:r>
              <w:rPr>
                <w:b w:val="false"/>
                <w:bCs w:val="false"/>
                <w:color w:val="595959"/>
                <w:sz w:val="20"/>
                <w:szCs w:val="20"/>
              </w:rPr>
              <w:t xml:space="preserve">Director</w:t>
            </w:r>
          </w:p>
          <w:p>
            <w:pPr>
              <w:spacing w:after="30"/>
            </w:pPr>
            <w:r>
              <w:rPr>
                <w:b w:val="false"/>
                <w:bCs w:val="false"/>
                <w:color w:val="595959"/>
                <w:sz w:val="20"/>
                <w:szCs w:val="20"/>
              </w:rPr>
              <w:t xml:space="preserve">for and on behalf of Makebell Limited</w:t>
            </w:r>
          </w:p>
          <w:p>
            <w:pPr>
              <w:spacing w:after="30"/>
            </w:pPr>
            <w:r>
              <w:rPr>
                <w:b w:val="false"/>
                <w:bCs w:val="false"/>
                <w:color w:val="595959"/>
                <w:sz w:val="20"/>
                <w:szCs w:val="20"/>
              </w:rPr>
              <w:t xml:space="preserve">Date: ___________________</w:t>
            </w:r>
          </w:p>
        </w:tc>
        <w:tc>
          <w:tcPr>
            <w:tcW w:type="dxa" w:w="4680"/>
            <w:tcBorders>
              <w:top w:val="none"/>
              <w:left w:val="none"/>
              <w:bottom w:val="none"/>
              <w:right w:val="none"/>
            </w:tcBorders>
            <w:tcMar>
              <w:top w:type="dxa" w:w="40"/>
              <w:left w:type="dxa" w:w="60"/>
              <w:bottom w:type="dxa" w:w="40"/>
              <w:right w:type="dxa" w:w="240"/>
            </w:tcMar>
          </w:tcPr>
          <w:p>
            <w:pPr>
              <w:pBdr>
                <w:bottom w:val="single" w:color="808080" w:sz="6"/>
              </w:pBdr>
              <w:spacing w:after="30" w:before="360"/>
            </w:pPr>
            <w:r>
              <w:t xml:space="preserve"> </w:t>
            </w:r>
          </w:p>
          <w:p>
            <w:pPr>
              <w:spacing w:after="30"/>
            </w:pPr>
            <w:r>
              <w:rPr>
                <w:b/>
                <w:bCs/>
                <w:color w:val="000000"/>
                <w:sz w:val="20"/>
                <w:szCs w:val="20"/>
              </w:rPr>
              <w:t xml:space="preserve">Mr. Kenneth Yip</w:t>
            </w:r>
          </w:p>
          <w:p>
            <w:pPr>
              <w:spacing w:after="30"/>
            </w:pPr>
            <w:r>
              <w:rPr>
                <w:b w:val="false"/>
                <w:bCs w:val="false"/>
                <w:color w:val="595959"/>
                <w:sz w:val="20"/>
                <w:szCs w:val="20"/>
              </w:rPr>
              <w:t xml:space="preserve">Director</w:t>
            </w:r>
          </w:p>
          <w:p>
            <w:pPr>
              <w:spacing w:after="30"/>
            </w:pPr>
            <w:r>
              <w:rPr>
                <w:b w:val="false"/>
                <w:bCs w:val="false"/>
                <w:color w:val="595959"/>
                <w:sz w:val="20"/>
                <w:szCs w:val="20"/>
              </w:rPr>
              <w:t xml:space="preserve">for and on behalf of Makebell Limited</w:t>
            </w:r>
          </w:p>
          <w:p>
            <w:pPr>
              <w:spacing w:after="30"/>
            </w:pPr>
            <w:r>
              <w:rPr>
                <w:b w:val="false"/>
                <w:bCs w:val="false"/>
                <w:color w:val="595959"/>
                <w:sz w:val="20"/>
                <w:szCs w:val="20"/>
              </w:rPr>
              <w:t xml:space="preserve">Date: ___________________</w:t>
            </w:r>
          </w:p>
        </w:tc>
      </w:tr>
    </w:tbl>
    <w:p>
      <w:pPr>
        <w:spacing w:after="60" w:before="360"/>
      </w:pPr>
      <w:r>
        <w:rPr>
          <w:b/>
          <w:bCs/>
          <w:color w:val="1F3864"/>
          <w:sz w:val="22"/>
          <w:szCs w:val="22"/>
        </w:rPr>
        <w:t xml:space="preserve">FOR THE CONSULTANT</w:t>
      </w:r>
    </w:p>
    <w:tbl>
      <w:tblPr>
        <w:tblW w:type="dxa" w:w="936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Mar>
              <w:top w:type="dxa" w:w="40"/>
              <w:left w:type="dxa" w:w="60"/>
              <w:bottom w:type="dxa" w:w="40"/>
              <w:right w:type="dxa" w:w="240"/>
            </w:tcMar>
          </w:tcPr>
          <w:p>
            <w:pPr>
              <w:pBdr>
                <w:bottom w:val="single" w:color="808080" w:sz="6"/>
              </w:pBdr>
              <w:spacing w:after="30" w:before="360"/>
            </w:pPr>
            <w:r>
              <w:t xml:space="preserve"> </w:t>
            </w:r>
          </w:p>
          <w:p>
            <w:pPr>
              <w:spacing w:after="30"/>
            </w:pPr>
            <w:r>
              <w:rPr>
                <w:b/>
                <w:bCs/>
                <w:color w:val="000000"/>
                <w:sz w:val="20"/>
                <w:szCs w:val="20"/>
              </w:rPr>
              <w:t xml:space="preserve">Mizanur Rahman Asif</w:t>
            </w:r>
          </w:p>
          <w:p>
            <w:pPr>
              <w:spacing w:after="30"/>
            </w:pPr>
            <w:r>
              <w:rPr>
                <w:b w:val="false"/>
                <w:bCs w:val="false"/>
                <w:color w:val="595959"/>
                <w:sz w:val="20"/>
                <w:szCs w:val="20"/>
              </w:rPr>
              <w:t xml:space="preserve">Independent Information-Security Consultant</w:t>
            </w:r>
          </w:p>
          <w:p>
            <w:pPr>
              <w:spacing w:after="30"/>
            </w:pPr>
            <w:r>
              <w:rPr>
                <w:b w:val="false"/>
                <w:bCs w:val="false"/>
                <w:color w:val="595959"/>
                <w:sz w:val="20"/>
                <w:szCs w:val="20"/>
              </w:rPr>
              <w:t xml:space="preserve">Mobile: +880 1837-731749</w:t>
            </w:r>
          </w:p>
          <w:p>
            <w:pPr>
              <w:spacing w:after="30"/>
            </w:pPr>
            <w:r>
              <w:rPr>
                <w:b w:val="false"/>
                <w:bCs w:val="false"/>
                <w:color w:val="595959"/>
                <w:sz w:val="20"/>
                <w:szCs w:val="20"/>
              </w:rPr>
              <w:t xml:space="preserve">Date: ___________________</w:t>
            </w:r>
          </w:p>
        </w:tc>
        <w:tc>
          <w:tcPr>
            <w:tcW w:type="dxa" w:w="4680"/>
            <w:tcBorders>
              <w:top w:val="none"/>
              <w:left w:val="none"/>
              <w:bottom w:val="none"/>
              <w:right w:val="none"/>
            </w:tcBorders>
          </w:tcPr>
          <w:p>
            <w:r>
              <w:t xml:space="preserve"/>
            </w:r>
          </w:p>
        </w:tc>
      </w:tr>
    </w:tbl>
    <w:p>
      <w:pPr>
        <w:pStyle w:val="Heading1"/>
        <w:pageBreakBefore/>
      </w:pPr>
      <w:r>
        <w:t xml:space="preserve">Schedule A — Scope of Services</w:t>
      </w:r>
    </w:p>
    <w:p>
      <w:pPr>
        <w:spacing w:after="120" w:line="276"/>
        <w:jc w:val="both"/>
      </w:pPr>
      <w:r>
        <w:t xml:space="preserve">The Consultant shall deliver the following over the six-month programme. The Consultant owns the documentation and audit-preparation workstreams and directs the Client’s personnel in operating the controls.</w:t>
      </w:r>
    </w:p>
    <w:p>
      <w:pPr>
        <w:pStyle w:val="Heading2"/>
      </w:pPr>
      <w:r>
        <w:t xml:space="preserve">A.1  Management System (Clauses 4–10)</w:t>
      </w:r>
    </w:p>
    <w:p>
      <w:pPr>
        <w:pStyle w:val="ListParagraph"/>
        <w:numPr>
          <w:ilvl w:val="0"/>
          <w:numId w:val="3"/>
        </w:numPr>
        <w:spacing w:after="60" w:line="276"/>
        <w:jc w:val="both"/>
      </w:pPr>
      <w:r>
        <w:t xml:space="preserve">Define the organisational context, interested parties and ISMS scope (single product/service/environment for the first certificate).</w:t>
      </w:r>
    </w:p>
    <w:p>
      <w:pPr>
        <w:pStyle w:val="ListParagraph"/>
        <w:numPr>
          <w:ilvl w:val="0"/>
          <w:numId w:val="3"/>
        </w:numPr>
        <w:spacing w:after="60" w:line="276"/>
        <w:jc w:val="both"/>
      </w:pPr>
      <w:r>
        <w:t xml:space="preserve">Establish ISMS leadership, roles, the ISMS owner and management sponsor.</w:t>
      </w:r>
    </w:p>
    <w:p>
      <w:pPr>
        <w:pStyle w:val="ListParagraph"/>
        <w:numPr>
          <w:ilvl w:val="0"/>
          <w:numId w:val="3"/>
        </w:numPr>
        <w:spacing w:after="60" w:line="276"/>
        <w:jc w:val="both"/>
      </w:pPr>
      <w:r>
        <w:t xml:space="preserve">Risk assessment and risk treatment using the Client’s real data; risk-acceptance criteria agreed with leadership.</w:t>
      </w:r>
    </w:p>
    <w:p>
      <w:pPr>
        <w:pStyle w:val="ListParagraph"/>
        <w:numPr>
          <w:ilvl w:val="0"/>
          <w:numId w:val="3"/>
        </w:numPr>
        <w:spacing w:after="60" w:line="276"/>
        <w:jc w:val="both"/>
      </w:pPr>
      <w:r>
        <w:t xml:space="preserve">Statement of Applicability (SoA) — the central audit document — finalised and signed.</w:t>
      </w:r>
    </w:p>
    <w:p>
      <w:pPr>
        <w:pStyle w:val="ListParagraph"/>
        <w:numPr>
          <w:ilvl w:val="0"/>
          <w:numId w:val="3"/>
        </w:numPr>
        <w:spacing w:after="60" w:line="276"/>
        <w:jc w:val="both"/>
      </w:pPr>
      <w:r>
        <w:t xml:space="preserve">Information security objectives, monitoring, measurement, internal audit, management review and continual improvement.</w:t>
      </w:r>
    </w:p>
    <w:p>
      <w:pPr>
        <w:pStyle w:val="Heading2"/>
      </w:pPr>
      <w:r>
        <w:t xml:space="preserve">A.2  Annex A Controls (all 93 controls)</w:t>
      </w:r>
    </w:p>
    <w:p>
      <w:pPr>
        <w:pStyle w:val="ListParagraph"/>
        <w:numPr>
          <w:ilvl w:val="0"/>
          <w:numId w:val="3"/>
        </w:numPr>
        <w:spacing w:after="60" w:line="276"/>
        <w:jc w:val="both"/>
      </w:pPr>
      <w:r>
        <w:t xml:space="preserve">Gap assessment against all 93 Annex A controls; RAG-rated gap report.</w:t>
      </w:r>
    </w:p>
    <w:p>
      <w:pPr>
        <w:pStyle w:val="ListParagraph"/>
        <w:numPr>
          <w:ilvl w:val="0"/>
          <w:numId w:val="3"/>
        </w:numPr>
        <w:spacing w:after="60" w:line="276"/>
        <w:jc w:val="both"/>
      </w:pPr>
      <w:r>
        <w:t xml:space="preserve">Implementation guidance for priority controls: MFA, logging and monitoring, access reviews, secure development practices, verified backups, vendor/supplier risk management, and joiner/mover/leaver (JML) processes.</w:t>
      </w:r>
    </w:p>
    <w:p>
      <w:pPr>
        <w:pStyle w:val="ListParagraph"/>
        <w:numPr>
          <w:ilvl w:val="0"/>
          <w:numId w:val="3"/>
        </w:numPr>
        <w:spacing w:after="60" w:line="276"/>
        <w:jc w:val="both"/>
      </w:pPr>
      <w:r>
        <w:t xml:space="preserve">Stand-up of the compliance/automation platform so that evidence collects automatically.</w:t>
      </w:r>
    </w:p>
    <w:p>
      <w:pPr>
        <w:pStyle w:val="Heading2"/>
      </w:pPr>
      <w:r>
        <w:t xml:space="preserve">A.3  Operate, Test and Assure</w:t>
      </w:r>
    </w:p>
    <w:p>
      <w:pPr>
        <w:pStyle w:val="ListParagraph"/>
        <w:numPr>
          <w:ilvl w:val="0"/>
          <w:numId w:val="3"/>
        </w:numPr>
        <w:spacing w:after="60" w:line="276"/>
        <w:jc w:val="both"/>
      </w:pPr>
      <w:r>
        <w:t xml:space="preserve">Security awareness training delivered to all staff and recorded.</w:t>
      </w:r>
    </w:p>
    <w:p>
      <w:pPr>
        <w:pStyle w:val="ListParagraph"/>
        <w:numPr>
          <w:ilvl w:val="0"/>
          <w:numId w:val="3"/>
        </w:numPr>
        <w:spacing w:after="60" w:line="276"/>
        <w:jc w:val="both"/>
      </w:pPr>
      <w:r>
        <w:t xml:space="preserve">Business continuity / disaster recovery test executed and documented.</w:t>
      </w:r>
    </w:p>
    <w:p>
      <w:pPr>
        <w:pStyle w:val="ListParagraph"/>
        <w:numPr>
          <w:ilvl w:val="0"/>
          <w:numId w:val="3"/>
        </w:numPr>
        <w:spacing w:after="60" w:line="276"/>
        <w:jc w:val="both"/>
      </w:pPr>
      <w:r>
        <w:t xml:space="preserve">First access and supplier reviews completed; 30–60 days of monitoring, incident and change records accrued.</w:t>
      </w:r>
    </w:p>
    <w:p>
      <w:pPr>
        <w:pStyle w:val="ListParagraph"/>
        <w:numPr>
          <w:ilvl w:val="0"/>
          <w:numId w:val="3"/>
        </w:numPr>
        <w:spacing w:after="60" w:line="276"/>
        <w:jc w:val="both"/>
      </w:pPr>
      <w:r>
        <w:t xml:space="preserve">Internal audit conducted; findings logged to a corrective-action register; management review held with real metrics.</w:t>
      </w:r>
    </w:p>
    <w:p>
      <w:pPr>
        <w:pStyle w:val="ListParagraph"/>
        <w:numPr>
          <w:ilvl w:val="0"/>
          <w:numId w:val="3"/>
        </w:numPr>
        <w:spacing w:after="60" w:line="276"/>
        <w:jc w:val="both"/>
      </w:pPr>
      <w:r>
        <w:t xml:space="preserve">Black-box penetration test of applications and servers coordinated; critical and high findings remediated and re-tested.</w:t>
      </w:r>
    </w:p>
    <w:p>
      <w:pPr>
        <w:pStyle w:val="Heading2"/>
      </w:pPr>
      <w:r>
        <w:t xml:space="preserve">A.4  Certification Audit</w:t>
      </w:r>
    </w:p>
    <w:p>
      <w:pPr>
        <w:pStyle w:val="ListParagraph"/>
        <w:numPr>
          <w:ilvl w:val="0"/>
          <w:numId w:val="3"/>
        </w:numPr>
        <w:spacing w:after="60" w:line="276"/>
        <w:jc w:val="both"/>
      </w:pPr>
      <w:r>
        <w:t xml:space="preserve">Engage, evaluate and shortlist accredited certification bodies on the Client’s behalf and manage early booking of the audit; the Client contracts with and pays the chosen body.</w:t>
      </w:r>
    </w:p>
    <w:p>
      <w:pPr>
        <w:pStyle w:val="ListParagraph"/>
        <w:numPr>
          <w:ilvl w:val="0"/>
          <w:numId w:val="3"/>
        </w:numPr>
        <w:spacing w:after="60" w:line="276"/>
        <w:jc w:val="both"/>
      </w:pPr>
      <w:r>
        <w:t xml:space="preserve">Stage 1 (documentation and readiness) audit support and immediate closure of observations.</w:t>
      </w:r>
    </w:p>
    <w:p>
      <w:pPr>
        <w:pStyle w:val="ListParagraph"/>
        <w:numPr>
          <w:ilvl w:val="0"/>
          <w:numId w:val="3"/>
        </w:numPr>
        <w:spacing w:after="60" w:line="276"/>
        <w:jc w:val="both"/>
      </w:pPr>
      <w:r>
        <w:t xml:space="preserve">Stage 2 (control effectiveness) audit — management of auditor logistics and evidence presentation.</w:t>
      </w:r>
    </w:p>
    <w:p>
      <w:pPr>
        <w:pStyle w:val="ListParagraph"/>
        <w:numPr>
          <w:ilvl w:val="0"/>
          <w:numId w:val="3"/>
        </w:numPr>
        <w:spacing w:after="60" w:line="276"/>
        <w:jc w:val="both"/>
      </w:pPr>
      <w:r>
        <w:t xml:space="preserve">Support through the certification decision and closure of any minor nonconformities.</w:t>
      </w:r>
    </w:p>
    <w:p>
      <w:pPr>
        <w:pStyle w:val="Heading1"/>
        <w:pageBreakBefore/>
      </w:pPr>
      <w:r>
        <w:t xml:space="preserve">Schedule B — Timeline, Deliverables &amp; Stage Gates</w:t>
      </w:r>
    </w:p>
    <w:p>
      <w:pPr>
        <w:spacing w:after="120" w:line="276"/>
        <w:jc w:val="both"/>
      </w:pPr>
      <w:r>
        <w:t xml:space="preserve">Indicative monthly cadence (June–November 2026). Each month closes against a stage gate; the Consultant escalates any gate at risk. Dates assume the Effective Date falls in early June 2026 and the Client meets its Schedule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180"/>
        <w:gridCol w:w="1760"/>
        <w:gridCol w:w="3680"/>
        <w:gridCol w:w="1920"/>
      </w:tblGrid>
      <w:tr>
        <w:trPr>
          <w:tblHeader/>
        </w:trPr>
        <w:tc>
          <w:tcPr>
            <w:tcW w:type="dxa" w:w="8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Month</w:t>
            </w:r>
          </w:p>
        </w:tc>
        <w:tc>
          <w:tcPr>
            <w:tcW w:type="dxa" w:w="11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Period</w:t>
            </w:r>
          </w:p>
        </w:tc>
        <w:tc>
          <w:tcPr>
            <w:tcW w:type="dxa" w:w="17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Focus</w:t>
            </w:r>
          </w:p>
        </w:tc>
        <w:tc>
          <w:tcPr>
            <w:tcW w:type="dxa" w:w="368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Key Deliverables</w:t>
            </w:r>
          </w:p>
        </w:tc>
        <w:tc>
          <w:tcPr>
            <w:tcW w:type="dxa" w:w="192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Stage Gate</w:t>
            </w:r>
          </w:p>
        </w:tc>
      </w:tr>
      <w:tr>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bCs/>
                <w:sz w:val="19"/>
                <w:szCs w:val="19"/>
              </w:rPr>
              <w:t xml:space="preserve">1</w:t>
            </w:r>
          </w:p>
        </w:tc>
        <w:tc>
          <w:tcPr>
            <w:tcW w:type="dxa" w:w="118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Jun 2026</w:t>
            </w:r>
          </w:p>
        </w:tc>
        <w:tc>
          <w:tcPr>
            <w:tcW w:type="dxa" w:w="17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Mobilise &amp; Gap Assessment</w:t>
            </w:r>
          </w:p>
        </w:tc>
        <w:tc>
          <w:tcPr>
            <w:tcW w:type="dxa" w:w="368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Lock Certification Scope; appoint ISMS owner + management sponsor; full gap assessment vs all 93 Annex A controls and Clauses 4–10; RAG-rated gap report; project plan with named owners.</w:t>
            </w:r>
          </w:p>
        </w:tc>
        <w:tc>
          <w:tcPr>
            <w:tcW w:type="dxa" w:w="192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Scope &amp; budget signed off.</w:t>
            </w:r>
          </w:p>
        </w:tc>
      </w:tr>
      <w:tr>
        <w:tc>
          <w:tcPr>
            <w:tcW w:type="dxa" w:w="82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bCs/>
                <w:sz w:val="19"/>
                <w:szCs w:val="19"/>
              </w:rPr>
              <w:t xml:space="preserve">2</w:t>
            </w:r>
          </w:p>
        </w:tc>
        <w:tc>
          <w:tcPr>
            <w:tcW w:type="dxa" w:w="118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Jul 2026</w:t>
            </w:r>
          </w:p>
        </w:tc>
        <w:tc>
          <w:tcPr>
            <w:tcW w:type="dxa" w:w="176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Risk &amp; Documentation</w:t>
            </w:r>
          </w:p>
        </w:tc>
        <w:tc>
          <w:tcPr>
            <w:tcW w:type="dxa" w:w="368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Refresh risk assessment with real data; agree risk-acceptance criteria with leadership; finalise the Statement of Applicability; ratify the policy suite; book the certification body.</w:t>
            </w:r>
          </w:p>
        </w:tc>
        <w:tc>
          <w:tcPr>
            <w:tcW w:type="dxa" w:w="192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SoA &amp; risk treatment plan signed.</w:t>
            </w:r>
          </w:p>
        </w:tc>
      </w:tr>
      <w:tr>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bCs/>
                <w:sz w:val="19"/>
                <w:szCs w:val="19"/>
              </w:rPr>
              <w:t xml:space="preserve">3</w:t>
            </w:r>
          </w:p>
        </w:tc>
        <w:tc>
          <w:tcPr>
            <w:tcW w:type="dxa" w:w="118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Aug 2026</w:t>
            </w:r>
          </w:p>
        </w:tc>
        <w:tc>
          <w:tcPr>
            <w:tcW w:type="dxa" w:w="17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Control Implementation</w:t>
            </w:r>
          </w:p>
        </w:tc>
        <w:tc>
          <w:tcPr>
            <w:tcW w:type="dxa" w:w="368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Implement priority controls (MFA, logging/monitoring, access reviews, secure SDLC, verified backups, vendor risk, JML); stand up the compliance platform for automatic evidence.</w:t>
            </w:r>
          </w:p>
        </w:tc>
        <w:tc>
          <w:tcPr>
            <w:tcW w:type="dxa" w:w="192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≥80% of applicable controls have an automated or documented evidence source.</w:t>
            </w:r>
          </w:p>
        </w:tc>
      </w:tr>
      <w:tr>
        <w:tc>
          <w:tcPr>
            <w:tcW w:type="dxa" w:w="82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bCs/>
                <w:sz w:val="19"/>
                <w:szCs w:val="19"/>
              </w:rPr>
              <w:t xml:space="preserve">4</w:t>
            </w:r>
          </w:p>
        </w:tc>
        <w:tc>
          <w:tcPr>
            <w:tcW w:type="dxa" w:w="118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Sep 2026</w:t>
            </w:r>
          </w:p>
        </w:tc>
        <w:tc>
          <w:tcPr>
            <w:tcW w:type="dxa" w:w="176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Operate the ISMS</w:t>
            </w:r>
          </w:p>
        </w:tc>
        <w:tc>
          <w:tcPr>
            <w:tcW w:type="dxa" w:w="368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Deliver and record staff awareness training; run and document a BC/DR test; complete first access and supplier reviews; accrue 30–60 days of monitoring, incident and change records.</w:t>
            </w:r>
          </w:p>
        </w:tc>
        <w:tc>
          <w:tcPr>
            <w:tcW w:type="dxa" w:w="192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Training near-complete; operating evidence building for every key control.</w:t>
            </w:r>
          </w:p>
        </w:tc>
      </w:tr>
      <w:tr>
        <w:tc>
          <w:tcPr>
            <w:tcW w:type="dxa" w:w="82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bCs/>
                <w:sz w:val="19"/>
                <w:szCs w:val="19"/>
              </w:rPr>
              <w:t xml:space="preserve">5</w:t>
            </w:r>
          </w:p>
        </w:tc>
        <w:tc>
          <w:tcPr>
            <w:tcW w:type="dxa" w:w="118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Oct 2026</w:t>
            </w:r>
          </w:p>
        </w:tc>
        <w:tc>
          <w:tcPr>
            <w:tcW w:type="dxa" w:w="17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Internal Audit &amp; Pentest</w:t>
            </w:r>
          </w:p>
        </w:tc>
        <w:tc>
          <w:tcPr>
            <w:tcW w:type="dxa" w:w="368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Run internal audit; log findings to corrective-action register; hold management review with metrics; black-box penetration test; remediate and re-test critical/high findings.</w:t>
            </w:r>
          </w:p>
        </w:tc>
        <w:tc>
          <w:tcPr>
            <w:tcW w:type="dxa" w:w="192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Major nonconformities closed; no open critical or high pentest findings.</w:t>
            </w:r>
          </w:p>
        </w:tc>
      </w:tr>
      <w:tr>
        <w:tc>
          <w:tcPr>
            <w:tcW w:type="dxa" w:w="82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bCs/>
                <w:sz w:val="19"/>
                <w:szCs w:val="19"/>
              </w:rPr>
              <w:t xml:space="preserve">6</w:t>
            </w:r>
          </w:p>
        </w:tc>
        <w:tc>
          <w:tcPr>
            <w:tcW w:type="dxa" w:w="118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Nov 2026</w:t>
            </w:r>
          </w:p>
        </w:tc>
        <w:tc>
          <w:tcPr>
            <w:tcW w:type="dxa" w:w="176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Certification Audit</w:t>
            </w:r>
          </w:p>
        </w:tc>
        <w:tc>
          <w:tcPr>
            <w:tcW w:type="dxa" w:w="368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Stage 1 (documentation &amp; readiness) with immediate closure of observations; Stage 2 (control effectiveness) with auditor logistics and evidence presentation managed by the Consultant.</w:t>
            </w:r>
          </w:p>
        </w:tc>
        <w:tc>
          <w:tcPr>
            <w:tcW w:type="dxa" w:w="192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Certificate issued, or recommended pending minor closure — target on/before 1 Dec 2026.</w:t>
            </w:r>
          </w:p>
        </w:tc>
      </w:tr>
    </w:tbl>
    <w:p>
      <w:pPr>
        <w:spacing w:after="120" w:line="276"/>
        <w:jc w:val="both"/>
      </w:pPr>
      <w:r>
        <w:t xml:space="preserve"/>
      </w:r>
    </w:p>
    <w:p>
      <w:pPr>
        <w:spacing w:after="120" w:line="276"/>
        <w:jc w:val="both"/>
      </w:pPr>
      <w:r>
        <w:t xml:space="preserve">Note: In Month 1 the Consultant will engage, evaluate and shortlist accredited audit firms on the Client’s behalf and manage the booking; the Client contracts with and pays the chosen certification body. Good certification bodies are reserved 6–10 weeks ahead, so booking the audit in Month 2 is essential to protect the Target Certification Date of 1 December 2026.</w:t>
      </w:r>
    </w:p>
    <w:p>
      <w:pPr>
        <w:pStyle w:val="Heading1"/>
        <w:pageBreakBefore/>
      </w:pPr>
      <w:r>
        <w:t xml:space="preserve">Schedule C — Fee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Fee Component</w:t>
            </w:r>
          </w:p>
        </w:tc>
        <w:tc>
          <w:tcPr>
            <w:tcW w:type="dxa" w:w="4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Trigger</w:t>
            </w:r>
          </w:p>
        </w:tc>
        <w:tc>
          <w:tcPr>
            <w:tcW w:type="dxa" w:w="20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vAlign w:val="center"/>
          </w:tcPr>
          <w:p>
            <w:r>
              <w:rPr>
                <w:b/>
                <w:bCs/>
                <w:color w:val="FFFFFF"/>
                <w:sz w:val="20"/>
                <w:szCs w:val="20"/>
              </w:rPr>
              <w:t xml:space="preserve">Amount (USD)</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bCs/>
                <w:sz w:val="19"/>
                <w:szCs w:val="19"/>
              </w:rPr>
              <w:t xml:space="preserve">Monthly retainer</w:t>
            </w:r>
          </w:p>
        </w:tc>
        <w:tc>
          <w:tcPr>
            <w:tcW w:type="dxa" w:w="4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End of each month (Months 1–6), against the month’s stage-gate progress update.</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1,000 / month</w:t>
            </w:r>
          </w:p>
        </w:tc>
      </w:tr>
      <w:tr>
        <w:tc>
          <w:tcPr>
            <w:tcW w:type="dxa" w:w="300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bCs/>
                <w:sz w:val="19"/>
                <w:szCs w:val="19"/>
              </w:rPr>
              <w:t xml:space="preserve">Retainer subtotal</w:t>
            </w:r>
          </w:p>
        </w:tc>
        <w:tc>
          <w:tcPr>
            <w:tcW w:type="dxa" w:w="436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bCs/>
                <w:sz w:val="19"/>
                <w:szCs w:val="19"/>
              </w:rPr>
              <w:t xml:space="preserve">6 months × USD 1,000.</w:t>
            </w:r>
          </w:p>
        </w:tc>
        <w:tc>
          <w:tcPr>
            <w:tcW w:type="dxa" w:w="200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bCs/>
                <w:sz w:val="19"/>
                <w:szCs w:val="19"/>
              </w:rPr>
              <w:t xml:space="preserve">6,000</w:t>
            </w:r>
          </w:p>
        </w:tc>
      </w:tr>
      <w:tr>
        <w:tc>
          <w:tcPr>
            <w:tcW w:type="dxa" w:w="30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bCs/>
                <w:sz w:val="19"/>
                <w:szCs w:val="19"/>
              </w:rPr>
              <w:t xml:space="preserve">Certification success fee</w:t>
            </w:r>
          </w:p>
        </w:tc>
        <w:tc>
          <w:tcPr>
            <w:tcW w:type="dxa" w:w="436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Certificate issued, or formal recommendation for certification after Stage 2.</w:t>
            </w:r>
          </w:p>
        </w:tc>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vAlign w:val="center"/>
          </w:tcPr>
          <w:p>
            <w:pPr>
              <w:spacing w:after="0" w:line="252"/>
            </w:pPr>
            <w:r>
              <w:rPr>
                <w:b w:val="false"/>
                <w:bCs w:val="false"/>
                <w:sz w:val="19"/>
                <w:szCs w:val="19"/>
              </w:rPr>
              <w:t xml:space="preserve">1,200</w:t>
            </w:r>
          </w:p>
        </w:tc>
      </w:tr>
      <w:tr>
        <w:tc>
          <w:tcPr>
            <w:tcW w:type="dxa" w:w="300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bCs/>
                <w:sz w:val="19"/>
                <w:szCs w:val="19"/>
              </w:rPr>
              <w:t xml:space="preserve">Early-certification bonus</w:t>
            </w:r>
          </w:p>
        </w:tc>
        <w:tc>
          <w:tcPr>
            <w:tcW w:type="dxa" w:w="436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Certificate issued on or before 1 December 2026.</w:t>
            </w:r>
          </w:p>
        </w:tc>
        <w:tc>
          <w:tcPr>
            <w:tcW w:type="dxa" w:w="2000"/>
            <w:tcBorders>
              <w:top w:val="single" w:color="BFBFBF" w:sz="4"/>
              <w:left w:val="single" w:color="BFBFBF" w:sz="4"/>
              <w:bottom w:val="single" w:color="BFBFBF" w:sz="4"/>
              <w:right w:val="single" w:color="BFBFBF" w:sz="4"/>
            </w:tcBorders>
            <w:shd w:fill="F2F6FC" w:val="clear"/>
            <w:tcMar>
              <w:top w:type="dxa" w:w="70"/>
              <w:left w:type="dxa" w:w="120"/>
              <w:bottom w:type="dxa" w:w="70"/>
              <w:right w:type="dxa" w:w="120"/>
            </w:tcMar>
            <w:vAlign w:val="center"/>
          </w:tcPr>
          <w:p>
            <w:pPr>
              <w:spacing w:after="0" w:line="252"/>
            </w:pPr>
            <w:r>
              <w:rPr>
                <w:b w:val="false"/>
                <w:bCs w:val="false"/>
                <w:sz w:val="19"/>
                <w:szCs w:val="19"/>
              </w:rPr>
              <w:t xml:space="preserve">1,500</w:t>
            </w:r>
          </w:p>
        </w:tc>
      </w:tr>
      <w:tr>
        <w:tc>
          <w:tcPr>
            <w:tcW w:type="dxa" w:w="3000"/>
            <w:tcBorders>
              <w:top w:val="single" w:color="BFBFBF" w:sz="4"/>
              <w:left w:val="single" w:color="BFBFBF" w:sz="4"/>
              <w:bottom w:val="single" w:color="BFBFBF" w:sz="4"/>
              <w:right w:val="single" w:color="BFBFBF" w:sz="4"/>
            </w:tcBorders>
            <w:shd w:fill="E7ECF3" w:val="clear"/>
            <w:tcMar>
              <w:top w:type="dxa" w:w="70"/>
              <w:left w:type="dxa" w:w="120"/>
              <w:bottom w:type="dxa" w:w="70"/>
              <w:right w:type="dxa" w:w="120"/>
            </w:tcMar>
            <w:vAlign w:val="center"/>
          </w:tcPr>
          <w:p>
            <w:pPr>
              <w:spacing w:after="0" w:line="252"/>
            </w:pPr>
            <w:r>
              <w:rPr>
                <w:b/>
                <w:bCs/>
                <w:sz w:val="19"/>
                <w:szCs w:val="19"/>
              </w:rPr>
              <w:t xml:space="preserve">Maximum total</w:t>
            </w:r>
          </w:p>
        </w:tc>
        <w:tc>
          <w:tcPr>
            <w:tcW w:type="dxa" w:w="4360"/>
            <w:tcBorders>
              <w:top w:val="single" w:color="BFBFBF" w:sz="4"/>
              <w:left w:val="single" w:color="BFBFBF" w:sz="4"/>
              <w:bottom w:val="single" w:color="BFBFBF" w:sz="4"/>
              <w:right w:val="single" w:color="BFBFBF" w:sz="4"/>
            </w:tcBorders>
            <w:shd w:fill="E7ECF3" w:val="clear"/>
            <w:tcMar>
              <w:top w:type="dxa" w:w="70"/>
              <w:left w:type="dxa" w:w="120"/>
              <w:bottom w:type="dxa" w:w="70"/>
              <w:right w:type="dxa" w:w="120"/>
            </w:tcMar>
            <w:vAlign w:val="center"/>
          </w:tcPr>
          <w:p>
            <w:pPr>
              <w:spacing w:after="0" w:line="252"/>
            </w:pPr>
            <w:r>
              <w:rPr>
                <w:b/>
                <w:bCs/>
                <w:sz w:val="19"/>
                <w:szCs w:val="19"/>
              </w:rPr>
              <w:t xml:space="preserve">Retainer + success fee + early bonus.</w:t>
            </w:r>
          </w:p>
        </w:tc>
        <w:tc>
          <w:tcPr>
            <w:tcW w:type="dxa" w:w="2000"/>
            <w:tcBorders>
              <w:top w:val="single" w:color="BFBFBF" w:sz="4"/>
              <w:left w:val="single" w:color="BFBFBF" w:sz="4"/>
              <w:bottom w:val="single" w:color="BFBFBF" w:sz="4"/>
              <w:right w:val="single" w:color="BFBFBF" w:sz="4"/>
            </w:tcBorders>
            <w:shd w:fill="E7ECF3" w:val="clear"/>
            <w:tcMar>
              <w:top w:type="dxa" w:w="70"/>
              <w:left w:type="dxa" w:w="120"/>
              <w:bottom w:type="dxa" w:w="70"/>
              <w:right w:type="dxa" w:w="120"/>
            </w:tcMar>
            <w:vAlign w:val="center"/>
          </w:tcPr>
          <w:p>
            <w:pPr>
              <w:spacing w:after="0" w:line="252"/>
            </w:pPr>
            <w:r>
              <w:rPr>
                <w:b/>
                <w:bCs/>
                <w:sz w:val="19"/>
                <w:szCs w:val="19"/>
              </w:rPr>
              <w:t xml:space="preserve">8,700</w:t>
            </w:r>
          </w:p>
        </w:tc>
      </w:tr>
    </w:tbl>
    <w:p>
      <w:pPr>
        <w:spacing w:after="120" w:line="276"/>
        <w:jc w:val="both"/>
      </w:pPr>
      <w:r>
        <w:t xml:space="preserve"/>
      </w:r>
    </w:p>
    <w:p>
      <w:pPr>
        <w:spacing w:after="120" w:line="276"/>
        <w:jc w:val="both"/>
      </w:pPr>
      <w:r>
        <w:t xml:space="preserve">All amounts in USD, exclusive of bank transfer charges (borne by the Client) and exclusive of third-party costs under clause 7.4 (certification body fees, penetration-test tooling/testers, and compliance platform licences), which the Client pays directly.</w:t>
      </w:r>
    </w:p>
    <w:p>
      <w:pPr>
        <w:spacing w:before="120"/>
      </w:pPr>
      <w:r>
        <w:rPr>
          <w:b/>
          <w:bCs/>
          <w:color w:val="1F3864"/>
          <w:sz w:val="22"/>
          <w:szCs w:val="22"/>
        </w:rPr>
        <w:t xml:space="preserve">Maximum total professional fee payable: USD 8,700.</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6" w:space="4"/>
      </w:pBdr>
      <w:tabs>
        <w:tab w:val="right" w:pos="9360"/>
      </w:tabs>
    </w:pPr>
    <w:r>
      <w:rPr>
        <w:color w:val="595959"/>
        <w:sz w:val="16"/>
        <w:szCs w:val="16"/>
      </w:rPr>
      <w:t xml:space="preserve">Makebell — Consultant Agreement</w:t>
    </w:r>
    <w:r>
      <w:rPr>
        <w:color w:val="595959"/>
        <w:sz w:val="16"/>
        <w:szCs w:val="16"/>
      </w:rPr>
      <w:t xml:space="preserve">	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360"/>
      </w:tabs>
    </w:pPr>
    <w:r>
      <w:rPr>
        <w:color w:val="595959"/>
        <w:sz w:val="16"/>
        <w:szCs w:val="16"/>
      </w:rPr>
      <w:t xml:space="preserve">ISO/IEC 27001:2022 Consulting Agreement</w:t>
    </w:r>
    <w:r>
      <w:rPr>
        <w:color w:val="595959"/>
        <w:sz w:val="16"/>
        <w:szCs w:val="16"/>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00"/>
      <w:outlineLvl w:val="0"/>
    </w:pPr>
    <w:rPr>
      <w:rFonts w:ascii="Georgia" w:cs="Georgia" w:eastAsia="Georgia" w:hAnsi="Georgia"/>
      <w:b/>
      <w:bCs/>
      <w:smallCaps/>
      <w:color w:val="1F3864"/>
      <w:sz w:val="23"/>
      <w:szCs w:val="23"/>
    </w:rPr>
  </w:style>
  <w:style w:type="paragraph" w:styleId="Heading2">
    <w:name w:val="Heading 2"/>
    <w:basedOn w:val="Normal"/>
    <w:next w:val="Normal"/>
    <w:qFormat/>
    <w:pPr>
      <w:keepNext/>
      <w:spacing w:after="80" w:before="170"/>
      <w:outlineLvl w:val="1"/>
    </w:pPr>
    <w:rPr>
      <w:rFonts w:ascii="Georgia" w:cs="Georgia" w:eastAsia="Georgia" w:hAnsi="Georgia"/>
      <w:b/>
      <w:bCs/>
      <w:i/>
      <w:iCs/>
      <w:color w:val="2E457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ISO/IEC 27001:2022 Certification Advisory Services Agreement</dc:title>
  <dc:creator>Mizanur Rahman Asif</dc:creator>
  <cp:lastModifiedBy>Un-named</cp:lastModifiedBy>
  <cp:revision>1</cp:revision>
  <dcterms:created xsi:type="dcterms:W3CDTF">2026-06-09T05:49:03.288Z</dcterms:created>
  <dcterms:modified xsi:type="dcterms:W3CDTF">2026-06-09T05:49:03.298Z</dcterms:modified>
</cp:coreProperties>
</file>

<file path=docProps/custom.xml><?xml version="1.0" encoding="utf-8"?>
<Properties xmlns="http://schemas.openxmlformats.org/officeDocument/2006/custom-properties" xmlns:vt="http://schemas.openxmlformats.org/officeDocument/2006/docPropsVTypes"/>
</file>