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Calibri" w:cs="Calibri" w:eastAsia="Calibri" w:hAnsi="Calibri"/>
          <w:b/>
          <w:bCs/>
          <w:color w:val="4A7AFF"/>
          <w:spacing w:val="200"/>
          <w:sz w:val="20"/>
          <w:szCs w:val="20"/>
        </w:rPr>
        <w:t xml:space="preserve">PRODUCT PROPOSAL</w:t>
      </w:r>
    </w:p>
    <w:p>
      <w:pPr>
        <w:pBdr>
          <w:bottom w:val="single" w:color="4A7AFF" w:sz="4" w:space="1"/>
        </w:pBdr>
        <w:spacing w:after="200"/>
      </w:pPr>
    </w:p>
    <w:p>
      <w:pPr>
        <w:spacing w:after="120"/>
      </w:pPr>
      <w:r>
        <w:rPr>
          <w:rFonts w:ascii="Calibri" w:cs="Calibri" w:eastAsia="Calibri" w:hAnsi="Calibri"/>
          <w:b/>
          <w:bCs/>
          <w:color w:val="0A0A14"/>
          <w:sz w:val="72"/>
          <w:szCs w:val="72"/>
        </w:rPr>
        <w:t xml:space="preserve">ScrollShield</w:t>
      </w:r>
    </w:p>
    <w:p>
      <w:pPr>
        <w:spacing w:after="60"/>
      </w:pPr>
      <w:r>
        <w:rPr>
          <w:rFonts w:ascii="Calibri" w:cs="Calibri" w:eastAsia="Calibri" w:hAnsi="Calibri"/>
          <w:color w:val="666688"/>
          <w:sz w:val="28"/>
          <w:szCs w:val="28"/>
        </w:rPr>
        <w:t xml:space="preserve">OS-Level Defence Against Algorithmic Manipulation</w:t>
      </w:r>
    </w:p>
    <w:p>
      <w:pPr>
        <w:spacing w:after="600"/>
      </w:pPr>
    </w:p>
    <w:p>
      <w:pPr>
        <w:spacing w:after="180" w:line="300"/>
      </w:pPr>
      <w:r>
        <w:rPr>
          <w:rFonts w:ascii="Calibri" w:cs="Calibri" w:eastAsia="Calibri" w:hAnsi="Calibri"/>
          <w:color w:val="333344"/>
          <w:sz w:val="22"/>
          <w:szCs w:val="22"/>
        </w:rPr>
        <w:t xml:space="preserve">A proposal for an operating system feature that intercepts, analyses, and refilters social media content feeds in real time — giving users sovereign control over the algorithms that compete for their attention.</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Document</w:t>
            </w:r>
          </w:p>
        </w:tc>
        <w:tc>
          <w:tcPr>
            <w:tcW w:type="dxa" w:w="69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Demo Proposal v1.0</w:t>
            </w:r>
          </w:p>
        </w:tc>
      </w:tr>
      <w:tr>
        <w:tc>
          <w:tcPr>
            <w:tcW w:type="dxa" w:w="240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Date</w:t>
            </w:r>
          </w:p>
        </w:tc>
        <w:tc>
          <w:tcPr>
            <w:tcW w:type="dxa" w:w="69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March 2026</w:t>
            </w:r>
          </w:p>
        </w:tc>
      </w:tr>
      <w:tr>
        <w:tc>
          <w:tcPr>
            <w:tcW w:type="dxa" w:w="240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Classification</w:t>
            </w:r>
          </w:p>
        </w:tc>
        <w:tc>
          <w:tcPr>
            <w:tcW w:type="dxa" w:w="69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Confidential — For Evaluation Only</w:t>
            </w:r>
          </w:p>
        </w:tc>
      </w:tr>
      <w:tr>
        <w:tc>
          <w:tcPr>
            <w:tcW w:type="dxa" w:w="240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Status</w:t>
            </w:r>
          </w:p>
        </w:tc>
        <w:tc>
          <w:tcPr>
            <w:tcW w:type="dxa" w:w="69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Concept &amp; Prototype Stage</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pBdr>
          <w:bottom w:val="single" w:color="4A7AFF" w:sz="4" w:space="1"/>
        </w:pBdr>
        <w:spacing w:after="200"/>
      </w:pPr>
    </w:p>
    <w:p>
      <w:pPr>
        <w:spacing w:after="180" w:line="300"/>
      </w:pPr>
      <w:r>
        <w:rPr>
          <w:rFonts w:ascii="Calibri" w:cs="Calibri" w:eastAsia="Calibri" w:hAnsi="Calibri"/>
          <w:color w:val="333344"/>
          <w:sz w:val="22"/>
          <w:szCs w:val="22"/>
        </w:rPr>
        <w:t xml:space="preserve">ScrollShield is a proposed operating-system-level feature that places an intelligent defence layer between the user and any attention-maximising application. It intercepts content feeds delivered by platforms such as TikTok, Instagram Reels, and YouTube Shorts, then refilters and re-ranks that content according to the user’s own stated preferences — before a single frame reaches the screen.</w:t>
      </w:r>
    </w:p>
    <w:p>
      <w:pPr>
        <w:spacing w:after="180" w:line="300"/>
      </w:pPr>
      <w:r>
        <w:rPr>
          <w:rFonts w:ascii="Calibri" w:cs="Calibri" w:eastAsia="Calibri" w:hAnsi="Calibri"/>
          <w:color w:val="333344"/>
          <w:sz w:val="22"/>
          <w:szCs w:val="22"/>
        </w:rPr>
        <w:t xml:space="preserve">The proposal includes two complementary capabilities designed to work independently or together:</w:t>
      </w:r>
    </w:p>
    <w:p>
      <w:pPr>
        <w:pStyle w:val="ListParagraph"/>
        <w:numPr>
          <w:ilvl w:val="0"/>
          <w:numId w:val="2"/>
        </w:numPr>
        <w:spacing w:after="100" w:line="280"/>
      </w:pPr>
      <w:r>
        <w:rPr>
          <w:rFonts w:ascii="Calibri" w:cs="Calibri" w:eastAsia="Calibri" w:hAnsi="Calibri"/>
          <w:color w:val="333344"/>
          <w:sz w:val="22"/>
          <w:szCs w:val="22"/>
        </w:rPr>
        <w:t xml:space="preserve">Ad Counter — A persistent, floating overlay that counts every promoted post served to the user in real time, tracks estimated advertising revenue generated from their attention, and presents a session summary showing which brands and categories are targeting them.</w:t>
      </w:r>
    </w:p>
    <w:p>
      <w:pPr>
        <w:pStyle w:val="ListParagraph"/>
        <w:numPr>
          <w:ilvl w:val="0"/>
          <w:numId w:val="2"/>
        </w:numPr>
        <w:spacing w:after="100" w:line="280"/>
      </w:pPr>
      <w:r>
        <w:rPr>
          <w:rFonts w:ascii="Calibri" w:cs="Calibri" w:eastAsia="Calibri" w:hAnsi="Calibri"/>
          <w:color w:val="333344"/>
          <w:sz w:val="22"/>
          <w:szCs w:val="22"/>
        </w:rPr>
        <w:t xml:space="preserve">Scroll Mask — A buffered content proxy that pre-scrolls 5–10 items ahead of the user, classifies each item (organic content, advertisement, or flagged category), filters out unwanted material, and re-ranks the remaining content according to a user-defined preference model before rendering it on screen.</w:t>
      </w:r>
    </w:p>
    <w:p>
      <w:pPr>
        <w:spacing w:after="180" w:line="300"/>
      </w:pPr>
      <w:r>
        <w:rPr>
          <w:rFonts w:ascii="Calibri" w:cs="Calibri" w:eastAsia="Calibri" w:hAnsi="Calibri"/>
          <w:color w:val="333344"/>
          <w:sz w:val="22"/>
          <w:szCs w:val="22"/>
        </w:rPr>
        <w:t xml:space="preserve">Together, these features transform the smartphone from a passive delivery mechanism for algorithmic manipulation into an active agent working on behalf of the user. The ad counter creates awareness; the scroll mask creates protection.</w:t>
      </w:r>
    </w:p>
    <w:p>
      <w:pPr>
        <w:spacing w:after="60"/>
      </w:pPr>
    </w:p>
    <w:p>
      <w:r>
        <w:br w:type="page"/>
      </w:r>
    </w:p>
    <w:p>
      <w:pPr>
        <w:pStyle w:val="Heading1"/>
      </w:pPr>
      <w:r>
        <w:t xml:space="preserve">2. Problem Statement</w:t>
      </w:r>
    </w:p>
    <w:p>
      <w:pPr>
        <w:pBdr>
          <w:bottom w:val="single" w:color="4A7AFF" w:sz="4" w:space="1"/>
        </w:pBdr>
        <w:spacing w:after="200"/>
      </w:pPr>
    </w:p>
    <w:p>
      <w:pPr>
        <w:pStyle w:val="Heading2"/>
      </w:pPr>
      <w:r>
        <w:t xml:space="preserve">2.1 The Attention Economy</w:t>
      </w:r>
    </w:p>
    <w:p>
      <w:pPr>
        <w:spacing w:after="180" w:line="300"/>
      </w:pPr>
      <w:r>
        <w:rPr>
          <w:rFonts w:ascii="Calibri" w:cs="Calibri" w:eastAsia="Calibri" w:hAnsi="Calibri"/>
          <w:color w:val="333344"/>
          <w:sz w:val="22"/>
          <w:szCs w:val="22"/>
        </w:rPr>
        <w:t xml:space="preserve">The global digital advertising market, fuelled by captured human attention, is projected to exceed $1 trillion by 2030. Social media platforms generate revenue by maximising time-on-app: every additional minute a user scrolls is another unit of ad inventory sold. The recommendation algorithms powering platforms like TikTok, Instagram, and YouTube are explicitly optimised for engagement metrics — predicted likes, predicted watch time, predicted shares — none of which correlate with user wellbeing.</w:t>
      </w:r>
    </w:p>
    <w:p>
      <w:pPr>
        <w:spacing w:after="180" w:line="300"/>
      </w:pPr>
      <w:r>
        <w:rPr>
          <w:rFonts w:ascii="Calibri" w:cs="Calibri" w:eastAsia="Calibri" w:hAnsi="Calibri"/>
          <w:color w:val="333344"/>
          <w:sz w:val="22"/>
          <w:szCs w:val="22"/>
        </w:rPr>
        <w:t xml:space="preserve">TikTok’s parent company ByteDance alone generated an estimated $155 billion in revenue in 2024, with the recommendation algorithm valued as the single most important asset in the business. When the U.S. government mandated a divestiture, the algorithm’s licensing deal became the centrepiece of negotiations, with one analyst noting that buying TikTok without the algorithm would be “like buying a Ferrari without the engine.”</w:t>
      </w:r>
    </w:p>
    <w:p>
      <w:pPr>
        <w:pStyle w:val="Heading2"/>
      </w:pPr>
      <w:r>
        <w:t xml:space="preserve">2.2 The User Has No Leverage</w:t>
      </w:r>
    </w:p>
    <w:p>
      <w:pPr>
        <w:spacing w:after="180" w:line="300"/>
      </w:pPr>
      <w:r>
        <w:rPr>
          <w:rFonts w:ascii="Calibri" w:cs="Calibri" w:eastAsia="Calibri" w:hAnsi="Calibri"/>
          <w:color w:val="333344"/>
          <w:sz w:val="22"/>
          <w:szCs w:val="22"/>
        </w:rPr>
        <w:t xml:space="preserve">Currently, the algorithm lives inside each app. The user has two choices: accept the algorithm, or don’t use the app. There is no mechanism for a user to modify, override, or even observe how the algorithm is selecting content for them. Screen-time tools (Apple’s Screen Time, Google’s Digital Wellbeing) count minutes but do not understand content. They treat a 30-minute session of educational content identically to a 30-minute session of engagement-bait outrage — a blunt instrument for a nuanced problem.</w:t>
      </w:r>
    </w:p>
    <w:p>
      <w:pPr>
        <w:pStyle w:val="Heading2"/>
      </w:pPr>
      <w:r>
        <w:t xml:space="preserve">2.3 The Scale of Impact</w:t>
      </w:r>
    </w:p>
    <w:p>
      <w:pPr>
        <w:spacing w:after="180" w:line="300"/>
      </w:pPr>
      <w:r>
        <w:rPr>
          <w:rFonts w:ascii="Calibri" w:cs="Calibri" w:eastAsia="Calibri" w:hAnsi="Calibri"/>
          <w:color w:val="333344"/>
          <w:sz w:val="22"/>
          <w:szCs w:val="22"/>
        </w:rPr>
        <w:t xml:space="preserve">Average daily TikTok usage is 45.8 minutes per user. A typical scrolling session includes 15–20 advertisements. TikTok’s estimated annual carbon footprint is 50 million tonnes of CO₂ — comparable to the total emissions of Greece — driven largely by video streaming sustained by the recommendation algorithm. Research shows that TikTok can build a reasonably accurate psychological preference model for a new user in approximately 30–40 minutes and as few as 200 interactions.</w:t>
      </w:r>
    </w:p>
    <w:p>
      <w:pPr>
        <w:spacing w:after="60"/>
      </w:pPr>
    </w:p>
    <w:p>
      <w:r>
        <w:br w:type="page"/>
      </w:r>
    </w:p>
    <w:p>
      <w:pPr>
        <w:pStyle w:val="Heading1"/>
      </w:pPr>
      <w:r>
        <w:t xml:space="preserve">3. Proposed Solution</w:t>
      </w:r>
    </w:p>
    <w:p>
      <w:pPr>
        <w:pBdr>
          <w:bottom w:val="single" w:color="4A7AFF" w:sz="4" w:space="1"/>
        </w:pBdr>
        <w:spacing w:after="200"/>
      </w:pPr>
    </w:p>
    <w:p>
      <w:pPr>
        <w:pStyle w:val="Heading2"/>
      </w:pPr>
      <w:r>
        <w:t xml:space="preserve">3.1 Architecture Overview</w:t>
      </w:r>
    </w:p>
    <w:p>
      <w:pPr>
        <w:spacing w:after="180" w:line="300"/>
      </w:pPr>
      <w:r>
        <w:rPr>
          <w:rFonts w:ascii="Calibri" w:cs="Calibri" w:eastAsia="Calibri" w:hAnsi="Calibri"/>
          <w:color w:val="333344"/>
          <w:sz w:val="22"/>
          <w:szCs w:val="22"/>
        </w:rPr>
        <w:t xml:space="preserve">ScrollShield operates as an OS-level middleware layer positioned between the application and the user interface. It does not modify the app, block network traffic, or require jailbreaking. Instead, it leverages accessibility APIs, on-device machine learning, and content classification to observe, analyse, and optionally refilter what the app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Layer</w:t>
            </w:r>
          </w:p>
        </w:tc>
        <w:tc>
          <w:tcPr>
            <w:tcW w:type="dxa" w:w="358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Function</w:t>
            </w:r>
          </w:p>
        </w:tc>
        <w:tc>
          <w:tcPr>
            <w:tcW w:type="dxa" w:w="358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Technology</w:t>
            </w:r>
          </w:p>
        </w:tc>
      </w:tr>
      <w:tr>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Intent Profile</w:t>
            </w:r>
          </w:p>
        </w:tc>
        <w:tc>
          <w:tcPr>
            <w:tcW w:type="dxa" w:w="35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User defines preferences, blocked categories, time budgets, and personal objective function</w:t>
            </w:r>
          </w:p>
        </w:tc>
        <w:tc>
          <w:tcPr>
            <w:tcW w:type="dxa" w:w="35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On-device preference store, onboarding flow</w:t>
            </w:r>
          </w:p>
        </w:tc>
      </w:tr>
      <w:tr>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Feed Interception</w:t>
            </w:r>
          </w:p>
        </w:tc>
        <w:tc>
          <w:tcPr>
            <w:tcW w:type="dxa" w:w="35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OS monitors content as it is rendered by the app, classifying each item in real time</w:t>
            </w:r>
          </w:p>
        </w:tc>
        <w:tc>
          <w:tcPr>
            <w:tcW w:type="dxa" w:w="35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Accessibility APIs, on-device vision models, Neural Engine</w:t>
            </w:r>
          </w:p>
        </w:tc>
      </w:tr>
      <w:tr>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Re-ranking</w:t>
            </w:r>
          </w:p>
        </w:tc>
        <w:tc>
          <w:tcPr>
            <w:tcW w:type="dxa" w:w="35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Filters ads and blocked content, re-orders remaining items by user preference model</w:t>
            </w:r>
          </w:p>
        </w:tc>
        <w:tc>
          <w:tcPr>
            <w:tcW w:type="dxa" w:w="35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Lightweight transformer model, user preference embeddings</w:t>
            </w:r>
          </w:p>
        </w:tc>
      </w:tr>
      <w:tr>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Feedback Loop</w:t>
            </w:r>
          </w:p>
        </w:tc>
        <w:tc>
          <w:tcPr>
            <w:tcW w:type="dxa" w:w="35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Post-session satisfaction surveys refine the preference model over time</w:t>
            </w:r>
          </w:p>
        </w:tc>
        <w:tc>
          <w:tcPr>
            <w:tcW w:type="dxa" w:w="35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Reinforcement learning from human feedback (on-device)</w:t>
            </w:r>
          </w:p>
        </w:tc>
      </w:tr>
    </w:tbl>
    <w:p>
      <w:pPr>
        <w:spacing w:after="200"/>
      </w:pPr>
    </w:p>
    <w:p>
      <w:pPr>
        <w:pStyle w:val="Heading2"/>
      </w:pPr>
      <w:r>
        <w:t xml:space="preserve">3.2 Feature One: Ad Counter</w:t>
      </w:r>
    </w:p>
    <w:p>
      <w:pPr>
        <w:spacing w:after="180" w:line="300"/>
      </w:pPr>
      <w:r>
        <w:rPr>
          <w:rFonts w:ascii="Calibri" w:cs="Calibri" w:eastAsia="Calibri" w:hAnsi="Calibri"/>
          <w:color w:val="333344"/>
          <w:sz w:val="22"/>
          <w:szCs w:val="22"/>
        </w:rPr>
        <w:t xml:space="preserve">The ad counter is a persistent floating overlay displayed whenever a doomscrolling application is active. It provides:</w:t>
      </w:r>
    </w:p>
    <w:p>
      <w:pPr>
        <w:pStyle w:val="ListParagraph"/>
        <w:numPr>
          <w:ilvl w:val="0"/>
          <w:numId w:val="2"/>
        </w:numPr>
        <w:spacing w:after="100" w:line="280"/>
      </w:pPr>
      <w:r>
        <w:rPr>
          <w:rFonts w:ascii="Calibri" w:cs="Calibri" w:eastAsia="Calibri" w:hAnsi="Calibri"/>
          <w:color w:val="333344"/>
          <w:sz w:val="22"/>
          <w:szCs w:val="22"/>
        </w:rPr>
        <w:t xml:space="preserve">Real-time count of promoted/sponsored posts encountered during the session</w:t>
      </w:r>
    </w:p>
    <w:p>
      <w:pPr>
        <w:pStyle w:val="ListParagraph"/>
        <w:numPr>
          <w:ilvl w:val="0"/>
          <w:numId w:val="2"/>
        </w:numPr>
        <w:spacing w:after="100" w:line="280"/>
      </w:pPr>
      <w:r>
        <w:rPr>
          <w:rFonts w:ascii="Calibri" w:cs="Calibri" w:eastAsia="Calibri" w:hAnsi="Calibri"/>
          <w:color w:val="333344"/>
          <w:sz w:val="22"/>
          <w:szCs w:val="22"/>
        </w:rPr>
        <w:t xml:space="preserve">Estimated advertising revenue generated from the user’s attention (based on published CPM averages for the platform and demographic)</w:t>
      </w:r>
    </w:p>
    <w:p>
      <w:pPr>
        <w:pStyle w:val="ListParagraph"/>
        <w:numPr>
          <w:ilvl w:val="0"/>
          <w:numId w:val="2"/>
        </w:numPr>
        <w:spacing w:after="100" w:line="280"/>
      </w:pPr>
      <w:r>
        <w:rPr>
          <w:rFonts w:ascii="Calibri" w:cs="Calibri" w:eastAsia="Calibri" w:hAnsi="Calibri"/>
          <w:color w:val="333344"/>
          <w:sz w:val="22"/>
          <w:szCs w:val="22"/>
        </w:rPr>
        <w:t xml:space="preserve">Session duration tracking</w:t>
      </w:r>
    </w:p>
    <w:p>
      <w:pPr>
        <w:pStyle w:val="ListParagraph"/>
        <w:numPr>
          <w:ilvl w:val="0"/>
          <w:numId w:val="2"/>
        </w:numPr>
        <w:spacing w:after="100" w:line="280"/>
      </w:pPr>
      <w:r>
        <w:rPr>
          <w:rFonts w:ascii="Calibri" w:cs="Calibri" w:eastAsia="Calibri" w:hAnsi="Calibri"/>
          <w:color w:val="333344"/>
          <w:sz w:val="22"/>
          <w:szCs w:val="22"/>
        </w:rPr>
        <w:t xml:space="preserve">Session summary report listing all brands encountered, ad categories, ad-to-content ratio, and cumulative statistics</w:t>
      </w:r>
    </w:p>
    <w:p>
      <w:pPr>
        <w:spacing w:after="180" w:line="300"/>
      </w:pPr>
      <w:r>
        <w:rPr>
          <w:rFonts w:ascii="Calibri" w:cs="Calibri" w:eastAsia="Calibri" w:hAnsi="Calibri"/>
          <w:color w:val="333344"/>
          <w:sz w:val="22"/>
          <w:szCs w:val="22"/>
        </w:rPr>
        <w:t xml:space="preserve">The ad counter operates passively — it does not block or modify any content. Its function is purely informational, relying on the well-established psychological principle that awareness of consumption changes behaviour. This is the same mechanism that makes calorie labels effective: simply counting creates friction.</w:t>
      </w:r>
    </w:p>
    <w:p>
      <w:pPr>
        <w:pStyle w:val="Heading2"/>
      </w:pPr>
      <w:r>
        <w:t xml:space="preserve">3.3 Feature Two: Scroll Mask</w:t>
      </w:r>
    </w:p>
    <w:p>
      <w:pPr>
        <w:spacing w:after="180" w:line="300"/>
      </w:pPr>
      <w:r>
        <w:rPr>
          <w:rFonts w:ascii="Calibri" w:cs="Calibri" w:eastAsia="Calibri" w:hAnsi="Calibri"/>
          <w:color w:val="333344"/>
          <w:sz w:val="22"/>
          <w:szCs w:val="22"/>
        </w:rPr>
        <w:t xml:space="preserve">The scroll mask is an active intervention layer. When the user opens a doomscrolling application, the mask activates and creates a buffered intermediary:</w:t>
      </w:r>
    </w:p>
    <w:p>
      <w:pPr>
        <w:pStyle w:val="ListParagraph"/>
        <w:numPr>
          <w:ilvl w:val="0"/>
          <w:numId w:val="3"/>
        </w:numPr>
        <w:spacing w:after="100" w:line="280"/>
      </w:pPr>
      <w:r>
        <w:rPr>
          <w:rFonts w:ascii="Calibri" w:cs="Calibri" w:eastAsia="Calibri" w:hAnsi="Calibri"/>
          <w:color w:val="333344"/>
          <w:sz w:val="22"/>
          <w:szCs w:val="22"/>
        </w:rPr>
        <w:t xml:space="preserve">The mask silently pre-scrolls 5–10 items from the app’s feed, consuming them before the user sees anything.</w:t>
      </w:r>
    </w:p>
    <w:p>
      <w:pPr>
        <w:pStyle w:val="ListParagraph"/>
        <w:numPr>
          <w:ilvl w:val="0"/>
          <w:numId w:val="3"/>
        </w:numPr>
        <w:spacing w:after="100" w:line="280"/>
      </w:pPr>
      <w:r>
        <w:rPr>
          <w:rFonts w:ascii="Calibri" w:cs="Calibri" w:eastAsia="Calibri" w:hAnsi="Calibri"/>
          <w:color w:val="333344"/>
          <w:sz w:val="22"/>
          <w:szCs w:val="22"/>
        </w:rPr>
        <w:t xml:space="preserve">Each pre-scrolled item is classified using on-device ML: organic content, advertisement, influencer promotion, or flagged category.</w:t>
      </w:r>
    </w:p>
    <w:p>
      <w:pPr>
        <w:pStyle w:val="ListParagraph"/>
        <w:numPr>
          <w:ilvl w:val="0"/>
          <w:numId w:val="3"/>
        </w:numPr>
        <w:spacing w:after="100" w:line="280"/>
      </w:pPr>
      <w:r>
        <w:rPr>
          <w:rFonts w:ascii="Calibri" w:cs="Calibri" w:eastAsia="Calibri" w:hAnsi="Calibri"/>
          <w:color w:val="333344"/>
          <w:sz w:val="22"/>
          <w:szCs w:val="22"/>
        </w:rPr>
        <w:t xml:space="preserve">Items matching the user’s blocked categories (e.g., gambling, diet products, political outrage) are filtered out.</w:t>
      </w:r>
    </w:p>
    <w:p>
      <w:pPr>
        <w:pStyle w:val="ListParagraph"/>
        <w:numPr>
          <w:ilvl w:val="0"/>
          <w:numId w:val="3"/>
        </w:numPr>
        <w:spacing w:after="100" w:line="280"/>
      </w:pPr>
      <w:r>
        <w:rPr>
          <w:rFonts w:ascii="Calibri" w:cs="Calibri" w:eastAsia="Calibri" w:hAnsi="Calibri"/>
          <w:color w:val="333344"/>
          <w:sz w:val="22"/>
          <w:szCs w:val="22"/>
        </w:rPr>
        <w:t xml:space="preserve">Remaining items are re-ranked according to the user’s preference model: interests are boosted, low-relevance content is deprioritised.</w:t>
      </w:r>
    </w:p>
    <w:p>
      <w:pPr>
        <w:pStyle w:val="ListParagraph"/>
        <w:numPr>
          <w:ilvl w:val="0"/>
          <w:numId w:val="3"/>
        </w:numPr>
        <w:spacing w:after="100" w:line="280"/>
      </w:pPr>
      <w:r>
        <w:rPr>
          <w:rFonts w:ascii="Calibri" w:cs="Calibri" w:eastAsia="Calibri" w:hAnsi="Calibri"/>
          <w:color w:val="333344"/>
          <w:sz w:val="22"/>
          <w:szCs w:val="22"/>
        </w:rPr>
        <w:t xml:space="preserve">The filtered, re-ranked mini-feed is presented to the user. A visual scanning animation signals that the mask is active.</w:t>
      </w:r>
    </w:p>
    <w:p>
      <w:pPr>
        <w:spacing w:after="180" w:line="300"/>
      </w:pPr>
      <w:r>
        <w:rPr>
          <w:rFonts w:ascii="Calibri" w:cs="Calibri" w:eastAsia="Calibri" w:hAnsi="Calibri"/>
          <w:color w:val="333344"/>
          <w:sz w:val="22"/>
          <w:szCs w:val="22"/>
        </w:rPr>
        <w:t xml:space="preserve">From the platform’s perspective, the app is being used normally — the mask generates real scroll events, real impressions, and real dwell time. But the human user only sees content that has passed through their personal filter. The platform’s algorithm still runs, but its output is intercepted and overridden.</w:t>
      </w:r>
    </w:p>
    <w:p>
      <w:pPr>
        <w:spacing w:after="60"/>
      </w:pPr>
    </w:p>
    <w:p>
      <w:r>
        <w:br w:type="page"/>
      </w:r>
    </w:p>
    <w:p>
      <w:pPr>
        <w:pStyle w:val="Heading1"/>
      </w:pPr>
      <w:r>
        <w:t xml:space="preserve">4. Technical Feasibility</w:t>
      </w:r>
    </w:p>
    <w:p>
      <w:pPr>
        <w:pBdr>
          <w:bottom w:val="single" w:color="4A7AFF" w:sz="4" w:space="1"/>
        </w:pBdr>
        <w:spacing w:after="200"/>
      </w:pPr>
    </w:p>
    <w:p>
      <w:pPr>
        <w:pStyle w:val="Heading2"/>
      </w:pPr>
      <w:r>
        <w:t xml:space="preserve">4.1 On-Device ML Classification</w:t>
      </w:r>
    </w:p>
    <w:p>
      <w:pPr>
        <w:spacing w:after="180" w:line="300"/>
      </w:pPr>
      <w:r>
        <w:rPr>
          <w:rFonts w:ascii="Calibri" w:cs="Calibri" w:eastAsia="Calibri" w:hAnsi="Calibri"/>
          <w:color w:val="333344"/>
          <w:sz w:val="22"/>
          <w:szCs w:val="22"/>
        </w:rPr>
        <w:t xml:space="preserve">Modern smartphones include dedicated neural processing hardware (Apple Neural Engine, Qualcomm Hexagon NPU) capable of running lightweight classification models with sub-50ms latency. TikTok’s own system operates within a 50ms inference budget per recommendation; ScrollShield’s classification task is simpler (binary ad/not-ad classification plus category tagging) and can comfortably run within the same time envelope.</w:t>
      </w:r>
    </w:p>
    <w:p>
      <w:pPr>
        <w:pStyle w:val="Heading2"/>
      </w:pPr>
      <w:r>
        <w:t xml:space="preserve">4.2 Ad Detection Methods</w:t>
      </w:r>
    </w:p>
    <w:p>
      <w:pPr>
        <w:spacing w:after="180" w:line="300"/>
      </w:pPr>
      <w:r>
        <w:rPr>
          <w:rFonts w:ascii="Calibri" w:cs="Calibri" w:eastAsia="Calibri" w:hAnsi="Calibri"/>
          <w:color w:val="333344"/>
          <w:sz w:val="22"/>
          <w:szCs w:val="22"/>
        </w:rPr>
        <w:t xml:space="preserve">The system uses three complementary detection methods:</w:t>
      </w:r>
    </w:p>
    <w:p>
      <w:pPr>
        <w:pStyle w:val="ListParagraph"/>
        <w:numPr>
          <w:ilvl w:val="0"/>
          <w:numId w:val="2"/>
        </w:numPr>
        <w:spacing w:after="100" w:line="280"/>
      </w:pPr>
      <w:r>
        <w:rPr>
          <w:rFonts w:ascii="Calibri" w:cs="Calibri" w:eastAsia="Calibri" w:hAnsi="Calibri"/>
          <w:color w:val="333344"/>
          <w:sz w:val="22"/>
          <w:szCs w:val="22"/>
        </w:rPr>
        <w:t xml:space="preserve">Label detection: Identifying the “Sponsored” or “Ad” label that platforms are legally required to display in most jurisdictions. This is a simple OCR/accessibility-API task with near-100% accuracy for officially labelled ads.</w:t>
      </w:r>
    </w:p>
    <w:p>
      <w:pPr>
        <w:pStyle w:val="ListParagraph"/>
        <w:numPr>
          <w:ilvl w:val="0"/>
          <w:numId w:val="2"/>
        </w:numPr>
        <w:spacing w:after="100" w:line="280"/>
      </w:pPr>
      <w:r>
        <w:rPr>
          <w:rFonts w:ascii="Calibri" w:cs="Calibri" w:eastAsia="Calibri" w:hAnsi="Calibri"/>
          <w:color w:val="333344"/>
          <w:sz w:val="22"/>
          <w:szCs w:val="22"/>
        </w:rPr>
        <w:t xml:space="preserve">Content analysis: On-device vision and language models identify product placements, brand logos, discount codes, and call-to-action patterns in unlabelled influencer promotions.</w:t>
      </w:r>
    </w:p>
    <w:p>
      <w:pPr>
        <w:pStyle w:val="ListParagraph"/>
        <w:numPr>
          <w:ilvl w:val="0"/>
          <w:numId w:val="2"/>
        </w:numPr>
        <w:spacing w:after="100" w:line="280"/>
      </w:pPr>
      <w:r>
        <w:rPr>
          <w:rFonts w:ascii="Calibri" w:cs="Calibri" w:eastAsia="Calibri" w:hAnsi="Calibri"/>
          <w:color w:val="333344"/>
          <w:sz w:val="22"/>
          <w:szCs w:val="22"/>
        </w:rPr>
        <w:t xml:space="preserve">Signature matching: A continuously updated database of known ad creatives (built by the doomscrolling agent system described in Section 6) enables fingerprint-based matching for rapid identification.</w:t>
      </w:r>
    </w:p>
    <w:p>
      <w:pPr>
        <w:pStyle w:val="Heading2"/>
      </w:pPr>
      <w:r>
        <w:t xml:space="preserve">4.3 Platform Compatibility</w:t>
      </w:r>
    </w:p>
    <w:p>
      <w:pPr>
        <w:spacing w:after="180" w:line="300"/>
      </w:pPr>
      <w:r>
        <w:rPr>
          <w:rFonts w:ascii="Calibri" w:cs="Calibri" w:eastAsia="Calibri" w:hAnsi="Calibri"/>
          <w:color w:val="333344"/>
          <w:sz w:val="22"/>
          <w:szCs w:val="22"/>
        </w:rPr>
        <w:t xml:space="preserve">ScrollShield is designed to work with any vertically-scrolling content feed. Initial target platforms include TikTok, Instagram Reels, YouTube Shorts, and X (formerly Twitter). The accessibility-API approach means no modification to the target app is required, and the system is resilient to app updates since it operates at the rendering layer, not the network layer.</w:t>
      </w:r>
    </w:p>
    <w:p>
      <w:pPr>
        <w:spacing w:after="60"/>
      </w:pPr>
    </w:p>
    <w:p>
      <w:r>
        <w:br w:type="page"/>
      </w:r>
    </w:p>
    <w:p>
      <w:pPr>
        <w:pStyle w:val="Heading1"/>
      </w:pPr>
      <w:r>
        <w:t xml:space="preserve">5. Market Opportunity</w:t>
      </w:r>
    </w:p>
    <w:p>
      <w:pPr>
        <w:pBdr>
          <w:bottom w:val="single" w:color="4A7AFF" w:sz="4" w:space="1"/>
        </w:pBdr>
        <w:spacing w:after="200"/>
      </w:pPr>
    </w:p>
    <w:p>
      <w:pPr>
        <w:pStyle w:val="Heading2"/>
      </w:pPr>
      <w:r>
        <w:t xml:space="preserve">5.1 Market Context</w:t>
      </w:r>
    </w:p>
    <w:p>
      <w:pPr>
        <w:spacing w:after="180" w:line="300"/>
      </w:pPr>
      <w:r>
        <w:rPr>
          <w:rFonts w:ascii="Calibri" w:cs="Calibri" w:eastAsia="Calibri" w:hAnsi="Calibri"/>
          <w:color w:val="333344"/>
          <w:sz w:val="22"/>
          <w:szCs w:val="22"/>
        </w:rPr>
        <w:t xml:space="preserve">The digital wellness market is embedded within the broader global wellness industry, which is valued at $6.3 trillion and projected to reach $9 trillion by 2028. The product recommendation engine market alone stands at $9.15 billion in 2025, growing at 33% annually. There is significant and growing consumer demand for tools that address algorithmic manipulation.</w:t>
      </w:r>
    </w:p>
    <w:p>
      <w:pPr>
        <w:pStyle w:val="Heading2"/>
      </w:pPr>
      <w:r>
        <w:t xml:space="preserve">5.2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2260"/>
      </w:tblGrid>
      <w:tr>
        <w:tc>
          <w:tcPr>
            <w:tcW w:type="dxa" w:w="22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Solution</w:t>
            </w:r>
          </w:p>
        </w:tc>
        <w:tc>
          <w:tcPr>
            <w:tcW w:type="dxa" w:w="27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Approach</w:t>
            </w:r>
          </w:p>
        </w:tc>
        <w:tc>
          <w:tcPr>
            <w:tcW w:type="dxa" w:w="22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Limitation</w:t>
            </w:r>
          </w:p>
        </w:tc>
        <w:tc>
          <w:tcPr>
            <w:tcW w:type="dxa" w:w="226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ScrollShield Advantage</w:t>
            </w:r>
          </w:p>
        </w:tc>
      </w:tr>
      <w:tr>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Apple Screen Time</w:t>
            </w:r>
          </w:p>
        </w:tc>
        <w:tc>
          <w:tcPr>
            <w:tcW w:type="dxa" w:w="27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Counts minutes, locks apps after time limit</w:t>
            </w:r>
          </w:p>
        </w:tc>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No content awareness</w:t>
            </w:r>
          </w:p>
        </w:tc>
        <w:tc>
          <w:tcPr>
            <w:tcW w:type="dxa" w:w="22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Qualitative understanding of feed content</w:t>
            </w:r>
          </w:p>
        </w:tc>
      </w:tr>
      <w:tr>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Google Digital Wellbeing</w:t>
            </w:r>
          </w:p>
        </w:tc>
        <w:tc>
          <w:tcPr>
            <w:tcW w:type="dxa" w:w="27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Usage dashboards, bedtime mode</w:t>
            </w:r>
          </w:p>
        </w:tc>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No feed interception</w:t>
            </w:r>
          </w:p>
        </w:tc>
        <w:tc>
          <w:tcPr>
            <w:tcW w:type="dxa" w:w="226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Active filtering and re-ranking</w:t>
            </w:r>
          </w:p>
        </w:tc>
      </w:tr>
      <w:tr>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Minimalist phones</w:t>
            </w:r>
          </w:p>
        </w:tc>
        <w:tc>
          <w:tcPr>
            <w:tcW w:type="dxa" w:w="27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Remove apps entirely</w:t>
            </w:r>
          </w:p>
        </w:tc>
        <w:tc>
          <w:tcPr>
            <w:tcW w:type="dxa" w:w="22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Removes functionality</w:t>
            </w:r>
          </w:p>
        </w:tc>
        <w:tc>
          <w:tcPr>
            <w:tcW w:type="dxa" w:w="22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Keeps functionality, adds intelligence</w:t>
            </w:r>
          </w:p>
        </w:tc>
      </w:tr>
      <w:tr>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Web ad blockers</w:t>
            </w:r>
          </w:p>
        </w:tc>
        <w:tc>
          <w:tcPr>
            <w:tcW w:type="dxa" w:w="27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Block web ads via browser</w:t>
            </w:r>
          </w:p>
        </w:tc>
        <w:tc>
          <w:tcPr>
            <w:tcW w:type="dxa" w:w="22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Don’t work in native apps</w:t>
            </w:r>
          </w:p>
        </w:tc>
        <w:tc>
          <w:tcPr>
            <w:tcW w:type="dxa" w:w="226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Works at OS level across all apps</w:t>
            </w:r>
          </w:p>
        </w:tc>
      </w:tr>
    </w:tbl>
    <w:p>
      <w:pPr>
        <w:spacing w:after="200"/>
      </w:pPr>
    </w:p>
    <w:p>
      <w:pPr>
        <w:pStyle w:val="Heading2"/>
      </w:pPr>
      <w:r>
        <w:t xml:space="preserve">5.3 Strategic Positioning</w:t>
      </w:r>
    </w:p>
    <w:p>
      <w:pPr>
        <w:spacing w:after="180" w:line="300"/>
      </w:pPr>
      <w:r>
        <w:rPr>
          <w:rFonts w:ascii="Calibri" w:cs="Calibri" w:eastAsia="Calibri" w:hAnsi="Calibri"/>
          <w:color w:val="333344"/>
          <w:sz w:val="22"/>
          <w:szCs w:val="22"/>
        </w:rPr>
        <w:t xml:space="preserve">The ideal deployment path is integration into a major mobile operating system. Apple is the strongest candidate: its business model is hardware sales (not advertising), it has precedent for user-protection features that disrupt ad revenue (App Tracking Transparency cost Meta an estimated $10 billion), and “Algorithmic Sovereignty” aligns with Apple’s established privacy branding. An alternative path is a standalone Android application (leveraging Android’s accessibility service APIs) or a custom Android fork.</w:t>
      </w:r>
    </w:p>
    <w:p>
      <w:pPr>
        <w:spacing w:after="60"/>
      </w:pPr>
    </w:p>
    <w:p>
      <w:r>
        <w:br w:type="page"/>
      </w:r>
    </w:p>
    <w:p>
      <w:pPr>
        <w:pStyle w:val="Heading1"/>
      </w:pPr>
      <w:r>
        <w:t xml:space="preserve">6. Companion System: Doomscrolling Agent Fleet</w:t>
      </w:r>
    </w:p>
    <w:p>
      <w:pPr>
        <w:pBdr>
          <w:bottom w:val="single" w:color="4A7AFF" w:sz="4" w:space="1"/>
        </w:pBdr>
        <w:spacing w:after="200"/>
      </w:pPr>
    </w:p>
    <w:p>
      <w:pPr>
        <w:spacing w:after="180" w:line="300"/>
      </w:pPr>
      <w:r>
        <w:rPr>
          <w:rFonts w:ascii="Calibri" w:cs="Calibri" w:eastAsia="Calibri" w:hAnsi="Calibri"/>
          <w:color w:val="333344"/>
          <w:sz w:val="22"/>
          <w:szCs w:val="22"/>
        </w:rPr>
        <w:t xml:space="preserve">To maximise ScrollShield’s effectiveness, we propose a companion intelligence system: an autonomous agent fleet that doomscrolls TikTok and other platforms 24/7 on behalf of the project, building a comprehensive, real-time advertising intelligence database.</w:t>
      </w:r>
    </w:p>
    <w:p>
      <w:pPr>
        <w:pStyle w:val="Heading2"/>
      </w:pPr>
      <w:r>
        <w:t xml:space="preserve">6.1 Architecture</w:t>
      </w:r>
    </w:p>
    <w:p>
      <w:pPr>
        <w:pStyle w:val="ListParagraph"/>
        <w:numPr>
          <w:ilvl w:val="0"/>
          <w:numId w:val="2"/>
        </w:numPr>
        <w:spacing w:after="100" w:line="280"/>
      </w:pPr>
      <w:r>
        <w:rPr>
          <w:rFonts w:ascii="Calibri" w:cs="Calibri" w:eastAsia="Calibri" w:hAnsi="Calibri"/>
          <w:color w:val="333344"/>
          <w:sz w:val="22"/>
          <w:szCs w:val="22"/>
        </w:rPr>
        <w:t xml:space="preserve">Persona farm: Hundreds of synthetic accounts spanning demographic profiles (age, gender, location, interests), each behaving as a convincing human user.</w:t>
      </w:r>
    </w:p>
    <w:p>
      <w:pPr>
        <w:pStyle w:val="ListParagraph"/>
        <w:numPr>
          <w:ilvl w:val="0"/>
          <w:numId w:val="2"/>
        </w:numPr>
        <w:spacing w:after="100" w:line="280"/>
      </w:pPr>
      <w:r>
        <w:rPr>
          <w:rFonts w:ascii="Calibri" w:cs="Calibri" w:eastAsia="Calibri" w:hAnsi="Calibri"/>
          <w:color w:val="333344"/>
          <w:sz w:val="22"/>
          <w:szCs w:val="22"/>
        </w:rPr>
        <w:t xml:space="preserve">Autonomous scrolling engine: Each agent operates a headless browser or device-farm instance, continuously scrolling the For You page and recording every item encountered.</w:t>
      </w:r>
    </w:p>
    <w:p>
      <w:pPr>
        <w:pStyle w:val="ListParagraph"/>
        <w:numPr>
          <w:ilvl w:val="0"/>
          <w:numId w:val="2"/>
        </w:numPr>
        <w:spacing w:after="100" w:line="280"/>
      </w:pPr>
      <w:r>
        <w:rPr>
          <w:rFonts w:ascii="Calibri" w:cs="Calibri" w:eastAsia="Calibri" w:hAnsi="Calibri"/>
          <w:color w:val="333344"/>
          <w:sz w:val="22"/>
          <w:szCs w:val="22"/>
        </w:rPr>
        <w:t xml:space="preserve">Ad detection pipeline: Multi-modal classification (label detection, content analysis, API payload inspection) identifies and catalogues every advertisement.</w:t>
      </w:r>
    </w:p>
    <w:p>
      <w:pPr>
        <w:pStyle w:val="ListParagraph"/>
        <w:numPr>
          <w:ilvl w:val="0"/>
          <w:numId w:val="2"/>
        </w:numPr>
        <w:spacing w:after="100" w:line="280"/>
      </w:pPr>
      <w:r>
        <w:rPr>
          <w:rFonts w:ascii="Calibri" w:cs="Calibri" w:eastAsia="Calibri" w:hAnsi="Calibri"/>
          <w:color w:val="333344"/>
          <w:sz w:val="22"/>
          <w:szCs w:val="22"/>
        </w:rPr>
        <w:t xml:space="preserve">Open database: All detected ads are stored with rich metadata — advertiser, product, creative, targeting demographic, frequency, time-of-day, and geographic targeting.</w:t>
      </w:r>
    </w:p>
    <w:p>
      <w:pPr>
        <w:pStyle w:val="ListParagraph"/>
        <w:numPr>
          <w:ilvl w:val="0"/>
          <w:numId w:val="2"/>
        </w:numPr>
        <w:spacing w:after="100" w:line="280"/>
      </w:pPr>
      <w:r>
        <w:rPr>
          <w:rFonts w:ascii="Calibri" w:cs="Calibri" w:eastAsia="Calibri" w:hAnsi="Calibri"/>
          <w:color w:val="333344"/>
          <w:sz w:val="22"/>
          <w:szCs w:val="22"/>
        </w:rPr>
        <w:t xml:space="preserve">Signature feed: The database continuously generates ad fingerprints that are pushed to ScrollShield clients, enabling rapid signature-based ad blocking on-device.</w:t>
      </w:r>
    </w:p>
    <w:p>
      <w:pPr>
        <w:pStyle w:val="Heading2"/>
      </w:pPr>
      <w:r>
        <w:t xml:space="preserve">6.2 Intelligence Value</w:t>
      </w:r>
    </w:p>
    <w:p>
      <w:pPr>
        <w:spacing w:after="180" w:line="300"/>
      </w:pPr>
      <w:r>
        <w:rPr>
          <w:rFonts w:ascii="Calibri" w:cs="Calibri" w:eastAsia="Calibri" w:hAnsi="Calibri"/>
          <w:color w:val="333344"/>
          <w:sz w:val="22"/>
          <w:szCs w:val="22"/>
        </w:rPr>
        <w:t xml:space="preserve">The agent fleet answers questions that are currently unanswerable without insider access: which ads target teenagers vs. adults, which advertisers target users consuming mental health content, how ad frequency changes during late-night vulnerable-scrolling windows, and whether ads prohibited for minors (gambling, alcohol, diet supplements) are being served to underage users. This data has value for regulators, researchers, journalists, and consumer protection organisations.</w:t>
      </w:r>
    </w:p>
    <w:p>
      <w:pPr>
        <w:spacing w:after="60"/>
      </w:pPr>
    </w:p>
    <w:p>
      <w:r>
        <w:br w:type="page"/>
      </w:r>
    </w:p>
    <w:p>
      <w:pPr>
        <w:pStyle w:val="Heading1"/>
      </w:pPr>
      <w:r>
        <w:t xml:space="preserve">7. Demo Scope &amp; Prototype</w:t>
      </w:r>
    </w:p>
    <w:p>
      <w:pPr>
        <w:pBdr>
          <w:bottom w:val="single" w:color="4A7AFF" w:sz="4" w:space="1"/>
        </w:pBdr>
        <w:spacing w:after="200"/>
      </w:pPr>
    </w:p>
    <w:p>
      <w:pPr>
        <w:spacing w:after="180" w:line="300"/>
      </w:pPr>
      <w:r>
        <w:rPr>
          <w:rFonts w:ascii="Calibri" w:cs="Calibri" w:eastAsia="Calibri" w:hAnsi="Calibri"/>
          <w:color w:val="333344"/>
          <w:sz w:val="22"/>
          <w:szCs w:val="22"/>
        </w:rPr>
        <w:t xml:space="preserve">An interactive prototype has been developed demonstrating both core features. The prototype simulates a TikTok-style feed with realistic content and ad distribution, and allows switching between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Mode</w:t>
            </w:r>
          </w:p>
        </w:tc>
        <w:tc>
          <w:tcPr>
            <w:tcW w:type="dxa" w:w="368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Behaviour</w:t>
            </w:r>
          </w:p>
        </w:tc>
        <w:tc>
          <w:tcPr>
            <w:tcW w:type="dxa" w:w="368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Demonstrates</w:t>
            </w:r>
          </w:p>
        </w:tc>
      </w:tr>
      <w:tr>
        <w:tc>
          <w:tcPr>
            <w:tcW w:type="dxa" w:w="20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Shield Off</w:t>
            </w:r>
          </w:p>
        </w:tc>
        <w:tc>
          <w:tcPr>
            <w:tcW w:type="dxa" w:w="3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Raw feed as the platform delivers it. Ads blend seamlessly into the content stream.</w:t>
            </w:r>
          </w:p>
        </w:tc>
        <w:tc>
          <w:tcPr>
            <w:tcW w:type="dxa" w:w="3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The baseline: what users experience today with no protection.</w:t>
            </w:r>
          </w:p>
        </w:tc>
      </w:tr>
      <w:tr>
        <w:tc>
          <w:tcPr>
            <w:tcW w:type="dxa" w:w="20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Ad Counter</w:t>
            </w:r>
          </w:p>
        </w:tc>
        <w:tc>
          <w:tcPr>
            <w:tcW w:type="dxa" w:w="36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Floating counter tracks ads, revenue, and session time. Session report lists all targeting brands and categories.</w:t>
            </w:r>
          </w:p>
        </w:tc>
        <w:tc>
          <w:tcPr>
            <w:tcW w:type="dxa" w:w="36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Awareness mechanism: making the invisible visible shifts user behaviour.</w:t>
            </w:r>
          </w:p>
        </w:tc>
      </w:tr>
      <w:tr>
        <w:tc>
          <w:tcPr>
            <w:tcW w:type="dxa" w:w="20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Scroll Mask</w:t>
            </w:r>
          </w:p>
        </w:tc>
        <w:tc>
          <w:tcPr>
            <w:tcW w:type="dxa" w:w="3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Pre-scrolls 8 items, filters ads and blocked categories, re-ranks by user interests. Scanning animation shows the mask working.</w:t>
            </w:r>
          </w:p>
        </w:tc>
        <w:tc>
          <w:tcPr>
            <w:tcW w:type="dxa" w:w="3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Active protection: the user’s personal algorithm overrides the platform’s.</w:t>
            </w:r>
          </w:p>
        </w:tc>
      </w:tr>
    </w:tbl>
    <w:p>
      <w:pPr>
        <w:spacing w:after="200"/>
      </w:pPr>
    </w:p>
    <w:p>
      <w:pPr>
        <w:pStyle w:val="Heading2"/>
      </w:pPr>
      <w:r>
        <w:t xml:space="preserve">7.1 Demo Walkthrough</w:t>
      </w:r>
    </w:p>
    <w:p>
      <w:pPr>
        <w:pStyle w:val="ListParagraph"/>
        <w:numPr>
          <w:ilvl w:val="0"/>
          <w:numId w:val="4"/>
        </w:numPr>
        <w:spacing w:after="100" w:line="280"/>
      </w:pPr>
      <w:r>
        <w:rPr>
          <w:rFonts w:ascii="Calibri" w:cs="Calibri" w:eastAsia="Calibri" w:hAnsi="Calibri"/>
          <w:color w:val="333344"/>
          <w:sz w:val="22"/>
          <w:szCs w:val="22"/>
        </w:rPr>
        <w:t xml:space="preserve">Open the prototype and scroll through several items in “Shield Off” mode. Note how ads appear without friction or prominence.</w:t>
      </w:r>
    </w:p>
    <w:p>
      <w:pPr>
        <w:pStyle w:val="ListParagraph"/>
        <w:numPr>
          <w:ilvl w:val="0"/>
          <w:numId w:val="4"/>
        </w:numPr>
        <w:spacing w:after="100" w:line="280"/>
      </w:pPr>
      <w:r>
        <w:rPr>
          <w:rFonts w:ascii="Calibri" w:cs="Calibri" w:eastAsia="Calibri" w:hAnsi="Calibri"/>
          <w:color w:val="333344"/>
          <w:sz w:val="22"/>
          <w:szCs w:val="22"/>
        </w:rPr>
        <w:t xml:space="preserve">Switch to “Ad Counter” mode. Scroll through the same feed and observe the counter incrementing. Review the session report below the phone to see accumulated brand and category data.</w:t>
      </w:r>
    </w:p>
    <w:p>
      <w:pPr>
        <w:pStyle w:val="ListParagraph"/>
        <w:numPr>
          <w:ilvl w:val="0"/>
          <w:numId w:val="4"/>
        </w:numPr>
        <w:spacing w:after="100" w:line="280"/>
      </w:pPr>
      <w:r>
        <w:rPr>
          <w:rFonts w:ascii="Calibri" w:cs="Calibri" w:eastAsia="Calibri" w:hAnsi="Calibri"/>
          <w:color w:val="333344"/>
          <w:sz w:val="22"/>
          <w:szCs w:val="22"/>
        </w:rPr>
        <w:t xml:space="preserve">Switch to “Scroll Mask” mode. Tap scroll and observe the scanning overlay while the mask pre-processes 8 items. Note that only content matching user interests appears — ads and blocked categories are silently removed.</w:t>
      </w:r>
    </w:p>
    <w:p>
      <w:pPr>
        <w:pStyle w:val="ListParagraph"/>
        <w:numPr>
          <w:ilvl w:val="0"/>
          <w:numId w:val="4"/>
        </w:numPr>
        <w:spacing w:after="100" w:line="280"/>
      </w:pPr>
      <w:r>
        <w:rPr>
          <w:rFonts w:ascii="Calibri" w:cs="Calibri" w:eastAsia="Calibri" w:hAnsi="Calibri"/>
          <w:color w:val="333344"/>
          <w:sz w:val="22"/>
          <w:szCs w:val="22"/>
        </w:rPr>
        <w:t xml:space="preserve">Compare the mask report (items scanned, blocked, and passed) with the ad counter report to see how much unwanted content was intercepted.</w:t>
      </w:r>
    </w:p>
    <w:p>
      <w:pPr>
        <w:spacing w:after="60"/>
      </w:pPr>
    </w:p>
    <w:p>
      <w:r>
        <w:br w:type="page"/>
      </w:r>
    </w:p>
    <w:p>
      <w:pPr>
        <w:pStyle w:val="Heading1"/>
      </w:pPr>
      <w:r>
        <w:t xml:space="preserve">8. Development Roadmap</w:t>
      </w:r>
    </w:p>
    <w:p>
      <w:pPr>
        <w:pBdr>
          <w:bottom w:val="single" w:color="4A7AFF"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Phase</w:t>
            </w:r>
          </w:p>
        </w:tc>
        <w:tc>
          <w:tcPr>
            <w:tcW w:type="dxa" w:w="200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Timeline</w:t>
            </w:r>
          </w:p>
        </w:tc>
        <w:tc>
          <w:tcPr>
            <w:tcW w:type="dxa" w:w="576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Deliverables</w:t>
            </w:r>
          </w:p>
        </w:tc>
      </w:tr>
      <w:tr>
        <w:tc>
          <w:tcPr>
            <w:tcW w:type="dxa" w:w="16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Phase 1</w:t>
            </w:r>
          </w:p>
        </w:tc>
        <w:tc>
          <w:tcPr>
            <w:tcW w:type="dxa" w:w="20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Months 1–3</w:t>
            </w:r>
          </w:p>
        </w:tc>
        <w:tc>
          <w:tcPr>
            <w:tcW w:type="dxa" w:w="57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Android accessibility-service prototype with ad counter overlay for TikTok. On-device ad label detection model (OCR-based). User preference onboarding flow.</w:t>
            </w:r>
          </w:p>
        </w:tc>
      </w:tr>
      <w:tr>
        <w:tc>
          <w:tcPr>
            <w:tcW w:type="dxa" w:w="16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Phase 2</w:t>
            </w:r>
          </w:p>
        </w:tc>
        <w:tc>
          <w:tcPr>
            <w:tcW w:type="dxa" w:w="20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Months 4–6</w:t>
            </w:r>
          </w:p>
        </w:tc>
        <w:tc>
          <w:tcPr>
            <w:tcW w:type="dxa" w:w="576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Scroll mask implementation with real-time feed interception. Content classification model (ad type, category, sentiment). Signature database integration from agent fleet.</w:t>
            </w:r>
          </w:p>
        </w:tc>
      </w:tr>
      <w:tr>
        <w:tc>
          <w:tcPr>
            <w:tcW w:type="dxa" w:w="16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bCs/>
                <w:color w:val="333344"/>
                <w:sz w:val="20"/>
                <w:szCs w:val="20"/>
              </w:rPr>
              <w:t xml:space="preserve">Phase 3</w:t>
            </w:r>
          </w:p>
        </w:tc>
        <w:tc>
          <w:tcPr>
            <w:tcW w:type="dxa" w:w="200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Months 7–9</w:t>
            </w:r>
          </w:p>
        </w:tc>
        <w:tc>
          <w:tcPr>
            <w:tcW w:type="dxa" w:w="576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User preference learning from post-session feedback. Multi-platform support (Instagram Reels, YouTube Shorts, X). Public advertising intelligence dashboard.</w:t>
            </w:r>
          </w:p>
        </w:tc>
      </w:tr>
      <w:tr>
        <w:tc>
          <w:tcPr>
            <w:tcW w:type="dxa" w:w="16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Phase 4</w:t>
            </w:r>
          </w:p>
        </w:tc>
        <w:tc>
          <w:tcPr>
            <w:tcW w:type="dxa" w:w="200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Months 10–12</w:t>
            </w:r>
          </w:p>
        </w:tc>
        <w:tc>
          <w:tcPr>
            <w:tcW w:type="dxa" w:w="576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iOS integration pathway (partnership discussions or jailbreak-free implementation). Open-source release of agent fleet tooling. Regulatory engagement (EU DSA, national digital wellness authorities).</w:t>
            </w:r>
          </w:p>
        </w:tc>
      </w:tr>
    </w:tbl>
    <w:p>
      <w:pPr>
        <w:spacing w:after="60"/>
      </w:pPr>
    </w:p>
    <w:p>
      <w:r>
        <w:br w:type="page"/>
      </w:r>
    </w:p>
    <w:p>
      <w:pPr>
        <w:pStyle w:val="Heading1"/>
      </w:pPr>
      <w:r>
        <w:t xml:space="preserve">9. Estimated Budget</w:t>
      </w:r>
    </w:p>
    <w:p>
      <w:pPr>
        <w:pBdr>
          <w:bottom w:val="single" w:color="4A7AFF"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Item</w:t>
            </w:r>
          </w:p>
        </w:tc>
        <w:tc>
          <w:tcPr>
            <w:tcW w:type="dxa" w:w="234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right"/>
            </w:pPr>
            <w:r>
              <w:rPr>
                <w:rFonts w:ascii="Calibri" w:cs="Calibri" w:eastAsia="Calibri" w:hAnsi="Calibri"/>
                <w:b/>
                <w:bCs/>
                <w:color w:val="2E5AD4"/>
                <w:sz w:val="20"/>
                <w:szCs w:val="20"/>
              </w:rPr>
              <w:t xml:space="preserve">12-Month Cost</w:t>
            </w:r>
          </w:p>
        </w:tc>
        <w:tc>
          <w:tcPr>
            <w:tcW w:type="dxa" w:w="2340"/>
            <w:tcBorders>
              <w:top w:val="single" w:color="DADDE5" w:sz="1"/>
              <w:left w:val="single" w:color="DADDE5" w:sz="1"/>
              <w:bottom w:val="single" w:color="DADDE5" w:sz="1"/>
              <w:right w:val="single" w:color="DADDE5" w:sz="1"/>
            </w:tcBorders>
            <w:shd w:fill="E8ECF4" w:val="clear"/>
            <w:tcMar>
              <w:top w:type="dxa" w:w="80"/>
              <w:left w:type="dxa" w:w="140"/>
              <w:bottom w:type="dxa" w:w="80"/>
              <w:right w:type="dxa" w:w="140"/>
            </w:tcMar>
          </w:tcPr>
          <w:p>
            <w:pPr>
              <w:jc w:val="left"/>
            </w:pPr>
            <w:r>
              <w:rPr>
                <w:rFonts w:ascii="Calibri" w:cs="Calibri" w:eastAsia="Calibri" w:hAnsi="Calibri"/>
                <w:b/>
                <w:bCs/>
                <w:color w:val="2E5AD4"/>
                <w:sz w:val="20"/>
                <w:szCs w:val="20"/>
              </w:rPr>
              <w:t xml:space="preserve">Notes</w:t>
            </w:r>
          </w:p>
        </w:tc>
      </w:tr>
      <w:tr>
        <w:tc>
          <w:tcPr>
            <w:tcW w:type="dxa" w:w="4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Core engineering team (4 engineers)</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right"/>
            </w:pPr>
            <w:r>
              <w:rPr>
                <w:rFonts w:ascii="Calibri" w:cs="Calibri" w:eastAsia="Calibri" w:hAnsi="Calibri"/>
                <w:b w:val="false"/>
                <w:bCs w:val="false"/>
                <w:color w:val="333344"/>
                <w:sz w:val="20"/>
                <w:szCs w:val="20"/>
              </w:rPr>
              <w:t xml:space="preserve">€480,000–€640,000</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Mobile, ML, backend</w:t>
            </w:r>
          </w:p>
        </w:tc>
      </w:tr>
      <w:tr>
        <w:tc>
          <w:tcPr>
            <w:tcW w:type="dxa" w:w="46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ML model development and training</w:t>
            </w:r>
          </w:p>
        </w:tc>
        <w:tc>
          <w:tcPr>
            <w:tcW w:type="dxa" w:w="234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right"/>
            </w:pPr>
            <w:r>
              <w:rPr>
                <w:rFonts w:ascii="Calibri" w:cs="Calibri" w:eastAsia="Calibri" w:hAnsi="Calibri"/>
                <w:b w:val="false"/>
                <w:bCs w:val="false"/>
                <w:color w:val="333344"/>
                <w:sz w:val="20"/>
                <w:szCs w:val="20"/>
              </w:rPr>
              <w:t xml:space="preserve">€80,000–€120,000</w:t>
            </w:r>
          </w:p>
        </w:tc>
        <w:tc>
          <w:tcPr>
            <w:tcW w:type="dxa" w:w="234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Compute + labelling</w:t>
            </w:r>
          </w:p>
        </w:tc>
      </w:tr>
      <w:tr>
        <w:tc>
          <w:tcPr>
            <w:tcW w:type="dxa" w:w="4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Agent fleet infrastructure (device farm, proxies)</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right"/>
            </w:pPr>
            <w:r>
              <w:rPr>
                <w:rFonts w:ascii="Calibri" w:cs="Calibri" w:eastAsia="Calibri" w:hAnsi="Calibri"/>
                <w:b w:val="false"/>
                <w:bCs w:val="false"/>
                <w:color w:val="333344"/>
                <w:sz w:val="20"/>
                <w:szCs w:val="20"/>
              </w:rPr>
              <w:t xml:space="preserve">€60,000–€100,000</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Cloud + proxy services</w:t>
            </w:r>
          </w:p>
        </w:tc>
      </w:tr>
      <w:tr>
        <w:tc>
          <w:tcPr>
            <w:tcW w:type="dxa" w:w="468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UX/UI design and user research</w:t>
            </w:r>
          </w:p>
        </w:tc>
        <w:tc>
          <w:tcPr>
            <w:tcW w:type="dxa" w:w="234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right"/>
            </w:pPr>
            <w:r>
              <w:rPr>
                <w:rFonts w:ascii="Calibri" w:cs="Calibri" w:eastAsia="Calibri" w:hAnsi="Calibri"/>
                <w:b w:val="false"/>
                <w:bCs w:val="false"/>
                <w:color w:val="333344"/>
                <w:sz w:val="20"/>
                <w:szCs w:val="20"/>
              </w:rPr>
              <w:t xml:space="preserve">€60,000–€80,000</w:t>
            </w:r>
          </w:p>
        </w:tc>
        <w:tc>
          <w:tcPr>
            <w:tcW w:type="dxa" w:w="2340"/>
            <w:tcBorders>
              <w:top w:val="single" w:color="DADDE5" w:sz="1"/>
              <w:left w:val="single" w:color="DADDE5" w:sz="1"/>
              <w:bottom w:val="single" w:color="DADDE5" w:sz="1"/>
              <w:right w:val="single" w:color="DADDE5" w:sz="1"/>
            </w:tcBorders>
            <w:shd w:fill="F6F7FB" w:val="clear"/>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1 designer + testing</w:t>
            </w:r>
          </w:p>
        </w:tc>
      </w:tr>
      <w:tr>
        <w:tc>
          <w:tcPr>
            <w:tcW w:type="dxa" w:w="468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Legal and regulatory advisory</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right"/>
            </w:pPr>
            <w:r>
              <w:rPr>
                <w:rFonts w:ascii="Calibri" w:cs="Calibri" w:eastAsia="Calibri" w:hAnsi="Calibri"/>
                <w:b w:val="false"/>
                <w:bCs w:val="false"/>
                <w:color w:val="333344"/>
                <w:sz w:val="20"/>
                <w:szCs w:val="20"/>
              </w:rPr>
              <w:t xml:space="preserve">€30,000–€50,000</w:t>
            </w:r>
          </w:p>
        </w:tc>
        <w:tc>
          <w:tcPr>
            <w:tcW w:type="dxa" w:w="2340"/>
            <w:tcBorders>
              <w:top w:val="single" w:color="DADDE5" w:sz="1"/>
              <w:left w:val="single" w:color="DADDE5" w:sz="1"/>
              <w:bottom w:val="single" w:color="DADDE5" w:sz="1"/>
              <w:right w:val="single" w:color="DADDE5" w:sz="1"/>
            </w:tcBorders>
            <w:tcMar>
              <w:top w:type="dxa" w:w="80"/>
              <w:left w:type="dxa" w:w="140"/>
              <w:bottom w:type="dxa" w:w="80"/>
              <w:right w:type="dxa" w:w="140"/>
            </w:tcMar>
          </w:tcPr>
          <w:p>
            <w:pPr>
              <w:jc w:val="left"/>
            </w:pPr>
            <w:r>
              <w:rPr>
                <w:rFonts w:ascii="Calibri" w:cs="Calibri" w:eastAsia="Calibri" w:hAnsi="Calibri"/>
                <w:b w:val="false"/>
                <w:bCs w:val="false"/>
                <w:color w:val="333344"/>
                <w:sz w:val="20"/>
                <w:szCs w:val="20"/>
              </w:rPr>
              <w:t xml:space="preserve">TOS, GDPR, DSA</w:t>
            </w:r>
          </w:p>
        </w:tc>
      </w:tr>
      <w:tr>
        <w:tc>
          <w:tcPr>
            <w:tcW w:type="dxa" w:w="468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Total estimated range</w:t>
            </w:r>
          </w:p>
        </w:tc>
        <w:tc>
          <w:tcPr>
            <w:tcW w:type="dxa" w:w="234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right"/>
            </w:pPr>
            <w:r>
              <w:rPr>
                <w:rFonts w:ascii="Calibri" w:cs="Calibri" w:eastAsia="Calibri" w:hAnsi="Calibri"/>
                <w:b/>
                <w:bCs/>
                <w:color w:val="2E5AD4"/>
                <w:sz w:val="20"/>
                <w:szCs w:val="20"/>
              </w:rPr>
              <w:t xml:space="preserve">€710,000–€990,000</w:t>
            </w:r>
          </w:p>
        </w:tc>
        <w:tc>
          <w:tcPr>
            <w:tcW w:type="dxa" w:w="2340"/>
            <w:tcBorders>
              <w:top w:val="single" w:color="DADDE5" w:sz="1"/>
              <w:left w:val="single" w:color="DADDE5" w:sz="1"/>
              <w:bottom w:val="single" w:color="DADDE5" w:sz="1"/>
              <w:right w:val="single" w:color="DADDE5" w:sz="1"/>
            </w:tcBorders>
            <w:shd w:fill="F0F2F8" w:val="clear"/>
            <w:tcMar>
              <w:top w:type="dxa" w:w="80"/>
              <w:left w:type="dxa" w:w="140"/>
              <w:bottom w:type="dxa" w:w="80"/>
              <w:right w:type="dxa" w:w="140"/>
            </w:tcMar>
          </w:tcPr>
          <w:p>
            <w:pPr>
              <w:jc w:val="left"/>
            </w:pPr>
            <w:r>
              <w:rPr>
                <w:rFonts w:ascii="Calibri" w:cs="Calibri" w:eastAsia="Calibri" w:hAnsi="Calibri"/>
                <w:b/>
                <w:bCs/>
                <w:color w:val="333344"/>
                <w:sz w:val="20"/>
                <w:szCs w:val="20"/>
              </w:rPr>
              <w:t xml:space="preserve">Year 1</w:t>
            </w:r>
          </w:p>
        </w:tc>
      </w:tr>
    </w:tbl>
    <w:p>
      <w:pPr>
        <w:spacing w:after="60"/>
      </w:pPr>
    </w:p>
    <w:p>
      <w:r>
        <w:br w:type="page"/>
      </w:r>
    </w:p>
    <w:p>
      <w:pPr>
        <w:pStyle w:val="Heading1"/>
      </w:pPr>
      <w:r>
        <w:t xml:space="preserve">10. Conclusion</w:t>
      </w:r>
    </w:p>
    <w:p>
      <w:pPr>
        <w:pBdr>
          <w:bottom w:val="single" w:color="4A7AFF" w:sz="4" w:space="1"/>
        </w:pBdr>
        <w:spacing w:after="200"/>
      </w:pPr>
    </w:p>
    <w:p>
      <w:pPr>
        <w:spacing w:after="180" w:line="300"/>
      </w:pPr>
      <w:r>
        <w:rPr>
          <w:rFonts w:ascii="Calibri" w:cs="Calibri" w:eastAsia="Calibri" w:hAnsi="Calibri"/>
          <w:color w:val="333344"/>
          <w:sz w:val="22"/>
          <w:szCs w:val="22"/>
        </w:rPr>
        <w:t xml:space="preserve">The attention economy’s power rests on a single asymmetry: platforms know everything about how they manipulate your feed, and you know nothing. ScrollShield eliminates that asymmetry.</w:t>
      </w:r>
    </w:p>
    <w:p>
      <w:pPr>
        <w:spacing w:after="180" w:line="300"/>
      </w:pPr>
      <w:r>
        <w:rPr>
          <w:rFonts w:ascii="Calibri" w:cs="Calibri" w:eastAsia="Calibri" w:hAnsi="Calibri"/>
          <w:color w:val="333344"/>
          <w:sz w:val="22"/>
          <w:szCs w:val="22"/>
        </w:rPr>
        <w:t xml:space="preserve">The ad counter makes the invisible visible. The scroll mask gives the user an algorithm of their own. The agent fleet maps the entire advertising ecosystem in real time. Together, these components represent a complete inversion of the power structure of the attention economy — transforming the smartphone from a tool of manipulation into a tool of sovereignty.</w:t>
      </w:r>
    </w:p>
    <w:p>
      <w:pPr>
        <w:spacing w:after="180" w:line="300"/>
      </w:pPr>
      <w:r>
        <w:rPr>
          <w:rFonts w:ascii="Calibri" w:cs="Calibri" w:eastAsia="Calibri" w:hAnsi="Calibri"/>
          <w:color w:val="333344"/>
          <w:sz w:val="22"/>
          <w:szCs w:val="22"/>
        </w:rPr>
        <w:t xml:space="preserve">We are not proposing to ban doomscrolling, shame users, or fight billion-dollar companies in court. We are proposing to give every phone owner a better agent than any platform has. Once users taste that control, they will not want to give it back.</w:t>
      </w:r>
    </w:p>
    <w:p>
      <w:pPr>
        <w:spacing w:after="200"/>
      </w:pPr>
    </w:p>
    <w:p>
      <w:pPr>
        <w:pBdr>
          <w:top w:val="single" w:color="4A7AFF" w:sz="2" w:space="8"/>
        </w:pBdr>
        <w:spacing w:before="200"/>
        <w:jc w:val="center"/>
      </w:pPr>
      <w:r>
        <w:rPr>
          <w:rFonts w:ascii="Calibri" w:cs="Calibri" w:eastAsia="Calibri" w:hAnsi="Calibri"/>
          <w:i/>
          <w:iCs/>
          <w:color w:val="9999AA"/>
          <w:sz w:val="18"/>
          <w:szCs w:val="18"/>
        </w:rPr>
        <w:t xml:space="preserve">End of Proposal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AA"/>
        <w:sz w:val="16"/>
        <w:szCs w:val="16"/>
      </w:rPr>
      <w:t xml:space="preserve">Confidential — Page </w:t>
    </w:r>
    <w:r>
      <w:rPr>
        <w:rFonts w:ascii="Calibri" w:cs="Calibri" w:eastAsia="Calibri" w:hAnsi="Calibri"/>
        <w:color w:val="99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DE5" w:sz="2" w:space="4"/>
      </w:pBdr>
      <w:tabs>
        <w:tab w:val="right" w:pos="9026"/>
      </w:tabs>
    </w:pPr>
    <w:r>
      <w:rPr>
        <w:rFonts w:ascii="Calibri" w:cs="Calibri" w:eastAsia="Calibri" w:hAnsi="Calibri"/>
        <w:b/>
        <w:bCs/>
        <w:color w:val="4A7AFF"/>
        <w:sz w:val="16"/>
        <w:szCs w:val="16"/>
      </w:rPr>
      <w:t xml:space="preserve">ScrollShield</w:t>
    </w:r>
    <w:r>
      <w:rPr>
        <w:rFonts w:ascii="Calibri" w:cs="Calibri" w:eastAsia="Calibri" w:hAnsi="Calibri"/>
        <w:color w:val="9999AA"/>
        <w:sz w:val="16"/>
        <w:szCs w:val="16"/>
      </w:rPr>
      <w:t xml:space="preserve">	Demo Proposal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0A0A14"/>
      <w:sz w:val="36"/>
      <w:szCs w:val="36"/>
    </w:rPr>
  </w:style>
  <w:style w:type="paragraph" w:styleId="Heading2">
    <w:name w:val="Heading 2"/>
    <w:basedOn w:val="Normal"/>
    <w:next w:val="Normal"/>
    <w:qFormat/>
    <w:pPr>
      <w:spacing w:before="300" w:after="140"/>
      <w:outlineLvl w:val="1"/>
    </w:pPr>
    <w:rPr>
      <w:rFonts w:ascii="Calibri" w:cs="Calibri" w:eastAsia="Calibri" w:hAnsi="Calibri"/>
      <w:b/>
      <w:bCs/>
      <w:color w:val="2E5AD4"/>
      <w:sz w:val="28"/>
      <w:szCs w:val="28"/>
    </w:rPr>
  </w:style>
  <w:style w:type="paragraph" w:styleId="Heading3">
    <w:name w:val="Heading 3"/>
    <w:basedOn w:val="Normal"/>
    <w:next w:val="Normal"/>
    <w:qFormat/>
    <w:pPr>
      <w:spacing w:before="240" w:after="100"/>
      <w:outlineLvl w:val="2"/>
    </w:pPr>
    <w:rPr>
      <w:rFonts w:ascii="Calibri" w:cs="Calibri" w:eastAsia="Calibri" w:hAnsi="Calibri"/>
      <w:b/>
      <w:bCs/>
      <w:color w:val="3333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2026-03-08T23:21:50.997Z</dcterms:created>
  <dcterms:modified xsi:type="dcterms:W3CDTF">2026-03-08T23:21:50.998Z</dcterms:modified>
</cp:coreProperties>
</file>

<file path=docProps/custom.xml><?xml version="1.0" encoding="utf-8"?>
<Properties xmlns="http://schemas.openxmlformats.org/officeDocument/2006/custom-properties" xmlns:vt="http://schemas.openxmlformats.org/officeDocument/2006/docPropsVTypes"/>
</file>