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Environnement RL pour l’Optimisation P2X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BatteryEnv — Intégration du Stockage par Batterie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Mars 2026</w:t>
      </w:r>
    </w:p>
    <w:p>
      <w:pPr>
        <w:pStyle w:val="Heading1"/>
        <w:spacing w:before="300" w:after="150"/>
      </w:pPr>
      <w:r>
        <w:rPr>
          <w:b/>
          <w:bCs/>
        </w:rPr>
        <w:t xml:space="preserve">1. Introduction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Ce document décrit l’extension de l’environnement SimplexProjectionEnv avec l’ajout d’un système de stockage par batterie (BatteryEnv). Cette évolution représente un saut significatif en complexité : l’agent doit désormais gérer la dimension temporelle de l’énergie en décidant quand stocker et quand déstocker.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L’ajout de la batterie transforme le problème d’un exercice d’allocation instantanée en un véritable problème de planification énergétique, où les décisions prises à l’heure t affectent les possibilités aux heures suivantes.</w:t>
      </w:r>
    </w:p>
    <w:p>
      <w:pPr>
        <w:pStyle w:val="Heading1"/>
        <w:spacing w:before="300" w:after="150"/>
      </w:pPr>
      <w:r>
        <w:rPr>
          <w:b/>
          <w:bCs/>
        </w:rPr>
        <w:t xml:space="preserve">2. Description du Système Étendu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Le système conserve les deux sources d’énergie (solaire et éolien) et les deux unités de production (électrolyseur et ASU) de la version précédente, auxquelles s’ajoute un système de stockage.</w:t>
      </w:r>
    </w:p>
    <w:p>
      <w:pPr>
        <w:pStyle w:val="Heading2"/>
        <w:spacing w:before="300" w:after="150"/>
      </w:pPr>
      <w:r>
        <w:rPr>
          <w:b/>
          <w:bCs/>
        </w:rPr>
        <w:t xml:space="preserve">2.1. Nouveau Composant : Batterie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La batterie agit comme un tampon énergétique entre les sources renouvelables et les unités de production. Ses caractéristiques sont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Paramètre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Valeur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max_soc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50.0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Capacité maximale de la batterie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max_charge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30.0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Puissance maximale de charge par pas de temps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max_discharge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30.0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Puissance maximale de décharge par pas de temps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SOC initial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20–80%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Aléatoire entre 20% et 80% de max_soc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</w:rPr>
        <w:t xml:space="preserve">2.2. Flux Énergétiques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Le système comporte désormais 8 flux énergétiques au lieu de 4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Solaire → P₁ (E₁₁) : </w:t>
      </w:r>
      <w:r>
        <w:rPr>
          <w:rFonts w:ascii="Arial" w:cs="Arial" w:eastAsia="Arial" w:hAnsi="Arial"/>
          <w:sz w:val="22"/>
          <w:szCs w:val="22"/>
        </w:rPr>
        <w:t xml:space="preserve">Énergie solaire vers l’électrolyseur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Solaire → P₂ (E₁₂) : </w:t>
      </w:r>
      <w:r>
        <w:rPr>
          <w:rFonts w:ascii="Arial" w:cs="Arial" w:eastAsia="Arial" w:hAnsi="Arial"/>
          <w:sz w:val="22"/>
          <w:szCs w:val="22"/>
        </w:rPr>
        <w:t xml:space="preserve">Énergie solaire vers l’ASU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Solaire → Batterie (E₁B) : </w:t>
      </w:r>
      <w:r>
        <w:rPr>
          <w:rFonts w:ascii="Arial" w:cs="Arial" w:eastAsia="Arial" w:hAnsi="Arial"/>
          <w:sz w:val="22"/>
          <w:szCs w:val="22"/>
        </w:rPr>
        <w:t xml:space="preserve">Énergie solaire stockée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Éolien → P₁ (E₂₁) : </w:t>
      </w:r>
      <w:r>
        <w:rPr>
          <w:rFonts w:ascii="Arial" w:cs="Arial" w:eastAsia="Arial" w:hAnsi="Arial"/>
          <w:sz w:val="22"/>
          <w:szCs w:val="22"/>
        </w:rPr>
        <w:t xml:space="preserve">Énergie éolienne vers l’électrolyseur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Éolien → P₂ (E₂₂) : </w:t>
      </w:r>
      <w:r>
        <w:rPr>
          <w:rFonts w:ascii="Arial" w:cs="Arial" w:eastAsia="Arial" w:hAnsi="Arial"/>
          <w:sz w:val="22"/>
          <w:szCs w:val="22"/>
        </w:rPr>
        <w:t xml:space="preserve">Énergie éolienne vers l’ASU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Éolien → Batterie (E₂B) : </w:t>
      </w:r>
      <w:r>
        <w:rPr>
          <w:rFonts w:ascii="Arial" w:cs="Arial" w:eastAsia="Arial" w:hAnsi="Arial"/>
          <w:sz w:val="22"/>
          <w:szCs w:val="22"/>
        </w:rPr>
        <w:t xml:space="preserve">Énergie éolienne stockée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Batterie → P₁ (B₁) : </w:t>
      </w:r>
      <w:r>
        <w:rPr>
          <w:rFonts w:ascii="Arial" w:cs="Arial" w:eastAsia="Arial" w:hAnsi="Arial"/>
          <w:sz w:val="22"/>
          <w:szCs w:val="22"/>
        </w:rPr>
        <w:t xml:space="preserve">Énergie déstockée vers l’électrolyseur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Batterie → P₂ (B₂) : </w:t>
      </w:r>
      <w:r>
        <w:rPr>
          <w:rFonts w:ascii="Arial" w:cs="Arial" w:eastAsia="Arial" w:hAnsi="Arial"/>
          <w:sz w:val="22"/>
          <w:szCs w:val="22"/>
        </w:rPr>
        <w:t xml:space="preserve">Énergie déstockée vers l’ASU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3. Formulation du Problème d’Optimisation</w:t>
      </w:r>
    </w:p>
    <w:p>
      <w:pPr>
        <w:pStyle w:val="Heading2"/>
        <w:spacing w:before="300" w:after="150"/>
      </w:pPr>
      <w:r>
        <w:rPr>
          <w:b/>
          <w:bCs/>
        </w:rPr>
        <w:t xml:space="preserve">3.1. Objectif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La fonction objectif intègre désormais trois composantes : la production, la demande non satisfaite, et le curtailment (énergie renouvelable gaspillée) :</w:t>
      </w:r>
    </w:p>
    <w:p>
      <w:pPr>
        <w:spacing w:before="120" w:after="12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R(t) = P₁(t) + P₂(t) − λ_unmet × (unmet₁ + unmet₂) − λ_curt × (curt_sol + curt_wind) − Pénalité_SOC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Les poids de pénalité ont été calibrés pour équilibrer les différentes composantes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Paramètre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Valeur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Rôle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λ_unmet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Pénalité pour demande non satisfaite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λ_curt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Pénalité pour énergie curtailée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λ_low_soc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Pénalité pour SOC faible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soc_threshold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0.2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Seuil SOC en dessous duquel la pénalité s’active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</w:rPr>
        <w:t xml:space="preserve">3.2. Variables de Décision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L’agent contrôle 8 coefficients normalisés dans [0, 1]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U₁₁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Fraction du solaire allouée à P₁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U₁₂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Fraction du solaire restant allouée à P₂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U₂₁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Fraction de l’éolien allouée à P₁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U₂₂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Fraction de l’éolien restant allouée à P₂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U₁B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Fraction du solaire restant envoyée à la batterie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U₂B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Fraction de l’éolien restant envoyée à la batterie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UB₁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Fraction du SOC déchargée vers P₁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UB₂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Fraction du SOC restant déchargée vers P₂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</w:rPr>
        <w:t xml:space="preserve">3.3. Contraintes du Système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Le modèle respecte l’ensemble des contraintes physiques et opérationnelles suivantes :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A. Disponibilité Énergétique (Contrainte de Source)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La quantité d’énergie allouée depuis une source ne peut jamais excéder la puissance générée à cet instant. L’énergie envoyée à la batterie est incluse dans le bilan.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E₁₁(t) + E₁₂(t) + E₁B(t) ≤ P_solaire(t)</w:t>
      </w:r>
    </w:p>
    <w:p>
      <w:pPr>
        <w:spacing w:before="120" w:after="12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E₂₁(t) + E₂₂(t) + E₂B(t) ≤ P_éolien(t)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B. Conversion Énergétique (Loi Physique)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La production de chaque machine est proportionnelle à l’énergie totale qu’elle reçoit (Solaire + Éolien + Batterie), pondérée par son coefficient d’efficacité.</w:t>
      </w:r>
    </w:p>
    <w:p>
      <w:pPr>
        <w:spacing w:before="120" w:after="12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P₁(t) = α × (E₁₁(t) + E₂₁(t) + B₁(t))</w:t>
      </w:r>
    </w:p>
    <w:p>
      <w:pPr>
        <w:spacing w:before="120" w:after="12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P₂(t) = β × (E₁₂(t) + E₂₂(t) + B₂(t))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C. Satisfaction de la Demande (Contrainte de Production)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Le système doit garantir un niveau de production minimal. La non-satisfaction est pénalisée dans la récompense (λ_unmet = 10).</w:t>
      </w:r>
    </w:p>
    <w:p>
      <w:pPr>
        <w:spacing w:before="120" w:after="12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P₁(t) ≥ Demande_H₂(t)</w:t>
      </w:r>
    </w:p>
    <w:p>
      <w:pPr>
        <w:spacing w:before="120" w:after="12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P₂(t) ≥ Demande_N₂(t)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D. Positivité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Toutes les variables d’énergie et de production doivent être positives ou nulles.</w:t>
      </w:r>
    </w:p>
    <w:p>
      <w:pPr>
        <w:spacing w:before="120" w:after="12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E_ij(t) ≥ 0,   B_i(t) ≥ 0,   P_i(t) ≥ 0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E. Capacité de la Batterie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L’état de charge doit rester dans les limites physiques de la batterie à tout instant.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0 ≤ SOC(t) ≤ max_soc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La charge et la décharge sont bornées par les puissances maximales et la capacité disponible :</w:t>
      </w:r>
    </w:p>
    <w:p>
      <w:pPr>
        <w:spacing w:before="120" w:after="12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charge(t) ≤ min(max_charge, max_soc − SOC(t))</w:t>
      </w:r>
    </w:p>
    <w:p>
      <w:pPr>
        <w:spacing w:before="120" w:after="12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décharge(t) ≤ min(max_discharge, SOC(t))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F. Exclusivité Charge/Décharge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La batterie ne peut pas charger et décharger simultanément au même pas de temps. Gérée par le mécanisme de netting (voir section 4.2).</w:t>
      </w:r>
    </w:p>
    <w:p>
      <w:pPr>
        <w:spacing w:before="120" w:after="12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charge(t) × décharge(t) = 0   ∀t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G. Dynamique de l’État de Charge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Le SOC évolue en fonction des flux nets de charge et de décharge :</w:t>
      </w:r>
    </w:p>
    <w:p>
      <w:pPr>
        <w:spacing w:before="120" w:after="12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SOC(t+1) = SOC(t) + charge(t) − décharge(t)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H. Pénalité SOC Bas (Contrainte Souple)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Plutôt qu’un SOC minimum strict, une pénalité douce et progressive guide l’agent :</w:t>
      </w:r>
    </w:p>
    <w:p>
      <w:pPr>
        <w:spacing w:before="120" w:after="12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Pénalité_SOC(t) = λ_low_soc × max(0, seuil − SOC(t))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Où seuil = 0.2 × max_soc = 10 unités.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I. Minimisation du Curtailment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L’énergie renouvelable non utilisée et non stockée est pénalisée (λ_curt = 5) :</w:t>
      </w:r>
    </w:p>
    <w:p>
      <w:pPr>
        <w:spacing w:before="120" w:after="12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curt_solaire(t) = P_solaire(t) − (E₁₁(t) + E₁₂(t) + E₁B(t))</w:t>
      </w:r>
    </w:p>
    <w:p>
      <w:pPr>
        <w:spacing w:before="120" w:after="12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curt_éolien(t) = P_éolien(t) − (E₂₁(t) + E₂₂(t) + E₂B(t))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4. Architecture de l’Environnement RL</w:t>
      </w:r>
    </w:p>
    <w:p>
      <w:pPr>
        <w:pStyle w:val="Heading2"/>
        <w:spacing w:before="300" w:after="150"/>
      </w:pPr>
      <w:r>
        <w:rPr>
          <w:b/>
          <w:bCs/>
        </w:rPr>
        <w:t xml:space="preserve">4.1. Allocation Séquentielle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L’allocation se fait de manière séquentielle pour chaque source. Prenons l’exemple du solaire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E₁₁ = U₁₁ × Solaire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E₁₂ = U₁₂ × (Solaire − E₁₁)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E₁B = U₁B × (Solaire − E₁₁ − E₁₂)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La même logique s’applique à l’éolien et à la décharge de la batterie. Cette structure garantit que la somme des allocations ne dépasse jamais la ressource disponible.</w:t>
      </w:r>
    </w:p>
    <w:p>
      <w:pPr>
        <w:pStyle w:val="Heading2"/>
        <w:spacing w:before="300" w:after="150"/>
      </w:pPr>
      <w:r>
        <w:rPr>
          <w:b/>
          <w:bCs/>
        </w:rPr>
        <w:t xml:space="preserve">4.2. Mécanisme de Netting (Charge/Décharge)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Pour interdire la charge et la décharge simultanées, un mécanisme de compensation (netting) est appliqué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Calcul des flux bruts : </w:t>
      </w:r>
      <w:r>
        <w:rPr>
          <w:rFonts w:ascii="Arial" w:cs="Arial" w:eastAsia="Arial" w:hAnsi="Arial"/>
          <w:sz w:val="22"/>
          <w:szCs w:val="22"/>
        </w:rPr>
        <w:t xml:space="preserve">gross_charge = E₁B_raw + E₂B_raw et gross_discharge = B₁_raw + B₂_raw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Détermination du mode : </w:t>
      </w:r>
      <w:r>
        <w:rPr>
          <w:rFonts w:ascii="Arial" w:cs="Arial" w:eastAsia="Arial" w:hAnsi="Arial"/>
          <w:sz w:val="22"/>
          <w:szCs w:val="22"/>
        </w:rPr>
        <w:t xml:space="preserve">Si gross_charge ≥ gross_discharge, la batterie est en mode charge. Sinon, mode décharge.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Compensation : </w:t>
      </w:r>
      <w:r>
        <w:rPr>
          <w:rFonts w:ascii="Arial" w:cs="Arial" w:eastAsia="Arial" w:hAnsi="Arial"/>
          <w:sz w:val="22"/>
          <w:szCs w:val="22"/>
        </w:rPr>
        <w:t xml:space="preserve">Le flux net est calculé (gross_charge − gross_discharge ou inversement), borné par les limites physiques.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Mise à l’échelle : </w:t>
      </w:r>
      <w:r>
        <w:rPr>
          <w:rFonts w:ascii="Arial" w:cs="Arial" w:eastAsia="Arial" w:hAnsi="Arial"/>
          <w:sz w:val="22"/>
          <w:szCs w:val="22"/>
        </w:rPr>
        <w:t xml:space="preserve">Les flux individuels du côté gagnant sont réduits proportionnellement pour correspondre au flux net. Le côté perdant est mis à zéro.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Cette approche permet à l’agent d’apprendre naturellement qu’envoyer des signaux contradictoires (charger et décharger) est inutile, car ils s’annulent mutuellement.</w:t>
      </w:r>
    </w:p>
    <w:p>
      <w:pPr>
        <w:pStyle w:val="Heading2"/>
        <w:spacing w:before="300" w:after="150"/>
      </w:pPr>
      <w:r>
        <w:rPr>
          <w:b/>
          <w:bCs/>
        </w:rPr>
        <w:t xml:space="preserve">4.3. Mise à Jour du SOC</w:t>
      </w:r>
    </w:p>
    <w:p>
      <w:pPr>
        <w:spacing w:before="120" w:after="12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SOC(t+1) = SOC(t) + charge_nette − décharge_nette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Le SOC est mis à jour de manière inconditionnelle après le netting. L’observation suivante utilise le SOC mis à jour (et non l’ancien), garantissant que l’agent voit toujours l’état réel de la batterie.</w:t>
      </w:r>
    </w:p>
    <w:p>
      <w:pPr>
        <w:pStyle w:val="Heading2"/>
        <w:spacing w:before="300" w:after="150"/>
      </w:pPr>
      <w:r>
        <w:rPr>
          <w:b/>
          <w:bCs/>
        </w:rPr>
        <w:t xml:space="preserve">4.4. Espaces d’Observation et d’Action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Espace d’observation (S ∈ ℝ⁶) 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26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t_norm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Temps normalisé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[0, 1]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solar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Puissance solaire disponible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[0, 200]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wind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Puissance éolienne disponible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[0, 200]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demand_1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Demande électrolyseur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[0, 30]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demand_2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Demande ASU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[0, 30]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soc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État de charge de la batterie (nouveau)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[0, 50]</w:t>
            </w:r>
          </w:p>
        </w:tc>
      </w:tr>
    </w:tbl>
    <w:p>
      <w:pPr>
        <w:spacing w:after="200"/>
      </w:pP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Espace d’action (A ∈ [0,1]⁸) 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Passage de 4 à 8 actions pour gérer les flux vers/depuis la batterie. Les 4 premières actions sont identiques à la version précédente. Les 4 nouvelles actions (U₁B, U₂B, UB₁, UB₂) contrôlent les échanges avec la batterie.</w:t>
      </w:r>
    </w:p>
    <w:p>
      <w:pPr>
        <w:pStyle w:val="Heading2"/>
        <w:spacing w:before="300" w:after="150"/>
      </w:pPr>
      <w:r>
        <w:rPr>
          <w:b/>
          <w:bCs/>
        </w:rPr>
        <w:t xml:space="preserve">4.5. Pénalité SOC Bas (Soft Constraint)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Plutôt qu’imposer un SOC minimum strict (qui n’offre aucun gradient d’apprentissage), une pénalité douce et linéaire est appliquée lorsque le SOC descend sous un seuil :</w:t>
      </w:r>
    </w:p>
    <w:p>
      <w:pPr>
        <w:spacing w:before="120" w:after="12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Pénalité_SOC = λ_low_soc × max(0, seuil − SOC)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Où seuil = 0.2 × max_soc = 10 unités. Plus le SOC est bas, plus la pénalité est forte. Cela donne un signal gradient continu qui guide l’agent à maintenir un niveau de charge raisonnable sans l’y contraindre de manière rigide.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5. Génération des Profils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Les profils de génération et de demande sont identiques à ceux décrits dans le document de la version mise à jour de SimplexProjectionEnv. Se référer au document correspondant pour les détails sur le profil solaire gaussien, le vent autorégressif AR(1), et les demandes à double pic.</w:t>
      </w:r>
    </w:p>
    <w:p>
      <w:pPr>
        <w:pStyle w:val="Heading1"/>
        <w:spacing w:before="300" w:after="150"/>
      </w:pPr>
      <w:r>
        <w:rPr>
          <w:b/>
          <w:bCs/>
        </w:rPr>
        <w:t xml:space="preserve">6. Résultats Préliminaires d’Entraînement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L’agent a été entraîné avec PPO (Proximal Policy Optimization) sur 200 000 pas de temps avec les hyperparamètres suivants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Hyperparamètre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Valeur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Justification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learning_rate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3×10⁻⁴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Standard pour PPO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n_envs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Adapté à 8 Go RAM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gamma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0.99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Valoriser les décisions futures (batterie)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ent_coef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0.01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Exploration modérée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net_arch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[128, 128]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Réseaux politique/valeur séparés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</w:rPr>
        <w:t xml:space="preserve">6.1. Observations Clés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Curtailment résolu : </w:t>
      </w:r>
      <w:r>
        <w:rPr>
          <w:rFonts w:ascii="Arial" w:cs="Arial" w:eastAsia="Arial" w:hAnsi="Arial"/>
          <w:sz w:val="22"/>
          <w:szCs w:val="22"/>
        </w:rPr>
        <w:t xml:space="preserve">L’agent a appris à éliminer quasi totalement le gaspillage énergétique dès les 20 000 premiers pas (de 530 à ~0).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Demande partiellement satisfaite : </w:t>
      </w:r>
      <w:r>
        <w:rPr>
          <w:rFonts w:ascii="Arial" w:cs="Arial" w:eastAsia="Arial" w:hAnsi="Arial"/>
          <w:sz w:val="22"/>
          <w:szCs w:val="22"/>
        </w:rPr>
        <w:t xml:space="preserve">L’unmet demand a diminué de 142 à ~35–45, soit une amélioration de ~70%. La récompense est passée de −4000 à des valeurs positives (~+80).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Batterie non utilisée : </w:t>
      </w:r>
      <w:r>
        <w:rPr>
          <w:rFonts w:ascii="Arial" w:cs="Arial" w:eastAsia="Arial" w:hAnsi="Arial"/>
          <w:sz w:val="22"/>
          <w:szCs w:val="22"/>
        </w:rPr>
        <w:t xml:space="preserve">L’agent n’a pas appris à utiliser la batterie (charge et décharge = 0). Il privilégie l’allocation directe des renouvelables, qui offre une récompense immédiate, sans découvrir la stratégie « stocker le jour, déstocker le soir 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Déséquilibre P₁/P₂ : </w:t>
      </w:r>
      <w:r>
        <w:rPr>
          <w:rFonts w:ascii="Arial" w:cs="Arial" w:eastAsia="Arial" w:hAnsi="Arial"/>
          <w:sz w:val="22"/>
          <w:szCs w:val="22"/>
        </w:rPr>
        <w:t xml:space="preserve">P₁ reçoit significativement plus d’énergie que P₂, suggérant un biais dans l’allocation que l’agent n’a pas corrigé.</w:t>
      </w:r>
    </w:p>
    <w:p>
      <w:pPr>
        <w:pStyle w:val="Heading2"/>
        <w:spacing w:before="300" w:after="150"/>
      </w:pPr>
      <w:r>
        <w:rPr>
          <w:b/>
          <w:bCs/>
        </w:rPr>
        <w:t xml:space="preserve">6.2. Prochaines Étapes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Plusieurs axes d’amélioration sont envisagés pour encourager l’utilisation de la batterie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Reward shaping : </w:t>
      </w:r>
      <w:r>
        <w:rPr>
          <w:rFonts w:ascii="Arial" w:cs="Arial" w:eastAsia="Arial" w:hAnsi="Arial"/>
          <w:sz w:val="22"/>
          <w:szCs w:val="22"/>
        </w:rPr>
        <w:t xml:space="preserve">Ajout d’une prime incitant la charge lorsque l’offre dépasse la demande, et la décharge en cas de déficit.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Exploration accrue : </w:t>
      </w:r>
      <w:r>
        <w:rPr>
          <w:rFonts w:ascii="Arial" w:cs="Arial" w:eastAsia="Arial" w:hAnsi="Arial"/>
          <w:sz w:val="22"/>
          <w:szCs w:val="22"/>
        </w:rPr>
        <w:t xml:space="preserve">Augmentation du coefficient d’entropie (ent_coef) pour forcer l’agent à explorer des stratégies de stockage.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Réseau plus profond : </w:t>
      </w:r>
      <w:r>
        <w:rPr>
          <w:rFonts w:ascii="Arial" w:cs="Arial" w:eastAsia="Arial" w:hAnsi="Arial"/>
          <w:sz w:val="22"/>
          <w:szCs w:val="22"/>
        </w:rPr>
        <w:t xml:space="preserve">Passage à des couches [256, 256] pour améliorer la capacité de raisonnement temporel.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Entraînement prolongé : </w:t>
      </w:r>
      <w:r>
        <w:rPr>
          <w:rFonts w:ascii="Arial" w:cs="Arial" w:eastAsia="Arial" w:hAnsi="Arial"/>
          <w:sz w:val="22"/>
          <w:szCs w:val="22"/>
        </w:rPr>
        <w:t xml:space="preserve">Extension à 500k–1M pas de temps pour permettre la découverte de stratégies de stockage à long terme.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Comparaison SAC : </w:t>
      </w:r>
      <w:r>
        <w:rPr>
          <w:rFonts w:ascii="Arial" w:cs="Arial" w:eastAsia="Arial" w:hAnsi="Arial"/>
          <w:sz w:val="22"/>
          <w:szCs w:val="22"/>
        </w:rPr>
        <w:t xml:space="preserve">Test de l’algorithme SAC (Soft Actor-Critic), mieux adapté aux espaces d’action continus et naturellement exploratoire.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INNOVX — Projet P2X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2026-03-01T18:00:12.046Z</dcterms:created>
  <dcterms:modified xsi:type="dcterms:W3CDTF">2026-03-01T18:00:12.047Z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