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ending-50-owner-led"/>
    <w:p>
      <w:pPr>
        <w:pStyle w:val="Heading1"/>
      </w:pPr>
      <w:r>
        <w:t xml:space="preserve">Lending – 50+ – Owner-Led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US lending companies, 51+ employees, owner-led decision makers (Founder, CEO, President, C-Suite).</w:t>
      </w:r>
    </w:p>
    <w:p>
      <w:pPr>
        <w:pStyle w:val="BodyText"/>
      </w:pPr>
      <w:r>
        <w:rPr>
          <w:b/>
          <w:bCs/>
        </w:rPr>
        <w:t xml:space="preserve">Framework:</w:t>
      </w:r>
      <w:r>
        <w:t xml:space="preserve"> </w:t>
      </w:r>
      <w:r>
        <w:t xml:space="preserve">question-led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variant-1a"/>
    <w:p>
      <w:pPr>
        <w:pStyle w:val="Heading3"/>
      </w:pPr>
      <w:r>
        <w:t xml:space="preserve">Variant 1A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what is not getting done?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What is not getting done at {{company_name}} because the technical side cannot get to it?</w:t>
      </w:r>
    </w:p>
    <w:p>
      <w:pPr>
        <w:pStyle w:val="BodyText"/>
      </w:pPr>
      <w:r>
        <w:t xml:space="preserve">At most lenders your size there is a list, and it has been the same list for a year. We clear it without you hiring anyone, for a fraction of what the hire would cost.</w:t>
      </w:r>
    </w:p>
    <w:p>
      <w:pPr>
        <w:pStyle w:val="BodyText"/>
      </w:pPr>
      <w:r>
        <w:t xml:space="preserve">Want me to send what that costs next to the hire?</w:t>
      </w:r>
    </w:p>
    <w:bookmarkEnd w:id="9"/>
    <w:bookmarkStart w:id="10" w:name="variant-1b"/>
    <w:p>
      <w:pPr>
        <w:pStyle w:val="Heading3"/>
      </w:pPr>
      <w:r>
        <w:t xml:space="preserve">Variant 1B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if they left tomorrow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If the one or two people holding {{company_name}} together technically left tomorrow, how long until you were fine again?</w:t>
      </w:r>
    </w:p>
    <w:p>
      <w:pPr>
        <w:pStyle w:val="BodyText"/>
      </w:pPr>
      <w:r>
        <w:t xml:space="preserve">Most lenders your size are carrying that quietly and have never priced it. We take it off the table, and it costs less than most people guess.</w:t>
      </w:r>
    </w:p>
    <w:p>
      <w:pPr>
        <w:pStyle w:val="BodyText"/>
      </w:pPr>
      <w:r>
        <w:t xml:space="preserve">Want me to send what other lenders did about it?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i/>
          <w:iCs/>
        </w:rPr>
        <w:t xml:space="preserve">Sent as a reply on the same thread. No new subject line.</w:t>
      </w:r>
    </w:p>
    <w:bookmarkStart w:id="12" w:name="variant-2a"/>
    <w:p>
      <w:pPr>
        <w:pStyle w:val="Heading3"/>
      </w:pPr>
      <w:r>
        <w:t xml:space="preserve">Variant 2A</w:t>
      </w:r>
    </w:p>
    <w:p>
      <w:pPr>
        <w:pStyle w:val="FirstParagraph"/>
      </w:pPr>
      <w:r>
        <w:t xml:space="preserve">Different angle on the same thing {{first_name}}. One lender cut what they were spending to run their systems by about 45 percent once we took it over, and the list they had been deferring got cleared.</w:t>
      </w:r>
    </w:p>
    <w:p>
      <w:pPr>
        <w:pStyle w:val="BodyText"/>
      </w:pPr>
      <w:r>
        <w:t xml:space="preserve">Happy to send that one written up, if it is useful.</w:t>
      </w:r>
    </w:p>
    <w:bookmarkEnd w:id="12"/>
    <w:bookmarkStart w:id="13" w:name="variant-2b"/>
    <w:p>
      <w:pPr>
        <w:pStyle w:val="Heading3"/>
      </w:pPr>
      <w:r>
        <w:t xml:space="preserve">Variant 2B</w:t>
      </w:r>
    </w:p>
    <w:p>
      <w:pPr>
        <w:pStyle w:val="FirstParagraph"/>
      </w:pPr>
      <w:r>
        <w:t xml:space="preserve">Last one {{first_name}}. When an auditor asks who controls access to your systems, is the answer a person or a process?</w:t>
      </w:r>
    </w:p>
    <w:p>
      <w:pPr>
        <w:pStyle w:val="BodyText"/>
      </w:pPr>
      <w:r>
        <w:t xml:space="preserve">That question tends to concentrate the mind. Happy to send how other lenders answered it.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2026-07-30T11:58:47Z</dcterms:created>
  <dcterms:modified xsi:type="dcterms:W3CDTF">2026-07-30T11:58:47Z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