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3338a98d09569225fbe7222179ffb9d0029890c"/>
    <w:p>
      <w:pPr>
        <w:pStyle w:val="Heading1"/>
      </w:pPr>
      <w:r>
        <w:t xml:space="preserve">Piper AI — Decision Makers (Feedback) — Email Sequence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decision makers at US GC / CMAR firms — presidents, VPs, COOs, preconstruction and operations directors, chief estimators, business development, plus innovation / VDC / technology leads. Fresh leads, never contacted by us before.</w:t>
      </w:r>
    </w:p>
    <w:p>
      <w:pPr>
        <w:pStyle w:val="BodyText"/>
      </w:pPr>
      <w:r>
        <w:rPr>
          <w:b/>
          <w:bCs/>
        </w:rPr>
        <w:t xml:space="preserve">Two campaigns, identical copy.</w:t>
      </w:r>
      <w:r>
        <w:t xml:space="preserve"> </w:t>
      </w:r>
      <w:r>
        <w:t xml:space="preserve">The list is split only by whether the recipient’s mailbox sits behind a corporate email security gateway (Proofpoint, Mimecast, Barracuda). That split exists purely so we can read deliverability separately — the message is the same on both.</w:t>
      </w:r>
    </w:p>
    <w:p>
      <w:pPr>
        <w:pStyle w:val="BodyText"/>
      </w:pPr>
      <w:r>
        <w:rPr>
          <w:b/>
          <w:bCs/>
        </w:rPr>
        <w:t xml:space="preserve">Sequence:</w:t>
      </w:r>
      <w:r>
        <w:t xml:space="preserve"> </w:t>
      </w:r>
      <w:r>
        <w:t xml:space="preserve">2 touches. Two variants on the first email, one follow-up.</w:t>
      </w:r>
    </w:p>
    <w:p>
      <w:pPr>
        <w:pStyle w:val="BodyText"/>
      </w:pPr>
      <w:r>
        <w:rPr>
          <w:b/>
          <w:bCs/>
        </w:rPr>
        <w:t xml:space="preserve">Personalisation:</w:t>
      </w:r>
      <w:r>
        <w:t xml:space="preserve"> </w:t>
      </w:r>
      <w:r>
        <w:rPr>
          <w:rStyle w:val="VerbatimChar"/>
        </w:rPr>
        <w:t xml:space="preserve">{{first_name}}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{{authority_line}}</w:t>
      </w:r>
      <w:r>
        <w:t xml:space="preserve"> </w:t>
      </w:r>
      <w:r>
        <w:t xml:space="preserve">— a per-lead line describing what that person actually runs, generated from their title and their company’s own description.</w:t>
      </w:r>
    </w:p>
    <w:p>
      <w:r>
        <w:pict>
          <v:rect style="width:0;height:1.5pt" o:hralign="center" o:hrstd="t" o:hr="t"/>
        </w:pict>
      </w:r>
    </w:p>
    <w:bookmarkStart w:id="9" w:name="email-1-variant-a"/>
    <w:p>
      <w:pPr>
        <w:pStyle w:val="Heading2"/>
      </w:pPr>
      <w:r>
        <w:t xml:space="preserve">Email 1 — variant A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your take {{first_name}}</w:t>
      </w:r>
    </w:p>
    <w:p>
      <w:pPr>
        <w:pStyle w:val="BodyText"/>
      </w:pPr>
      <w:r>
        <w:t xml:space="preserve">{{first_name}},</w:t>
      </w:r>
    </w:p>
    <w:p>
      <w:pPr>
        <w:pStyle w:val="BodyText"/>
      </w:pPr>
      <w:r>
        <w:t xml:space="preserve">We raised money to build the first ever operating system for preconstruction teams.</w:t>
      </w:r>
    </w:p>
    <w:p>
      <w:pPr>
        <w:pStyle w:val="BodyText"/>
      </w:pPr>
      <w:r>
        <w:t xml:space="preserve">It enables growth-driven general contractors to get more specific under pressure without adding headcount.</w:t>
      </w:r>
    </w:p>
    <w:p>
      <w:pPr>
        <w:pStyle w:val="BodyText"/>
      </w:pPr>
      <w:r>
        <w:t xml:space="preserve">Given the fact that {{authority_line}}, you’d know fast whether this is useful or nonsense.</w:t>
      </w:r>
    </w:p>
    <w:p>
      <w:pPr>
        <w:pStyle w:val="BodyText"/>
      </w:pPr>
      <w:r>
        <w:t xml:space="preserve">Would appreciate your blunt take if you’re open to it.</w:t>
      </w:r>
    </w:p>
    <w:p>
      <w:r>
        <w:pict>
          <v:rect style="width:0;height:1.5pt" o:hralign="center" o:hrstd="t" o:hr="t"/>
        </w:pict>
      </w:r>
    </w:p>
    <w:bookmarkEnd w:id="9"/>
    <w:bookmarkStart w:id="10" w:name="email-1-variant-b"/>
    <w:p>
      <w:pPr>
        <w:pStyle w:val="Heading2"/>
      </w:pPr>
      <w:r>
        <w:t xml:space="preserve">Email 1 — variant B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built something for precon teams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We raised money to build an end to end operating system for pre-con teams.</w:t>
      </w:r>
    </w:p>
    <w:p>
      <w:pPr>
        <w:pStyle w:val="BodyText"/>
      </w:pPr>
      <w:r>
        <w:t xml:space="preserve">It helps scale bid volume, cut manual rework, raise win rate, and break into new bid sources, all without adding headcount.</w:t>
      </w:r>
    </w:p>
    <w:p>
      <w:pPr>
        <w:pStyle w:val="BodyText"/>
      </w:pPr>
      <w:r>
        <w:t xml:space="preserve">Given the fact that {{authority_line}}, your read on this would be worth more than most.</w:t>
      </w:r>
    </w:p>
    <w:p>
      <w:pPr>
        <w:pStyle w:val="BodyText"/>
      </w:pPr>
      <w:r>
        <w:t xml:space="preserve">Open to giving us your honest take?</w:t>
      </w:r>
    </w:p>
    <w:p>
      <w:r>
        <w:pict>
          <v:rect style="width:0;height:1.5pt" o:hralign="center" o:hrstd="t" o:hr="t"/>
        </w:pict>
      </w:r>
    </w:p>
    <w:bookmarkEnd w:id="10"/>
    <w:bookmarkStart w:id="11" w:name="email-2-follow-up"/>
    <w:p>
      <w:pPr>
        <w:pStyle w:val="Heading2"/>
      </w:pPr>
      <w:r>
        <w:t xml:space="preserve">Email 2 — follow-up</w:t>
      </w:r>
    </w:p>
    <w:p>
      <w:pPr>
        <w:pStyle w:val="FirstParagraph"/>
      </w:pPr>
      <w:r>
        <w:t xml:space="preserve">Sent in the same thread, two days later. No new subject line.</w:t>
      </w:r>
    </w:p>
    <w:p>
      <w:pPr>
        <w:pStyle w:val="BodyText"/>
      </w:pPr>
      <w:r>
        <w:t xml:space="preserve">I can record a quick walkthrough for you if you prefer.</w:t>
      </w:r>
    </w:p>
    <w:p>
      <w:pPr>
        <w:pStyle w:val="BodyText"/>
      </w:pPr>
      <w:r>
        <w:t xml:space="preserve">A team we just ran a pilot with reached incredible results. Around 50 hours a month hunting bids is gone, and two people on their precon desk now do what used to take ten.</w:t>
      </w:r>
    </w:p>
    <w:p>
      <w:pPr>
        <w:pStyle w:val="BodyText"/>
      </w:pPr>
      <w:r>
        <w:t xml:space="preserve">I’m positive it will impress you.</w:t>
      </w:r>
    </w:p>
    <w:p>
      <w:pPr>
        <w:pStyle w:val="BodyText"/>
      </w:pPr>
      <w:r>
        <w:t xml:space="preserve">Let me know what you think.</w:t>
      </w:r>
    </w:p>
    <w:p>
      <w:r>
        <w:pict>
          <v:rect style="width:0;height:1.5pt" o:hralign="center" o:hrstd="t" o:hr="t"/>
        </w:pict>
      </w:r>
    </w:p>
    <w:bookmarkEnd w:id="11"/>
    <w:bookmarkStart w:id="12" w:name="X926a9bd68d47016e501b1778d9ad7564983efb5"/>
    <w:p>
      <w:pPr>
        <w:pStyle w:val="Heading2"/>
      </w:pPr>
      <w:r>
        <w:t xml:space="preserve">Example of the personalisation in context</w:t>
      </w:r>
    </w:p>
    <w:p>
      <w:pPr>
        <w:pStyle w:val="FirstParagraph"/>
      </w:pPr>
      <w:r>
        <w:rPr>
          <w:rStyle w:val="VerbatimChar"/>
        </w:rPr>
        <w:t xml:space="preserve">{{authority_line}}</w:t>
      </w:r>
      <w:r>
        <w:t xml:space="preserve"> </w:t>
      </w:r>
      <w:r>
        <w:t xml:space="preserve">for a Director of Construction at a general contractor doing luxury retail work reads:</w:t>
      </w:r>
    </w:p>
    <w:p>
      <w:pPr>
        <w:pStyle w:val="BlockText"/>
      </w:pPr>
      <w:r>
        <w:t xml:space="preserve">Given the fact that</w:t>
      </w:r>
      <w:r>
        <w:t xml:space="preserve"> </w:t>
      </w:r>
      <w:r>
        <w:rPr>
          <w:b/>
          <w:bCs/>
        </w:rPr>
        <w:t xml:space="preserve">you and your team shape which luxury retail jobs get pursued</w:t>
      </w:r>
      <w:r>
        <w:t xml:space="preserve">, you’d know fast whether this is useful or nonsense.</w:t>
      </w:r>
    </w:p>
    <w:p>
      <w:r>
        <w:pict>
          <v:rect style="width:0;height:1.5pt" o:hralign="center" o:hrstd="t" o:hr="t"/>
        </w:pict>
      </w:r>
    </w:p>
    <w:bookmarkEnd w:id="12"/>
    <w:bookmarkStart w:id="13" w:name="one-thing-to-confirm"/>
    <w:p>
      <w:pPr>
        <w:pStyle w:val="Heading2"/>
      </w:pPr>
      <w:r>
        <w:t xml:space="preserve">One thing to confirm</w:t>
      </w:r>
    </w:p>
    <w:p>
      <w:pPr>
        <w:pStyle w:val="FirstParagraph"/>
      </w:pPr>
      <w:r>
        <w:t xml:space="preserve">The follow-up offers to record a short walkthrough on request. Please confirm Roi is happy to record these when someone asks — the email should not promise it otherwise.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2026-08-05T11:14:47Z</dcterms:created>
  <dcterms:modified xsi:type="dcterms:W3CDTF">2026-08-05T11:14:47Z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