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f1bad6921c59dde58a58791edae67651f7d119"/>
    <w:p>
      <w:pPr>
        <w:pStyle w:val="Heading1"/>
      </w:pPr>
      <w:r>
        <w:t xml:space="preserve">Dave.io — LinkedIn Accelerator Campaign — Founding Engineers</w:t>
      </w:r>
    </w:p>
    <w:p>
      <w:pPr>
        <w:pStyle w:val="FirstParagraph"/>
      </w:pPr>
      <w:r>
        <w:rPr>
          <w:i/>
          <w:iCs/>
        </w:rPr>
        <w:t xml:space="preserve">Outreach sequence · 26.7.26</w:t>
      </w:r>
    </w:p>
    <w:bookmarkStart w:id="9" w:name="the-campaign"/>
    <w:p>
      <w:pPr>
        <w:pStyle w:val="Heading2"/>
      </w:pPr>
      <w:r>
        <w:t xml:space="preserve">The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founding and early engineers at 2025+ accelerator-cohort B2B tech companies who are themselves holding infra together alongside their real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 hand-picked list, verified by title/role adjudication — not a live signal. Peer voice, not buyer voice.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Personalization:</w:t>
      </w:r>
      <w:r>
        <w:t xml:space="preserve"> </w:t>
      </w:r>
      <w:r>
        <w:t xml:space="preserve">{{firstName}} and {{real_company_name}} fill in per person.</w:t>
      </w:r>
    </w:p>
    <w:bookmarkEnd w:id="9"/>
    <w:bookmarkStart w:id="10" w:name="the-sequence"/>
    <w:p>
      <w:pPr>
        <w:pStyle w:val="Heading2"/>
      </w:pPr>
      <w:r>
        <w:t xml:space="preserve">The sequence</w:t>
      </w:r>
    </w:p>
    <w:p>
      <w:pPr>
        <w:pStyle w:val="FirstParagraph"/>
      </w:pPr>
      <w:r>
        <w:rPr>
          <w:b/>
          <w:bCs/>
        </w:rPr>
        <w:t xml:space="preserve">Connection request:</w:t>
      </w:r>
      <w:r>
        <w:t xml:space="preserve"> </w:t>
      </w:r>
      <w:r>
        <w:rPr>
          <w:i/>
          <w:iCs/>
        </w:rPr>
        <w:t xml:space="preserve">(blank — no note)</w:t>
      </w:r>
    </w:p>
    <w:p>
      <w:pPr>
        <w:pStyle w:val="BodyText"/>
      </w:pPr>
      <w:r>
        <w:rPr>
          <w:b/>
          <w:bCs/>
        </w:rPr>
        <w:t xml:space="preserve">Message 1 — on accept</w:t>
      </w:r>
    </w:p>
    <w:p>
      <w:pPr>
        <w:pStyle w:val="BlockText"/>
      </w:pPr>
      <w:r>
        <w:t xml:space="preserve">Hey {{firstName}}, guessing infra at {{real_company_name}} basically falls on you on top of everything else you’re building. Am I right?</w:t>
      </w:r>
    </w:p>
    <w:p>
      <w:pPr>
        <w:pStyle w:val="FirstParagraph"/>
      </w:pPr>
      <w:r>
        <w:rPr>
          <w:b/>
          <w:bCs/>
        </w:rPr>
        <w:t xml:space="preserve">Message 2 — follow-up</w:t>
      </w:r>
    </w:p>
    <w:p>
      <w:pPr>
        <w:pStyle w:val="BlockText"/>
      </w:pPr>
      <w:r>
        <w:t xml:space="preserve">Yeah, that’s how it usually goes, whoever’s closest ends up owning it. We work with founding engineers a lot just to take that off your plate.</w:t>
      </w:r>
    </w:p>
    <w:p>
      <w:pPr>
        <w:pStyle w:val="FirstParagraph"/>
      </w:pPr>
      <w:r>
        <w:rPr>
          <w:b/>
          <w:bCs/>
        </w:rPr>
        <w:t xml:space="preserve">Message 3 — close</w:t>
      </w:r>
    </w:p>
    <w:p>
      <w:pPr>
        <w:pStyle w:val="BlockText"/>
      </w:pPr>
      <w:r>
        <w:t xml:space="preserve">No stress if you’ve got it handled. If it ever gets old, happy to take a look together.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2026-07-26T17:03:34Z</dcterms:created>
  <dcterms:modified xsi:type="dcterms:W3CDTF">2026-07-26T17:03:34Z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