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F13C" w14:textId="1C839D09" w:rsidR="00856456" w:rsidRDefault="000308EC" w:rsidP="000308EC">
      <w:pPr>
        <w:jc w:val="center"/>
        <w:rPr>
          <w:rFonts w:ascii="Calibri" w:hAnsi="Calibri" w:cs="Calibri"/>
          <w:b/>
          <w:sz w:val="36"/>
          <w:szCs w:val="32"/>
        </w:rPr>
      </w:pPr>
      <w:r w:rsidRPr="000308EC">
        <w:rPr>
          <w:rFonts w:ascii="Calibri" w:hAnsi="Calibri" w:cs="Calibri"/>
          <w:b/>
          <w:sz w:val="36"/>
          <w:szCs w:val="32"/>
        </w:rPr>
        <w:t>Investigation of chemical structure recognition by encoder-decoder models in learning progress</w:t>
      </w:r>
    </w:p>
    <w:p w14:paraId="630621CB" w14:textId="7D4B5AB5" w:rsidR="000308EC" w:rsidRPr="000308EC" w:rsidRDefault="000308EC" w:rsidP="000308EC">
      <w:pPr>
        <w:pStyle w:val="RSCB01ARTAbstract"/>
        <w:jc w:val="center"/>
        <w:rPr>
          <w:rFonts w:ascii="Calibri" w:hAnsi="Calibri" w:cs="Calibri"/>
          <w:sz w:val="20"/>
          <w:vertAlign w:val="superscript"/>
        </w:rPr>
      </w:pPr>
      <w:r w:rsidRPr="000308EC">
        <w:rPr>
          <w:rFonts w:ascii="Calibri" w:hAnsi="Calibri" w:cs="Calibri"/>
          <w:sz w:val="20"/>
        </w:rPr>
        <w:t>Shumpei Nemoto,</w:t>
      </w:r>
      <w:r w:rsidRPr="000308EC">
        <w:rPr>
          <w:rFonts w:ascii="Calibri" w:hAnsi="Calibri" w:cs="Calibri"/>
          <w:sz w:val="20"/>
          <w:vertAlign w:val="superscript"/>
        </w:rPr>
        <w:t>a</w:t>
      </w:r>
      <w:r w:rsidRPr="000308EC">
        <w:rPr>
          <w:rFonts w:ascii="Calibri" w:hAnsi="Calibri" w:cs="Calibri"/>
          <w:sz w:val="20"/>
        </w:rPr>
        <w:t xml:space="preserve"> Tadahaya Mizuno</w:t>
      </w:r>
      <w:r w:rsidRPr="000308EC">
        <w:rPr>
          <w:rFonts w:ascii="Calibri" w:hAnsi="Calibri" w:cs="Calibri"/>
          <w:sz w:val="20"/>
          <w:vertAlign w:val="superscript"/>
        </w:rPr>
        <w:t xml:space="preserve"> a† </w:t>
      </w:r>
      <w:r w:rsidRPr="000308EC">
        <w:rPr>
          <w:rFonts w:ascii="Calibri" w:hAnsi="Calibri" w:cs="Calibri"/>
          <w:sz w:val="20"/>
        </w:rPr>
        <w:t xml:space="preserve">and Hiroyuki Kusuhara </w:t>
      </w:r>
      <w:r w:rsidRPr="000308EC">
        <w:rPr>
          <w:rFonts w:ascii="Calibri" w:hAnsi="Calibri" w:cs="Calibri"/>
          <w:sz w:val="20"/>
          <w:vertAlign w:val="superscript"/>
        </w:rPr>
        <w:t>a</w:t>
      </w:r>
    </w:p>
    <w:p w14:paraId="2DE6941D" w14:textId="2FFF06D7" w:rsidR="000308EC" w:rsidRPr="000308EC" w:rsidRDefault="000308EC" w:rsidP="000308EC">
      <w:pPr>
        <w:jc w:val="center"/>
        <w:rPr>
          <w:rFonts w:ascii="Calibri" w:hAnsi="Calibri" w:cs="Calibri"/>
          <w:bCs/>
          <w:i/>
          <w:iCs/>
          <w:szCs w:val="20"/>
          <w:lang w:val="en-GB"/>
        </w:rPr>
      </w:pPr>
      <w:r w:rsidRPr="000308EC">
        <w:rPr>
          <w:rFonts w:ascii="Calibri" w:hAnsi="Calibri" w:cs="Calibri"/>
          <w:i/>
          <w:iCs/>
          <w:sz w:val="20"/>
          <w:vertAlign w:val="superscript"/>
        </w:rPr>
        <w:t>a</w:t>
      </w:r>
      <w:r w:rsidRPr="000308EC">
        <w:rPr>
          <w:rFonts w:ascii="Calibri" w:hAnsi="Calibri" w:cs="Calibri"/>
          <w:bCs/>
          <w:i/>
          <w:iCs/>
          <w:szCs w:val="20"/>
          <w:lang w:val="en-GB"/>
        </w:rPr>
        <w:t xml:space="preserve"> Graduate school of Pharmaceutical Sciences, Bunkyo-</w:t>
      </w:r>
      <w:proofErr w:type="spellStart"/>
      <w:r w:rsidRPr="000308EC">
        <w:rPr>
          <w:rFonts w:ascii="Calibri" w:hAnsi="Calibri" w:cs="Calibri"/>
          <w:bCs/>
          <w:i/>
          <w:iCs/>
          <w:szCs w:val="20"/>
          <w:lang w:val="en-GB"/>
        </w:rPr>
        <w:t>ku</w:t>
      </w:r>
      <w:proofErr w:type="spellEnd"/>
      <w:r w:rsidRPr="000308EC">
        <w:rPr>
          <w:rFonts w:ascii="Calibri" w:hAnsi="Calibri" w:cs="Calibri"/>
          <w:bCs/>
          <w:i/>
          <w:iCs/>
          <w:szCs w:val="20"/>
          <w:lang w:val="en-GB"/>
        </w:rPr>
        <w:t>, 113-0033, Tokyo, Japan</w:t>
      </w:r>
    </w:p>
    <w:p w14:paraId="01CCD543" w14:textId="77777777" w:rsidR="000308EC" w:rsidRPr="000308EC" w:rsidRDefault="000308EC" w:rsidP="000308EC">
      <w:pPr>
        <w:jc w:val="center"/>
        <w:rPr>
          <w:rFonts w:ascii="Calibri" w:hAnsi="Calibri" w:cs="Calibri"/>
          <w:bCs/>
          <w:i/>
          <w:iCs/>
          <w:szCs w:val="20"/>
          <w:lang w:val="en-GB"/>
        </w:rPr>
      </w:pPr>
      <w:r w:rsidRPr="000308EC">
        <w:rPr>
          <w:rFonts w:ascii="Calibri" w:hAnsi="Calibri" w:cs="Calibri"/>
          <w:bCs/>
          <w:i/>
          <w:iCs/>
          <w:szCs w:val="20"/>
          <w:lang w:val="en-GB"/>
        </w:rPr>
        <w:t xml:space="preserve">† tadahaya@mol.f.u-tokyo.ac.jp </w:t>
      </w:r>
    </w:p>
    <w:p w14:paraId="055F59FC" w14:textId="77777777" w:rsidR="00DB38FD" w:rsidRDefault="00EF7C67" w:rsidP="00EF7C67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  <w:r>
        <w:rPr>
          <w:rFonts w:ascii="Calibri" w:hAnsi="Calibri" w:cs="Calibri"/>
          <w:bCs/>
          <w:szCs w:val="20"/>
          <w:lang w:val="en-GB"/>
        </w:rPr>
        <w:br w:type="page"/>
      </w:r>
    </w:p>
    <w:p w14:paraId="7B90CB84" w14:textId="08A89722" w:rsidR="00DB38FD" w:rsidRDefault="00DB38FD" w:rsidP="00EF7C67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5A448" wp14:editId="32ECF146">
                <wp:simplePos x="0" y="0"/>
                <wp:positionH relativeFrom="column">
                  <wp:posOffset>-48260</wp:posOffset>
                </wp:positionH>
                <wp:positionV relativeFrom="paragraph">
                  <wp:posOffset>2551298</wp:posOffset>
                </wp:positionV>
                <wp:extent cx="5443220" cy="534670"/>
                <wp:effectExtent l="0" t="0" r="5080" b="0"/>
                <wp:wrapThrough wrapText="bothSides">
                  <wp:wrapPolygon edited="0">
                    <wp:start x="0" y="0"/>
                    <wp:lineTo x="0" y="20779"/>
                    <wp:lineTo x="21545" y="20779"/>
                    <wp:lineTo x="21545" y="0"/>
                    <wp:lineTo x="0" y="0"/>
                  </wp:wrapPolygon>
                </wp:wrapThrough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20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77DB2" w14:textId="232A1593" w:rsidR="00EF7C67" w:rsidRPr="00EF7C67" w:rsidRDefault="00EF7C67" w:rsidP="00EF7C67">
                            <w:pPr>
                              <w:rPr>
                                <w:rFonts w:ascii="Calibri" w:hAnsi="Calibri" w:cs="Calibri"/>
                                <w:szCs w:val="21"/>
                              </w:rPr>
                            </w:pPr>
                            <w:r w:rsidRPr="00EF7C67">
                              <w:rPr>
                                <w:rFonts w:ascii="Calibri" w:hAnsi="Calibri" w:cs="Calibri"/>
                                <w:b/>
                                <w:bCs/>
                                <w:szCs w:val="21"/>
                              </w:rPr>
                              <w:t>Supplementary Figure 1</w:t>
                            </w:r>
                            <w:r>
                              <w:rPr>
                                <w:rFonts w:ascii="Calibri" w:hAnsi="Calibri" w:cs="Calibri"/>
                                <w:szCs w:val="21"/>
                              </w:rPr>
                              <w:t xml:space="preserve">. </w:t>
                            </w:r>
                            <w:r w:rsidRPr="00EF7C67">
                              <w:rPr>
                                <w:rFonts w:ascii="Calibri" w:hAnsi="Calibri" w:cs="Calibri" w:hint="eastAsia"/>
                                <w:szCs w:val="21"/>
                              </w:rPr>
                              <w:t>AUC and MCC of 113 assays prediction compared between perfect accuracy of Encoder-Decoder models. Bar height and error bar indicate mean and standard deviation, respectively.</w:t>
                            </w:r>
                          </w:p>
                          <w:p w14:paraId="0651EA59" w14:textId="511BA1D6" w:rsidR="00EF7C67" w:rsidRPr="00EF7C67" w:rsidRDefault="00EF7C67" w:rsidP="00EF7C67">
                            <w:pPr>
                              <w:rPr>
                                <w:rFonts w:ascii="Calibri" w:hAnsi="Calibri" w:cs="Calibr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5A44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6" type="#_x0000_t202" style="position:absolute;margin-left:-3.8pt;margin-top:200.9pt;width:428.6pt;height: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" fillcolor="white [3201]" stroked="f" strokeweight=".5pt">
                <v:textbox>
                  <w:txbxContent>
                    <w:p w14:paraId="70277DB2" w14:textId="232A1593" w:rsidR="00EF7C67" w:rsidRPr="00EF7C67" w:rsidRDefault="00EF7C67" w:rsidP="00EF7C67">
                      <w:pPr>
                        <w:rPr>
                          <w:rFonts w:ascii="Calibri" w:hAnsi="Calibri" w:cs="Calibri"/>
                          <w:szCs w:val="21"/>
                        </w:rPr>
                      </w:pPr>
                      <w:r w:rsidRPr="00EF7C67">
                        <w:rPr>
                          <w:rFonts w:ascii="Calibri" w:hAnsi="Calibri" w:cs="Calibri"/>
                          <w:b/>
                          <w:bCs/>
                          <w:szCs w:val="21"/>
                        </w:rPr>
                        <w:t>Supplementary Figure 1</w:t>
                      </w:r>
                      <w:r>
                        <w:rPr>
                          <w:rFonts w:ascii="Calibri" w:hAnsi="Calibri" w:cs="Calibri"/>
                          <w:szCs w:val="21"/>
                        </w:rPr>
                        <w:t xml:space="preserve">. </w:t>
                      </w:r>
                      <w:r w:rsidRPr="00EF7C67">
                        <w:rPr>
                          <w:rFonts w:ascii="Calibri" w:hAnsi="Calibri" w:cs="Calibri" w:hint="eastAsia"/>
                          <w:szCs w:val="21"/>
                        </w:rPr>
                        <w:t>AUC and MCC of 113 assays prediction compared between perfect accuracy of Encoder-Decoder models. Bar height and error bar indicate mean and standard deviation, respectively.</w:t>
                      </w:r>
                    </w:p>
                    <w:p w14:paraId="0651EA59" w14:textId="511BA1D6" w:rsidR="00EF7C67" w:rsidRPr="00EF7C67" w:rsidRDefault="00EF7C67" w:rsidP="00EF7C67">
                      <w:pPr>
                        <w:rPr>
                          <w:rFonts w:ascii="Calibri" w:hAnsi="Calibri" w:cs="Calibri"/>
                          <w:szCs w:val="2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8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09476193" wp14:editId="5A8A1A6B">
            <wp:simplePos x="0" y="0"/>
            <wp:positionH relativeFrom="column">
              <wp:posOffset>-1905</wp:posOffset>
            </wp:positionH>
            <wp:positionV relativeFrom="paragraph">
              <wp:posOffset>120770</wp:posOffset>
            </wp:positionV>
            <wp:extent cx="5396865" cy="2371725"/>
            <wp:effectExtent l="0" t="0" r="0" b="9525"/>
            <wp:wrapThrough wrapText="bothSides">
              <wp:wrapPolygon edited="0">
                <wp:start x="0" y="0"/>
                <wp:lineTo x="0" y="21513"/>
                <wp:lineTo x="21501" y="21513"/>
                <wp:lineTo x="21501" y="0"/>
                <wp:lineTo x="0" y="0"/>
              </wp:wrapPolygon>
            </wp:wrapThrough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" t="5698" r="19518" b="33312"/>
                    <a:stretch/>
                  </pic:blipFill>
                  <pic:spPr bwMode="auto">
                    <a:xfrm>
                      <a:off x="0" y="0"/>
                      <a:ext cx="53968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192C3" w14:textId="137153E6" w:rsidR="00DB38FD" w:rsidRDefault="00DB38FD" w:rsidP="00EF7C67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</w:p>
    <w:p w14:paraId="7DAC56F9" w14:textId="5791860B" w:rsidR="00674D88" w:rsidRDefault="00674D88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  <w:r>
        <w:rPr>
          <w:rFonts w:ascii="Calibri" w:hAnsi="Calibri" w:cs="Calibri"/>
          <w:bCs/>
          <w:szCs w:val="20"/>
          <w:lang w:val="en-GB"/>
        </w:rPr>
        <w:br w:type="page"/>
      </w:r>
    </w:p>
    <w:p w14:paraId="04D029F1" w14:textId="6F746356" w:rsidR="00674D88" w:rsidRDefault="00117C65" w:rsidP="00EF7C67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5D8DC7F" wp14:editId="733C96F4">
            <wp:simplePos x="0" y="0"/>
            <wp:positionH relativeFrom="column">
              <wp:posOffset>-1905</wp:posOffset>
            </wp:positionH>
            <wp:positionV relativeFrom="paragraph">
              <wp:posOffset>85090</wp:posOffset>
            </wp:positionV>
            <wp:extent cx="5400040" cy="1831975"/>
            <wp:effectExtent l="0" t="0" r="0" b="0"/>
            <wp:wrapTight wrapText="bothSides">
              <wp:wrapPolygon edited="0">
                <wp:start x="0" y="0"/>
                <wp:lineTo x="0" y="21338"/>
                <wp:lineTo x="21488" y="21338"/>
                <wp:lineTo x="21488" y="0"/>
                <wp:lineTo x="0" y="0"/>
              </wp:wrapPolygon>
            </wp:wrapTight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2" t="7099" r="14647" b="45775"/>
                    <a:stretch/>
                  </pic:blipFill>
                  <pic:spPr bwMode="auto"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D88" w:rsidRPr="00EF7C67">
        <w:rPr>
          <w:rFonts w:ascii="Calibri" w:hAnsi="Calibri" w:cs="Calibri"/>
          <w:b/>
          <w:bCs/>
          <w:szCs w:val="21"/>
        </w:rPr>
        <w:t xml:space="preserve">Supplementary Figure </w:t>
      </w:r>
      <w:r w:rsidR="00674D88">
        <w:rPr>
          <w:rFonts w:ascii="Calibri" w:hAnsi="Calibri" w:cs="Calibri"/>
          <w:b/>
          <w:bCs/>
          <w:szCs w:val="21"/>
        </w:rPr>
        <w:t>2</w:t>
      </w:r>
      <w:r w:rsidR="00674D88">
        <w:rPr>
          <w:rFonts w:ascii="Calibri" w:hAnsi="Calibri" w:cs="Calibri"/>
          <w:szCs w:val="21"/>
        </w:rPr>
        <w:t xml:space="preserve">. </w:t>
      </w:r>
      <w:r w:rsidR="00674D88">
        <w:rPr>
          <w:rFonts w:ascii="Calibri" w:hAnsi="Calibri" w:cs="Calibri" w:hint="eastAsia"/>
          <w:bCs/>
          <w:szCs w:val="20"/>
          <w:lang w:val="en-GB"/>
        </w:rPr>
        <w:t>C</w:t>
      </w:r>
      <w:r w:rsidR="00674D88">
        <w:rPr>
          <w:rFonts w:ascii="Calibri" w:hAnsi="Calibri" w:cs="Calibri"/>
          <w:bCs/>
          <w:szCs w:val="20"/>
          <w:lang w:val="en-GB"/>
        </w:rPr>
        <w:t xml:space="preserve">oefficient of determination of Lipophilicity and </w:t>
      </w:r>
      <w:proofErr w:type="spellStart"/>
      <w:r w:rsidR="00674D88">
        <w:rPr>
          <w:rFonts w:ascii="Calibri" w:hAnsi="Calibri" w:cs="Calibri"/>
          <w:bCs/>
          <w:szCs w:val="20"/>
          <w:lang w:val="en-GB"/>
        </w:rPr>
        <w:t>FleeSolv</w:t>
      </w:r>
      <w:proofErr w:type="spellEnd"/>
      <w:r w:rsidR="00674D88">
        <w:rPr>
          <w:rFonts w:ascii="Calibri" w:hAnsi="Calibri" w:cs="Calibri"/>
          <w:bCs/>
          <w:szCs w:val="20"/>
          <w:lang w:val="en-GB"/>
        </w:rPr>
        <w:t xml:space="preserve"> prediction compared between perfect accuracy of Encoder-Decoder models. </w:t>
      </w:r>
      <w:r w:rsidR="00DD6268">
        <w:rPr>
          <w:rFonts w:ascii="Calibri" w:hAnsi="Calibri" w:cs="Calibri"/>
          <w:bCs/>
          <w:szCs w:val="20"/>
          <w:lang w:val="en-GB"/>
        </w:rPr>
        <w:t xml:space="preserve">Lipophilicity and </w:t>
      </w:r>
      <w:proofErr w:type="spellStart"/>
      <w:r w:rsidR="00DD6268">
        <w:rPr>
          <w:rFonts w:ascii="Calibri" w:hAnsi="Calibri" w:cs="Calibri"/>
          <w:bCs/>
          <w:szCs w:val="20"/>
          <w:lang w:val="en-GB"/>
        </w:rPr>
        <w:t>FleeSolv</w:t>
      </w:r>
      <w:proofErr w:type="spellEnd"/>
      <w:r w:rsidR="00DD6268">
        <w:rPr>
          <w:rFonts w:ascii="Calibri" w:hAnsi="Calibri" w:cs="Calibri"/>
          <w:bCs/>
          <w:szCs w:val="20"/>
          <w:lang w:val="en-GB"/>
        </w:rPr>
        <w:t xml:space="preserve"> data were obtained from </w:t>
      </w:r>
      <w:proofErr w:type="spellStart"/>
      <w:r w:rsidR="00DD6268">
        <w:rPr>
          <w:rFonts w:ascii="Calibri" w:hAnsi="Calibri" w:cs="Calibri"/>
          <w:bCs/>
          <w:szCs w:val="20"/>
          <w:lang w:val="en-GB"/>
        </w:rPr>
        <w:t>MoleculeNet</w:t>
      </w:r>
      <w:proofErr w:type="spellEnd"/>
      <w:r w:rsidR="00DD6268">
        <w:rPr>
          <w:rFonts w:ascii="Calibri" w:hAnsi="Calibri" w:cs="Calibri"/>
          <w:bCs/>
          <w:szCs w:val="20"/>
          <w:lang w:val="en-GB"/>
        </w:rPr>
        <w:t xml:space="preserve"> (</w:t>
      </w:r>
      <w:hyperlink r:id="rId8" w:history="1">
        <w:r w:rsidR="00BD1370" w:rsidRPr="00813ED5">
          <w:rPr>
            <w:rStyle w:val="a7"/>
            <w:rFonts w:ascii="Calibri" w:hAnsi="Calibri" w:cs="Calibri"/>
            <w:bCs/>
            <w:szCs w:val="20"/>
            <w:lang w:val="en-GB"/>
          </w:rPr>
          <w:t>https://moleculenet.org/</w:t>
        </w:r>
      </w:hyperlink>
      <w:r w:rsidR="00DD6268">
        <w:rPr>
          <w:rFonts w:ascii="Calibri" w:hAnsi="Calibri" w:cs="Calibri"/>
          <w:bCs/>
          <w:szCs w:val="20"/>
          <w:lang w:val="en-GB"/>
        </w:rPr>
        <w:t>)</w:t>
      </w:r>
      <w:r w:rsidR="00BD1370">
        <w:rPr>
          <w:rFonts w:ascii="Calibri" w:hAnsi="Calibri" w:cs="Calibri" w:hint="eastAsia"/>
          <w:bCs/>
          <w:szCs w:val="20"/>
          <w:lang w:val="en-GB"/>
        </w:rPr>
        <w:t>.</w:t>
      </w:r>
      <w:r w:rsidR="00BD1370">
        <w:rPr>
          <w:rFonts w:ascii="Calibri" w:hAnsi="Calibri" w:cs="Calibri"/>
          <w:bCs/>
          <w:szCs w:val="20"/>
          <w:lang w:val="en-GB"/>
        </w:rPr>
        <w:t xml:space="preserve"> </w:t>
      </w:r>
      <w:bookmarkStart w:id="0" w:name="_Hlk117156935"/>
      <w:proofErr w:type="spellStart"/>
      <w:r w:rsidR="00BD1370">
        <w:rPr>
          <w:rFonts w:ascii="Calibri" w:hAnsi="Calibri" w:cs="Calibri"/>
          <w:bCs/>
          <w:szCs w:val="20"/>
          <w:lang w:val="en-GB"/>
        </w:rPr>
        <w:t>XGBoost</w:t>
      </w:r>
      <w:proofErr w:type="spellEnd"/>
      <w:r w:rsidR="00BD1370">
        <w:rPr>
          <w:rFonts w:ascii="Calibri" w:hAnsi="Calibri" w:cs="Calibri"/>
          <w:bCs/>
          <w:szCs w:val="20"/>
          <w:lang w:val="en-GB"/>
        </w:rPr>
        <w:t xml:space="preserve"> was used as machine learning algorithm for prediction. </w:t>
      </w:r>
      <w:r w:rsidR="002D67C2">
        <w:rPr>
          <w:rFonts w:ascii="Calibri" w:hAnsi="Calibri" w:cs="Calibri"/>
          <w:bCs/>
          <w:szCs w:val="20"/>
          <w:lang w:val="en-GB"/>
        </w:rPr>
        <w:t xml:space="preserve">Hyperparameters listed in </w:t>
      </w:r>
      <w:r w:rsidR="002D67C2" w:rsidRPr="002D67C2">
        <w:rPr>
          <w:rFonts w:ascii="Calibri" w:hAnsi="Calibri" w:cs="Calibri"/>
          <w:b/>
          <w:szCs w:val="20"/>
          <w:lang w:val="en-GB"/>
        </w:rPr>
        <w:t>Supplementary Table 1</w:t>
      </w:r>
      <w:r w:rsidR="002D67C2">
        <w:rPr>
          <w:rFonts w:ascii="Calibri" w:hAnsi="Calibri" w:cs="Calibri"/>
          <w:bCs/>
          <w:szCs w:val="20"/>
          <w:lang w:val="en-GB"/>
        </w:rPr>
        <w:t xml:space="preserve"> were optimized using </w:t>
      </w:r>
      <w:proofErr w:type="spellStart"/>
      <w:r w:rsidR="002D67C2">
        <w:rPr>
          <w:rFonts w:ascii="Calibri" w:hAnsi="Calibri" w:cs="Calibri"/>
          <w:bCs/>
          <w:szCs w:val="20"/>
          <w:lang w:val="en-GB"/>
        </w:rPr>
        <w:t>Optuna</w:t>
      </w:r>
      <w:proofErr w:type="spellEnd"/>
      <w:r w:rsidR="002D67C2">
        <w:rPr>
          <w:rFonts w:ascii="Calibri" w:hAnsi="Calibri" w:cs="Calibri"/>
          <w:bCs/>
          <w:szCs w:val="20"/>
          <w:lang w:val="en-GB"/>
        </w:rPr>
        <w:t xml:space="preserve"> for each dataset prediction with optimization index of RMSE and </w:t>
      </w:r>
      <w:proofErr w:type="spellStart"/>
      <w:r w:rsidR="002D67C2">
        <w:rPr>
          <w:rFonts w:ascii="Calibri" w:hAnsi="Calibri" w:cs="Calibri"/>
          <w:bCs/>
          <w:szCs w:val="20"/>
          <w:lang w:val="en-GB"/>
        </w:rPr>
        <w:t>n_trials</w:t>
      </w:r>
      <w:proofErr w:type="spellEnd"/>
      <w:r w:rsidR="002D67C2">
        <w:rPr>
          <w:rFonts w:ascii="Calibri" w:hAnsi="Calibri" w:cs="Calibri"/>
          <w:bCs/>
          <w:szCs w:val="20"/>
          <w:lang w:val="en-GB"/>
        </w:rPr>
        <w:t xml:space="preserve"> of 50</w:t>
      </w:r>
      <w:r w:rsidR="00065C1F">
        <w:rPr>
          <w:rFonts w:ascii="Calibri" w:hAnsi="Calibri" w:cs="Calibri"/>
          <w:bCs/>
          <w:szCs w:val="20"/>
          <w:lang w:val="en-GB"/>
        </w:rPr>
        <w:t>.</w:t>
      </w:r>
      <w:bookmarkEnd w:id="0"/>
    </w:p>
    <w:p w14:paraId="5F13BECB" w14:textId="138B68F6" w:rsidR="00065C1F" w:rsidRDefault="00065C1F" w:rsidP="00EF7C67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</w:p>
    <w:p w14:paraId="66465877" w14:textId="33BCC8CA" w:rsidR="00065C1F" w:rsidRDefault="00065C1F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  <w:r>
        <w:rPr>
          <w:rFonts w:ascii="Calibri" w:hAnsi="Calibri" w:cs="Calibri"/>
          <w:bCs/>
          <w:szCs w:val="20"/>
          <w:lang w:val="en-GB"/>
        </w:rPr>
        <w:br w:type="page"/>
      </w:r>
    </w:p>
    <w:p w14:paraId="6C6FB503" w14:textId="011E3B7E" w:rsidR="00065C1F" w:rsidRPr="002D67C2" w:rsidRDefault="00065C1F" w:rsidP="00EF7C67">
      <w:pPr>
        <w:widowControl/>
        <w:jc w:val="left"/>
        <w:rPr>
          <w:bCs/>
          <w:noProof/>
          <w:lang w:val="en-GB"/>
        </w:rPr>
      </w:pPr>
      <w:r w:rsidRPr="00DB38FD">
        <w:rPr>
          <w:rFonts w:ascii="Calibri" w:hAnsi="Calibri" w:cs="Calibri" w:hint="eastAsia"/>
          <w:b/>
          <w:szCs w:val="20"/>
          <w:lang w:val="en-GB"/>
        </w:rPr>
        <w:lastRenderedPageBreak/>
        <w:t>S</w:t>
      </w:r>
      <w:r w:rsidRPr="00DB38FD">
        <w:rPr>
          <w:rFonts w:ascii="Calibri" w:hAnsi="Calibri" w:cs="Calibri"/>
          <w:b/>
          <w:szCs w:val="20"/>
          <w:lang w:val="en-GB"/>
        </w:rPr>
        <w:t xml:space="preserve">upplementary Table </w:t>
      </w:r>
      <w:r>
        <w:rPr>
          <w:rFonts w:ascii="Calibri" w:hAnsi="Calibri" w:cs="Calibri"/>
          <w:b/>
          <w:szCs w:val="20"/>
          <w:lang w:val="en-GB"/>
        </w:rPr>
        <w:t>1</w:t>
      </w:r>
      <w:r>
        <w:rPr>
          <w:rFonts w:ascii="Calibri" w:hAnsi="Calibri" w:cs="Calibri"/>
          <w:bCs/>
          <w:szCs w:val="20"/>
          <w:lang w:val="en-GB"/>
        </w:rPr>
        <w:t xml:space="preserve">. Optimized hyperparameters of </w:t>
      </w:r>
      <w:proofErr w:type="spellStart"/>
      <w:r>
        <w:rPr>
          <w:rFonts w:ascii="Calibri" w:hAnsi="Calibri" w:cs="Calibri"/>
          <w:bCs/>
          <w:szCs w:val="20"/>
          <w:lang w:val="en-GB"/>
        </w:rPr>
        <w:t>XGBoost</w:t>
      </w:r>
      <w:proofErr w:type="spellEnd"/>
      <w:r>
        <w:rPr>
          <w:rFonts w:ascii="Calibri" w:hAnsi="Calibri" w:cs="Calibri"/>
          <w:bCs/>
          <w:szCs w:val="20"/>
          <w:lang w:val="en-GB"/>
        </w:rPr>
        <w:t xml:space="preserve"> by </w:t>
      </w:r>
      <w:proofErr w:type="spellStart"/>
      <w:r>
        <w:rPr>
          <w:rFonts w:ascii="Calibri" w:hAnsi="Calibri" w:cs="Calibri"/>
          <w:bCs/>
          <w:szCs w:val="20"/>
          <w:lang w:val="en-GB"/>
        </w:rPr>
        <w:t>Optuna</w:t>
      </w:r>
      <w:proofErr w:type="spellEnd"/>
      <w:r>
        <w:rPr>
          <w:rFonts w:ascii="Calibri" w:hAnsi="Calibri" w:cs="Calibri"/>
          <w:bCs/>
          <w:szCs w:val="20"/>
          <w:lang w:val="en-GB"/>
        </w:rPr>
        <w:t xml:space="preserve">. Each hyperparameter </w:t>
      </w:r>
      <w:r w:rsidR="00B12043">
        <w:rPr>
          <w:rFonts w:ascii="Calibri" w:hAnsi="Calibri" w:cs="Calibri"/>
          <w:bCs/>
          <w:szCs w:val="20"/>
          <w:lang w:val="en-GB"/>
        </w:rPr>
        <w:t>takes values from min to max.</w:t>
      </w:r>
    </w:p>
    <w:p w14:paraId="5C4CE503" w14:textId="46BAB2BE" w:rsidR="00DB38FD" w:rsidRDefault="00DB38FD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  <w:r>
        <w:rPr>
          <w:rFonts w:ascii="Calibri" w:hAnsi="Calibri" w:cs="Calibri"/>
          <w:bCs/>
          <w:szCs w:val="20"/>
          <w:lang w:val="en-GB"/>
        </w:rPr>
        <w:br w:type="page"/>
      </w:r>
    </w:p>
    <w:p w14:paraId="3D407670" w14:textId="135D8A46" w:rsidR="00DB38FD" w:rsidRPr="00DB38FD" w:rsidRDefault="00DB38FD" w:rsidP="00DB38FD">
      <w:pPr>
        <w:rPr>
          <w:rFonts w:ascii="Calibri" w:hAnsi="Calibri" w:cs="Calibri"/>
          <w:bCs/>
          <w:szCs w:val="20"/>
        </w:rPr>
      </w:pPr>
      <w:r w:rsidRPr="00DB38FD">
        <w:rPr>
          <w:rFonts w:ascii="Calibri" w:hAnsi="Calibri" w:cs="Calibri" w:hint="eastAsia"/>
          <w:b/>
          <w:szCs w:val="20"/>
          <w:lang w:val="en-GB"/>
        </w:rPr>
        <w:lastRenderedPageBreak/>
        <w:t>S</w:t>
      </w:r>
      <w:r w:rsidRPr="00DB38FD">
        <w:rPr>
          <w:rFonts w:ascii="Calibri" w:hAnsi="Calibri" w:cs="Calibri"/>
          <w:b/>
          <w:szCs w:val="20"/>
          <w:lang w:val="en-GB"/>
        </w:rPr>
        <w:t xml:space="preserve">upplementary Table </w:t>
      </w:r>
      <w:r w:rsidR="00065C1F">
        <w:rPr>
          <w:rFonts w:ascii="Calibri" w:hAnsi="Calibri" w:cs="Calibri"/>
          <w:b/>
          <w:szCs w:val="20"/>
          <w:lang w:val="en-GB"/>
        </w:rPr>
        <w:t>2</w:t>
      </w:r>
      <w:r>
        <w:rPr>
          <w:rFonts w:ascii="Calibri" w:hAnsi="Calibri" w:cs="Calibri"/>
          <w:bCs/>
          <w:szCs w:val="20"/>
          <w:lang w:val="en-GB"/>
        </w:rPr>
        <w:t xml:space="preserve">. </w:t>
      </w:r>
      <w:r w:rsidRPr="00DB38FD">
        <w:rPr>
          <w:rFonts w:ascii="Calibri" w:hAnsi="Calibri" w:cs="Calibri" w:hint="eastAsia"/>
          <w:bCs/>
          <w:szCs w:val="20"/>
        </w:rPr>
        <w:t xml:space="preserve">113 HTS assays predicted by </w:t>
      </w:r>
      <w:proofErr w:type="spellStart"/>
      <w:r w:rsidRPr="00DB38FD">
        <w:rPr>
          <w:rFonts w:ascii="Calibri" w:hAnsi="Calibri" w:cs="Calibri" w:hint="eastAsia"/>
          <w:bCs/>
          <w:szCs w:val="20"/>
        </w:rPr>
        <w:t>XGBoost</w:t>
      </w:r>
      <w:proofErr w:type="spellEnd"/>
      <w:r w:rsidRPr="00DB38FD">
        <w:rPr>
          <w:rFonts w:ascii="Calibri" w:hAnsi="Calibri" w:cs="Calibri" w:hint="eastAsia"/>
          <w:bCs/>
          <w:szCs w:val="20"/>
        </w:rPr>
        <w:t xml:space="preserve"> from </w:t>
      </w:r>
      <w:proofErr w:type="spellStart"/>
      <w:r w:rsidRPr="00DB38FD">
        <w:rPr>
          <w:rFonts w:ascii="Calibri" w:hAnsi="Calibri" w:cs="Calibri" w:hint="eastAsia"/>
          <w:bCs/>
          <w:szCs w:val="20"/>
        </w:rPr>
        <w:t>ToxCast</w:t>
      </w:r>
      <w:proofErr w:type="spellEnd"/>
      <w:r w:rsidRPr="00DB38FD">
        <w:rPr>
          <w:rFonts w:ascii="Calibri" w:hAnsi="Calibri" w:cs="Calibri" w:hint="eastAsia"/>
          <w:bCs/>
          <w:szCs w:val="20"/>
        </w:rPr>
        <w:t>. All assays have a sample size of at least 7000</w:t>
      </w:r>
      <w:r>
        <w:rPr>
          <w:rFonts w:ascii="Calibri" w:hAnsi="Calibri" w:cs="Calibri"/>
          <w:bCs/>
          <w:szCs w:val="20"/>
        </w:rPr>
        <w:t xml:space="preserve"> (listed in Supplementary_Table.xlsx).</w:t>
      </w:r>
    </w:p>
    <w:p w14:paraId="0367F021" w14:textId="7FD179C9" w:rsidR="000308EC" w:rsidRDefault="000308EC" w:rsidP="00EF7C67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</w:p>
    <w:p w14:paraId="223A20A9" w14:textId="2B03CAFD" w:rsidR="00470D8B" w:rsidRDefault="00470D8B">
      <w:pPr>
        <w:widowControl/>
        <w:jc w:val="left"/>
        <w:rPr>
          <w:rFonts w:ascii="Calibri" w:hAnsi="Calibri" w:cs="Calibri"/>
          <w:bCs/>
          <w:szCs w:val="20"/>
          <w:lang w:val="en-GB"/>
        </w:rPr>
      </w:pPr>
      <w:r>
        <w:rPr>
          <w:rFonts w:ascii="Calibri" w:hAnsi="Calibri" w:cs="Calibri"/>
          <w:bCs/>
          <w:szCs w:val="20"/>
          <w:lang w:val="en-GB"/>
        </w:rPr>
        <w:br w:type="page"/>
      </w:r>
    </w:p>
    <w:p w14:paraId="49D99443" w14:textId="1FF7DE76" w:rsidR="00470D8B" w:rsidRPr="00DB38FD" w:rsidRDefault="00470D8B" w:rsidP="00470D8B">
      <w:pPr>
        <w:rPr>
          <w:rFonts w:ascii="Calibri" w:hAnsi="Calibri" w:cs="Calibri"/>
          <w:bCs/>
          <w:szCs w:val="20"/>
        </w:rPr>
      </w:pPr>
      <w:r w:rsidRPr="00DB38FD">
        <w:rPr>
          <w:rFonts w:ascii="Calibri" w:hAnsi="Calibri" w:cs="Calibri" w:hint="eastAsia"/>
          <w:b/>
          <w:szCs w:val="20"/>
          <w:lang w:val="en-GB"/>
        </w:rPr>
        <w:lastRenderedPageBreak/>
        <w:t>S</w:t>
      </w:r>
      <w:r w:rsidRPr="00DB38FD">
        <w:rPr>
          <w:rFonts w:ascii="Calibri" w:hAnsi="Calibri" w:cs="Calibri"/>
          <w:b/>
          <w:szCs w:val="20"/>
          <w:lang w:val="en-GB"/>
        </w:rPr>
        <w:t xml:space="preserve">upplementary Table </w:t>
      </w:r>
      <w:r w:rsidR="00065C1F">
        <w:rPr>
          <w:rFonts w:ascii="Calibri" w:hAnsi="Calibri" w:cs="Calibri"/>
          <w:b/>
          <w:szCs w:val="20"/>
          <w:lang w:val="en-GB"/>
        </w:rPr>
        <w:t>3</w:t>
      </w:r>
      <w:r>
        <w:rPr>
          <w:rFonts w:ascii="Calibri" w:hAnsi="Calibri" w:cs="Calibri"/>
          <w:bCs/>
          <w:szCs w:val="20"/>
          <w:lang w:val="en-GB"/>
        </w:rPr>
        <w:t xml:space="preserve">. </w:t>
      </w:r>
      <w:r w:rsidRPr="00470D8B">
        <w:rPr>
          <w:rFonts w:ascii="Calibri" w:hAnsi="Calibri" w:cs="Calibri" w:hint="eastAsia"/>
          <w:bCs/>
          <w:szCs w:val="20"/>
        </w:rPr>
        <w:t xml:space="preserve">List of </w:t>
      </w:r>
      <w:proofErr w:type="spellStart"/>
      <w:r w:rsidRPr="00470D8B">
        <w:rPr>
          <w:rFonts w:ascii="Calibri" w:hAnsi="Calibri" w:cs="Calibri" w:hint="eastAsia"/>
          <w:bCs/>
          <w:szCs w:val="20"/>
        </w:rPr>
        <w:t>tanimoto</w:t>
      </w:r>
      <w:proofErr w:type="spellEnd"/>
      <w:r w:rsidRPr="00470D8B">
        <w:rPr>
          <w:rFonts w:ascii="Calibri" w:hAnsi="Calibri" w:cs="Calibri" w:hint="eastAsia"/>
          <w:bCs/>
          <w:szCs w:val="20"/>
        </w:rPr>
        <w:t xml:space="preserve"> coefficients with similar compound groups and representative compounds</w:t>
      </w:r>
      <w:r>
        <w:rPr>
          <w:rFonts w:ascii="Calibri" w:hAnsi="Calibri" w:cs="Calibri"/>
          <w:bCs/>
          <w:szCs w:val="20"/>
        </w:rPr>
        <w:t xml:space="preserve"> (listed in Supplementary_Table.xlsx).</w:t>
      </w:r>
    </w:p>
    <w:p w14:paraId="4B8F0C59" w14:textId="77777777" w:rsidR="00470D8B" w:rsidRPr="00470D8B" w:rsidRDefault="00470D8B" w:rsidP="00EF7C67">
      <w:pPr>
        <w:widowControl/>
        <w:jc w:val="left"/>
        <w:rPr>
          <w:rFonts w:ascii="Calibri" w:hAnsi="Calibri" w:cs="Calibri"/>
          <w:bCs/>
          <w:szCs w:val="20"/>
        </w:rPr>
      </w:pPr>
    </w:p>
    <w:sectPr w:rsidR="00470D8B" w:rsidRPr="00470D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E5D92" w14:textId="77777777" w:rsidR="00F973CE" w:rsidRDefault="00F973CE" w:rsidP="000308EC">
      <w:r>
        <w:separator/>
      </w:r>
    </w:p>
  </w:endnote>
  <w:endnote w:type="continuationSeparator" w:id="0">
    <w:p w14:paraId="1306E757" w14:textId="77777777" w:rsidR="00F973CE" w:rsidRDefault="00F973CE" w:rsidP="0003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B65A" w14:textId="77777777" w:rsidR="00F973CE" w:rsidRDefault="00F973CE" w:rsidP="000308EC">
      <w:r>
        <w:separator/>
      </w:r>
    </w:p>
  </w:footnote>
  <w:footnote w:type="continuationSeparator" w:id="0">
    <w:p w14:paraId="3B150EB3" w14:textId="77777777" w:rsidR="00F973CE" w:rsidRDefault="00F973CE" w:rsidP="00030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E4"/>
    <w:rsid w:val="000308EC"/>
    <w:rsid w:val="00065C1F"/>
    <w:rsid w:val="000E7C5B"/>
    <w:rsid w:val="00117C65"/>
    <w:rsid w:val="002D67C2"/>
    <w:rsid w:val="002F45FA"/>
    <w:rsid w:val="00470D8B"/>
    <w:rsid w:val="005E718A"/>
    <w:rsid w:val="006303A5"/>
    <w:rsid w:val="00674D88"/>
    <w:rsid w:val="00856456"/>
    <w:rsid w:val="00B12043"/>
    <w:rsid w:val="00BB03E4"/>
    <w:rsid w:val="00BD1370"/>
    <w:rsid w:val="00DB38FD"/>
    <w:rsid w:val="00DD6268"/>
    <w:rsid w:val="00EB0ACF"/>
    <w:rsid w:val="00EF7C67"/>
    <w:rsid w:val="00F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6E8226"/>
  <w15:chartTrackingRefBased/>
  <w15:docId w15:val="{5937D7E9-9DBD-4AC0-9538-10E10E57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8E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308EC"/>
  </w:style>
  <w:style w:type="paragraph" w:styleId="a5">
    <w:name w:val="footer"/>
    <w:basedOn w:val="a"/>
    <w:link w:val="a6"/>
    <w:uiPriority w:val="99"/>
    <w:unhideWhenUsed/>
    <w:rsid w:val="000308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308EC"/>
  </w:style>
  <w:style w:type="paragraph" w:customStyle="1" w:styleId="RSCB01ARTAbstract">
    <w:name w:val="RSC B01 ART Abstract"/>
    <w:basedOn w:val="a"/>
    <w:link w:val="RSCB01ARTAbstractChar"/>
    <w:qFormat/>
    <w:rsid w:val="000308EC"/>
    <w:pPr>
      <w:widowControl/>
      <w:spacing w:after="200" w:line="240" w:lineRule="exact"/>
    </w:pPr>
    <w:rPr>
      <w:noProof/>
      <w:kern w:val="0"/>
      <w:sz w:val="16"/>
      <w:lang w:val="en-GB" w:eastAsia="en-GB"/>
    </w:rPr>
  </w:style>
  <w:style w:type="character" w:customStyle="1" w:styleId="RSCB01ARTAbstractChar">
    <w:name w:val="RSC B01 ART Abstract Char"/>
    <w:basedOn w:val="a0"/>
    <w:link w:val="RSCB01ARTAbstract"/>
    <w:rsid w:val="000308EC"/>
    <w:rPr>
      <w:noProof/>
      <w:kern w:val="0"/>
      <w:sz w:val="16"/>
      <w:lang w:val="en-GB" w:eastAsia="en-GB"/>
    </w:rPr>
  </w:style>
  <w:style w:type="paragraph" w:styleId="Web">
    <w:name w:val="Normal (Web)"/>
    <w:basedOn w:val="a"/>
    <w:uiPriority w:val="99"/>
    <w:semiHidden/>
    <w:unhideWhenUsed/>
    <w:rsid w:val="00DB38F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D13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1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eculenet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根本 駿平</dc:creator>
  <cp:keywords/>
  <dc:description/>
  <cp:lastModifiedBy>根本 駿平</cp:lastModifiedBy>
  <cp:revision>11</cp:revision>
  <dcterms:created xsi:type="dcterms:W3CDTF">2022-10-05T07:54:00Z</dcterms:created>
  <dcterms:modified xsi:type="dcterms:W3CDTF">2022-10-20T02:15:00Z</dcterms:modified>
</cp:coreProperties>
</file>