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Colorectal cancer is a leading cause of death worldwide. We analysed the patients who underwent screening colonoscopy.</w:t>
      </w:r>
    </w:p>
    <w:p>
      <w:pPr>
        <w:pStyle w:val="BodyText"/>
      </w:pPr>
      <w:r>
        <w:t xml:space="preserve">The cohort included 1,345 patients from 2010 to 2021, with a median age of 66 years.</w:t>
      </w:r>
    </w:p>
    <w:p>
      <w:pPr>
        <w:pStyle w:val="BodyText"/>
      </w:pPr>
      <w:r>
        <w:t xml:space="preserve">The adenoma detection rate was 33.0% (95% CI, 30.6-35.4).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