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Colorectal cancer is a major cause of death worldwide.</w:t>
      </w:r>
    </w:p>
    <w:p>
      <w:pPr>
        <w:pStyle w:val="BodyText"/>
      </w:pPr>
      <w:r>
        <w:t xml:space="preserve">The adenoma detection rate was 32.5% in the intervention group.</w:t>
      </w:r>
    </w:p>
    <w:bookmarkStart w:id="20" w:name="subgroup-analysis"/>
    <w:p>
      <w:pPr>
        <w:pStyle w:val="Heading2"/>
      </w:pPr>
      <w:r>
        <w:t xml:space="preserve">Subgroup analysis</w:t>
      </w:r>
    </w:p>
    <w:p>
      <w:pPr>
        <w:pStyle w:val="FirstParagraph"/>
      </w:pPr>
      <w:r>
        <w:t xml:space="preserve">Older patients had higher detection rates.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2026-10-13T14:25:28Z</dcterms:created>
  <dcterms:modified xsi:type="dcterms:W3CDTF">2026-10-13T14:25:28Z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