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Doses ranged from 10–20 mg (mean ± SD, 15 ± 2 mg).</w:t>
      </w:r>
    </w:p>
    <w:p>
      <w:pPr>
        <w:pStyle w:val="BodyText"/>
      </w:pPr>
      <w:r>
        <w:t xml:space="preserve">Concentration was 5 μg/mL;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0.05 was significant.</w:t>
      </w:r>
    </w:p>
    <w:p>
      <w:pPr>
        <w:pStyle w:val="BodyText"/>
      </w:pPr>
      <w:r>
        <w:t xml:space="preserve">Odds ratio 1.52 (95% CI 1.10–2.10).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