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背景"/>
    <w:p>
      <w:pPr>
        <w:pStyle w:val="Heading1"/>
      </w:pPr>
      <w:r>
        <w:t xml:space="preserve">背景</w:t>
      </w:r>
    </w:p>
    <w:p>
      <w:pPr>
        <w:pStyle w:val="FirstParagraph"/>
      </w:pPr>
      <w:r>
        <w:t xml:space="preserve">大腸癌は日本で主要な死因である。本研究では内視鏡検査の有用性を評価した。</w:t>
      </w:r>
    </w:p>
    <w:p>
      <w:pPr>
        <w:pStyle w:val="BodyText"/>
      </w:pPr>
      <w:r>
        <w:t xml:space="preserve">対象は2010年から2020年に検査を受けた1234例である。</w:t>
      </w:r>
    </w:p>
    <w:p>
      <w:pPr>
        <w:pStyle w:val="BodyText"/>
      </w:pPr>
      <w:r>
        <w:t xml:space="preserve">腺腫発見率は32.5%であり、従来の報告と同程度であった。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2026-10-13T14:25:27Z</dcterms:created>
  <dcterms:modified xsi:type="dcterms:W3CDTF">2026-10-13T14:25:27Z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