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figures"/>
    <w:p>
      <w:pPr>
        <w:pStyle w:val="Heading1"/>
      </w:pPr>
      <w:r>
        <w:t xml:space="preserve">Figures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1. Adenoma detection rate by endoscopist group." title="" id="21" name="Picture"/>
            <a:graphic>
              <a:graphicData uri="http://schemas.openxmlformats.org/drawingml/2006/picture">
                <pic:pic>
                  <pic:nvPicPr>
                    <pic:cNvPr descr="../images/fig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1. Adenoma detection rate by endoscopist group.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2. Withdrawal time before the training program." title="" id="24" name="Picture"/>
            <a:graphic>
              <a:graphicData uri="http://schemas.openxmlformats.org/drawingml/2006/picture">
                <pic:pic>
                  <pic:nvPicPr>
                    <pic:cNvPr descr="../images/fig2_v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2. Withdrawal time before the training program.</w:t>
      </w:r>
    </w:p>
    <w:p>
      <w:pPr>
        <w:pStyle w:val="CaptionedFigure"/>
      </w:pPr>
      <w:r>
        <w:drawing>
          <wp:inline>
            <wp:extent cx="5334000" cy="3333750"/>
            <wp:effectExtent b="0" l="0" r="0" t="0"/>
            <wp:docPr descr="Figure 3. Flow chart of patient selection." title="" id="27" name="Picture"/>
            <a:graphic>
              <a:graphicData uri="http://schemas.openxmlformats.org/drawingml/2006/picture">
                <pic:pic>
                  <pic:nvPicPr>
                    <pic:cNvPr descr="../images/fig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3. Flow chart of patient selection.</w:t>
      </w:r>
    </w:p>
    <w:p>
      <w:pPr>
        <w:pStyle w:val="BodyText"/>
      </w:pPr>
      <w:r>
        <w:t xml:space="preserve">Figures are drawn from the full cohort.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2026-10-13T14:25:29Z</dcterms:created>
  <dcterms:modified xsi:type="dcterms:W3CDTF">2026-10-13T14:25:29Z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