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U-Net model is defined by this notebook. In the folder nb_make_tfrecords the producing of this tfrecords was discussed, as well as how they are uploaded to Kaggle.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the Kaggle link is used to retrieve the tfrecords, while they are in the cloud via Kaggle. By this, it is possible to use TPU which is ~8 times faster than GPU. TPU can be enabled by Edit &gt; Notebook Settings &gt; TPU.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same tfrecords of the cGAN can be used. The values of [-1,1] are changed to [0,1] for the U-Net.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This U-Net can be used on the representations of ampslope and a ratio. Search for “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#uncomment for A_ratio representation</w:t>
      </w:r>
      <w:r w:rsidDel="00000000" w:rsidR="00000000" w:rsidRPr="00000000">
        <w:rPr>
          <w:rtl w:val="0"/>
        </w:rPr>
        <w:t xml:space="preserve">” and uncomment these cells if a ratio is preferred. If ratioslope is preferred, comment the a ratio and uncomment the cells with “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uncomment for ampslope representation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ampslope has three bands; one sar amplitude image at time 1,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one sar amplitude image at time 2 and one slope image.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image is paired to a masked image, called Y, which defines the landslide shape (if present, otherwise it is a plain black image).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 ratio has one band; it is a log-based amplitude ratio over images before and after the event over the time span of a month. These images before and after have been averaged. The a ratio has subsequently been masked by a slope image.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U-Net will make a model, and save these. It will also save the loss function and the mIoU (mean Intersection over Union) as a learning curve. 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