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200" w:after="200"/>
        <w:ind w:left="-360" w:right="-360" w:hanging="0"/>
        <w:rPr>
          <w:rFonts w:ascii="Google Sans" w:hAnsi="Google Sans" w:eastAsia="Google Sans" w:cs="Google Sans"/>
          <w:b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report analysis</w:t>
      </w:r>
    </w:p>
    <w:p>
      <w:pPr>
        <w:pStyle w:val="Normal1"/>
        <w:spacing w:lineRule="auto" w:line="360" w:before="0" w:after="200"/>
        <w:ind w:left="-360" w:right="-36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1"/>
        <w:spacing w:lineRule="auto" w:line="360" w:before="0" w:after="200"/>
        <w:ind w:left="-360" w:right="-36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Summary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Network at multimedia company’s network experienced DDOS attack. ICMPS messages flooded the network until it was inoperable.The attack left systems down for 2 hours.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Identify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ICMP messages where flooding the network leaving network inoperable.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Protect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 w:val="false"/>
                <w:b w:val="false"/>
                <w:bCs w:val="false"/>
              </w:rPr>
            </w:pPr>
            <w:r>
              <w:rPr>
                <w:rFonts w:eastAsia="Google Sans" w:cs="Google Sans" w:ascii="Google Sans" w:hAnsi="Google Sans"/>
                <w:b w:val="false"/>
                <w:bCs w:val="false"/>
              </w:rPr>
              <w:t>Firewall was reconfigured to limit incoming ICMP messages and to verify source ip addresses.</w:t>
            </w:r>
          </w:p>
        </w:tc>
      </w:tr>
      <w:tr>
        <w:trPr>
          <w:trHeight w:val="63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left="0" w:hanging="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IDS and IPS systems were implemented to filter and inform IT of any suspicion ICMP traffic.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Respond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IT team took action by blocking incoming ICMP packets, stopping all nonessential</w:t>
            </w:r>
            <w:r>
              <w:rPr/>
              <w:t xml:space="preserve"> </w:t>
            </w:r>
            <w:r>
              <w:rPr/>
              <w:t>network functions, and restoring all network function.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Recover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Baseline setting for firewall were changed to monitor and mitigate this kind of attack in the future. All network functions were returned to normal working order. </w:t>
            </w:r>
          </w:p>
        </w:tc>
      </w:tr>
    </w:tbl>
    <w:p>
      <w:pPr>
        <w:pStyle w:val="Normal1"/>
        <w:spacing w:lineRule="auto" w:line="360" w:before="0" w:after="200"/>
        <w:ind w:left="-360" w:right="-36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left="-360" w:right="-36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ind w:left="-360" w:right="-36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Reflections/Notes: </w:t>
            </w:r>
            <w:r>
              <w:rPr>
                <w:rFonts w:eastAsia="Google Sans" w:cs="Google Sans" w:ascii="Google Sans" w:hAnsi="Google Sans"/>
              </w:rPr>
              <w:t>In future if team could use catcpha to verify its a human each time a ICMP message is sent</w:t>
            </w:r>
          </w:p>
        </w:tc>
      </w:tr>
    </w:tbl>
    <w:p>
      <w:pPr>
        <w:pStyle w:val="Normal1"/>
        <w:spacing w:lineRule="auto" w:line="360"/>
        <w:ind w:left="-360" w:right="-360" w:hanging="0"/>
        <w:rPr>
          <w:rFonts w:ascii="Google Sans" w:hAnsi="Google Sans" w:eastAsia="Google Sans" w:cs="Google Sans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1096645" cy="81407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941" t="28610" r="18906" b="26272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LibreOffice/7.4.7.2$Linux_X86_64 LibreOffice_project/40$Build-2</Application>
  <AppVersion>15.0000</AppVersion>
  <Pages>2</Pages>
  <Words>191</Words>
  <Characters>1030</Characters>
  <CharactersWithSpaces>1208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2024-04-25T07:05:03Z</dcterms:modified>
  <cp:revision>4</cp:revision>
  <dc:subject/>
  <dc:title/>
</cp:coreProperties>
</file>