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Segoe UI Emoji" w:hAnsi="Segoe UI Emoji" w:eastAsia="Segoe UI Emoji" w:cs="Segoe UI Emoji"/>
        </w:rPr>
        <w:t xml:space="preserve">🗺️ </w:t>
      </w:r>
      <w:r>
        <w:t>Arrangement of the research</w:t>
      </w:r>
    </w:p>
    <w:p>
      <w:pPr>
        <w:spacing w:after="40"/>
      </w:pPr>
      <w:r>
        <w:rPr>
          <w:rFonts w:ascii="Calibri" w:hAnsi="Calibri" w:eastAsia="Calibri"/>
          <w:b w:val="0"/>
          <w:i/>
          <w:color w:val="464E5A"/>
          <w:sz w:val="21"/>
        </w:rPr>
        <w:t>Front matter of the working series</w:t>
      </w:r>
    </w:p>
    <w:p>
      <w:pPr>
        <w:spacing w:after="40"/>
      </w:pPr>
      <w:r>
        <w:rPr>
          <w:rFonts w:ascii="Calibri" w:hAnsi="Calibri" w:eastAsia="Calibri"/>
          <w:b w:val="0"/>
          <w:i/>
          <w:color w:val="464E5A"/>
          <w:sz w:val="21"/>
        </w:rPr>
        <w:t>29 September 2026</w:t>
      </w:r>
    </w:p>
    <w:p>
      <w:pPr>
        <w:spacing w:after="40"/>
      </w:pPr>
      <w:r>
        <w:rPr>
          <w:rFonts w:ascii="Calibri" w:hAnsi="Calibri" w:eastAsia="Calibri"/>
          <w:b w:val="0"/>
          <w:i/>
          <w:color w:val="464E5A"/>
          <w:sz w:val="21"/>
        </w:rPr>
        <w:t>Arranges Answers 1–17 into 7 parts and 21 chapters. Answer numbers record the order in which the questions were asked and are the file names. Chapter numbers record the order in which the work is read. Chapters 17–21 are Answer 17.</w:t>
      </w:r>
    </w:p>
    <w:tbl>
      <w:tblPr>
        <w:tblW w:type="auto" w:w="0"/>
        <w:jc w:val="center"/>
        <w:tblLayout w:type="fixed"/>
        <w:tblLook w:firstColumn="1" w:firstRow="1" w:lastColumn="0" w:lastRow="0" w:noHBand="0" w:noVBand="1" w:val="04A0"/>
      </w:tblPr>
      <w:tblGrid>
        <w:gridCol w:w="9518"/>
      </w:tblGrid>
      <w:tr>
        <w:tc>
          <w:tcPr>
            <w:tcW w:type="dxa" w:w="9411"/>
            <w:shd w:fill="F4F7FB" w:val="clear"/>
            <w:tcBorders>
              <w:top w:val="nil"/>
              <w:left w:val="single" w:sz="28" w:space="0" w:color="1F4E79"/>
              <w:bottom w:val="nil"/>
              <w:right w:val="nil"/>
            </w:tcBorders>
            <w:tcMar>
              <w:top w:w="80" w:type="dxa"/>
              <w:left w:w="160" w:type="dxa"/>
              <w:bottom w:w="80" w:type="dxa"/>
              <w:right w:w="160" w:type="dxa"/>
            </w:tcMar>
          </w:tcPr>
          <w:p>
            <w:pPr>
              <w:spacing w:after="60"/>
            </w:pPr>
            <w:r>
              <w:rPr>
                <w:rFonts w:ascii="Segoe UI Emoji" w:hAnsi="Segoe UI Emoji" w:eastAsia="Segoe UI Emoji" w:cs="Segoe UI Emoji"/>
                <w:b w:val="0"/>
                <w:i w:val="0"/>
                <w:sz w:val="24"/>
              </w:rPr>
              <w:t xml:space="preserve">🔑  </w:t>
            </w:r>
            <w:r>
              <w:rPr>
                <w:b/>
                <w:i w:val="0"/>
                <w:color w:val="1F4E79"/>
                <w:sz w:val="22"/>
              </w:rPr>
              <w:t>How to read this edition</w:t>
            </w:r>
          </w:p>
          <w:p>
            <w:pPr>
              <w:spacing w:after="40"/>
            </w:pPr>
            <w:r>
              <w:rPr>
                <w:b/>
                <w:i w:val="0"/>
                <w:color w:val="142846"/>
                <w:sz w:val="21"/>
                <w:shd w:val="clear" w:color="auto" w:fill="FFF1B8"/>
              </w:rPr>
              <w:t>The central idea of the chapter</w:t>
            </w:r>
            <w:r>
              <w:rPr>
                <w:b w:val="0"/>
                <w:i w:val="0"/>
                <w:sz w:val="21"/>
              </w:rPr>
              <w:t xml:space="preserve"> — bold, on a yellow marker.</w:t>
            </w:r>
          </w:p>
          <w:p>
            <w:pPr>
              <w:spacing w:after="40"/>
            </w:pPr>
            <w:r>
              <w:rPr>
                <w:b w:val="0"/>
                <w:i w:val="0"/>
                <w:color w:val="1B5E9E"/>
                <w:sz w:val="21"/>
                <w:u w:val="single"/>
              </w:rPr>
              <w:t>An important sentence</w:t>
            </w:r>
            <w:r>
              <w:rPr>
                <w:b w:val="0"/>
                <w:i w:val="0"/>
                <w:sz w:val="21"/>
              </w:rPr>
              <w:t xml:space="preserve"> — blue and underlined, in the text itself.</w:t>
            </w:r>
          </w:p>
          <w:p>
            <w:pPr>
              <w:spacing w:after="40"/>
            </w:pPr>
            <w:r>
              <w:rPr>
                <w:b w:val="0"/>
                <w:i w:val="0"/>
                <w:color w:val="6B2D8B"/>
                <w:sz w:val="21"/>
                <w:u w:val="dotted"/>
              </w:rPr>
              <w:t>A technical term</w:t>
            </w:r>
            <w:r>
              <w:rPr>
                <w:b w:val="0"/>
                <w:i w:val="0"/>
                <w:sz w:val="21"/>
              </w:rPr>
              <w:t xml:space="preserve"> — plum with a dotted line; its meaning is in “Words to know”.</w:t>
            </w:r>
          </w:p>
          <w:p>
            <w:pPr>
              <w:spacing w:after="0"/>
            </w:pPr>
            <w:r>
              <w:rPr>
                <w:rFonts w:ascii="Segoe UI Emoji" w:hAnsi="Segoe UI Emoji" w:eastAsia="Segoe UI Emoji" w:cs="Segoe UI Emoji"/>
                <w:b w:val="0"/>
                <w:i w:val="0"/>
                <w:sz w:val="21"/>
              </w:rPr>
              <w:t>💬</w:t>
            </w:r>
            <w:r>
              <w:rPr>
                <w:b w:val="0"/>
                <w:i w:val="0"/>
                <w:sz w:val="21"/>
              </w:rPr>
              <w:t xml:space="preserve"> In plain words   </w:t>
            </w:r>
            <w:r>
              <w:rPr>
                <w:rFonts w:ascii="Segoe UI Emoji" w:hAnsi="Segoe UI Emoji" w:eastAsia="Segoe UI Emoji" w:cs="Segoe UI Emoji"/>
                <w:b w:val="0"/>
                <w:i w:val="0"/>
                <w:sz w:val="21"/>
              </w:rPr>
              <w:t>🧭</w:t>
            </w:r>
            <w:r>
              <w:rPr>
                <w:b w:val="0"/>
                <w:i w:val="0"/>
                <w:sz w:val="21"/>
              </w:rPr>
              <w:t xml:space="preserve"> The chapter as a map   </w:t>
            </w:r>
            <w:r>
              <w:rPr>
                <w:rFonts w:ascii="Segoe UI Emoji" w:hAnsi="Segoe UI Emoji" w:eastAsia="Segoe UI Emoji" w:cs="Segoe UI Emoji"/>
                <w:b w:val="0"/>
                <w:i w:val="0"/>
                <w:sz w:val="21"/>
              </w:rPr>
              <w:t>📖</w:t>
            </w:r>
            <w:r>
              <w:rPr>
                <w:b w:val="0"/>
                <w:i w:val="0"/>
                <w:sz w:val="21"/>
              </w:rPr>
              <w:t xml:space="preserve"> Words to know   </w:t>
            </w:r>
            <w:r>
              <w:rPr>
                <w:rFonts w:ascii="Segoe UI Emoji" w:hAnsi="Segoe UI Emoji" w:eastAsia="Segoe UI Emoji" w:cs="Segoe UI Emoji"/>
                <w:b w:val="0"/>
                <w:i w:val="0"/>
                <w:sz w:val="21"/>
              </w:rPr>
              <w:t>🔁</w:t>
            </w:r>
            <w:r>
              <w:rPr>
                <w:b w:val="0"/>
                <w:i w:val="0"/>
                <w:sz w:val="21"/>
              </w:rPr>
              <w:t xml:space="preserve"> Read it again</w:t>
            </w:r>
          </w:p>
        </w:tc>
      </w:tr>
    </w:tbl>
    <w:p>
      <w:pPr>
        <w:spacing w:after="0" w:before="0"/>
      </w:pPr>
      <w:r>
        <w:rPr>
          <w:sz w:val="8"/>
        </w:rPr>
        <w:t xml:space="preserve"> </w:t>
      </w:r>
    </w:p>
    <w:tbl>
      <w:tblPr>
        <w:tblW w:type="auto" w:w="0"/>
        <w:jc w:val="center"/>
        <w:tblLayout w:type="fixed"/>
        <w:tblLook w:firstColumn="1" w:firstRow="1" w:lastColumn="0" w:lastRow="0" w:noHBand="0" w:noVBand="1" w:val="04A0"/>
      </w:tblPr>
      <w:tblGrid>
        <w:gridCol w:w="9518"/>
      </w:tblGrid>
      <w:tr>
        <w:tc>
          <w:tcPr>
            <w:tcW w:type="dxa" w:w="9411"/>
            <w:shd w:fill="FFF7DD" w:val="clear"/>
            <w:tcBorders>
              <w:top w:val="nil"/>
              <w:left w:val="single" w:sz="28" w:space="0" w:color="B4540A"/>
              <w:bottom w:val="nil"/>
              <w:right w:val="nil"/>
            </w:tcBorders>
            <w:tcMar>
              <w:top w:w="80" w:type="dxa"/>
              <w:left w:w="160" w:type="dxa"/>
              <w:bottom w:w="80" w:type="dxa"/>
              <w:right w:w="160" w:type="dxa"/>
            </w:tcMar>
          </w:tcPr>
          <w:p>
            <w:pPr>
              <w:spacing w:after="60"/>
            </w:pPr>
            <w:r>
              <w:rPr>
                <w:rFonts w:ascii="Segoe UI Emoji" w:hAnsi="Segoe UI Emoji" w:eastAsia="Segoe UI Emoji" w:cs="Segoe UI Emoji"/>
                <w:b w:val="0"/>
                <w:i w:val="0"/>
                <w:sz w:val="24"/>
              </w:rPr>
              <w:t xml:space="preserve">⭐  </w:t>
            </w:r>
            <w:r>
              <w:rPr>
                <w:b/>
                <w:i w:val="0"/>
                <w:color w:val="B4540A"/>
                <w:sz w:val="22"/>
              </w:rPr>
              <w:t>In one sentence</w:t>
            </w:r>
          </w:p>
          <w:p>
            <w:pPr>
              <w:spacing w:after="0"/>
            </w:pPr>
            <w:r>
              <w:rPr>
                <w:rFonts w:ascii="Calibri" w:hAnsi="Calibri"/>
                <w:b/>
                <w:i w:val="0"/>
                <w:color w:val="142846"/>
                <w:sz w:val="23"/>
              </w:rPr>
              <w:t>The map of the whole series: seventeen answers put into reading order, the rules of evidence every chapter has fixed, and the apparatus of a reference work — concordance, timeline, cases, glossary.</w:t>
            </w:r>
          </w:p>
        </w:tc>
      </w:tr>
    </w:tbl>
    <w:p>
      <w:pPr>
        <w:spacing w:after="0" w:before="0"/>
      </w:pPr>
      <w:r>
        <w:rPr>
          <w:sz w:val="8"/>
        </w:rPr>
        <w:t xml:space="preserve"> </w:t>
      </w:r>
    </w:p>
    <w:tbl>
      <w:tblPr>
        <w:tblW w:type="auto" w:w="0"/>
        <w:jc w:val="center"/>
        <w:tblLayout w:type="fixed"/>
        <w:tblLook w:firstColumn="1" w:firstRow="1" w:lastColumn="0" w:lastRow="0" w:noHBand="0" w:noVBand="1" w:val="04A0"/>
      </w:tblPr>
      <w:tblGrid>
        <w:gridCol w:w="9518"/>
      </w:tblGrid>
      <w:tr>
        <w:tc>
          <w:tcPr>
            <w:tcW w:type="dxa" w:w="9411"/>
            <w:shd w:fill="EAF4FB" w:val="clear"/>
            <w:tcBorders>
              <w:top w:val="nil"/>
              <w:left w:val="single" w:sz="28" w:space="0" w:color="0F6E8C"/>
              <w:bottom w:val="nil"/>
              <w:right w:val="nil"/>
            </w:tcBorders>
            <w:tcMar>
              <w:top w:w="80" w:type="dxa"/>
              <w:left w:w="160" w:type="dxa"/>
              <w:bottom w:w="80" w:type="dxa"/>
              <w:right w:w="160" w:type="dxa"/>
            </w:tcMar>
          </w:tcPr>
          <w:p>
            <w:pPr>
              <w:spacing w:after="60"/>
            </w:pPr>
            <w:r>
              <w:rPr>
                <w:rFonts w:ascii="Segoe UI Emoji" w:hAnsi="Segoe UI Emoji" w:eastAsia="Segoe UI Emoji" w:cs="Segoe UI Emoji"/>
                <w:b w:val="0"/>
                <w:i w:val="0"/>
                <w:sz w:val="24"/>
              </w:rPr>
              <w:t xml:space="preserve">💬  </w:t>
            </w:r>
            <w:r>
              <w:rPr>
                <w:b/>
                <w:i w:val="0"/>
                <w:color w:val="0F6E8C"/>
                <w:sz w:val="22"/>
              </w:rPr>
              <w:t>In plain words</w:t>
            </w:r>
          </w:p>
          <w:p>
            <w:pPr>
              <w:spacing w:after="0"/>
            </w:pPr>
            <w:r>
              <w:rPr>
                <w:b w:val="0"/>
                <w:i w:val="0"/>
                <w:sz w:val="21"/>
              </w:rPr>
              <w:t>This document is the map of the whole series. It puts the seventeen answers into reading order, collects the rules of evidence every chapter has fixed, and adds the apparatus of a reference work: a concordance to the nine characteristics of 2014, a master timeline, the cases the series argues from, and a glossary. Read it first, and come back to it whenever a chapter refers to another.</w:t>
            </w:r>
          </w:p>
        </w:tc>
      </w:tr>
    </w:tbl>
    <w:p>
      <w:pPr>
        <w:spacing w:after="0" w:before="0"/>
      </w:pPr>
      <w:r>
        <w:rPr>
          <w:sz w:val="8"/>
        </w:rPr>
        <w:t xml:space="preserve"> </w:t>
      </w:r>
    </w:p>
    <w:p>
      <w:pPr>
        <w:spacing w:after="60" w:before="80"/>
      </w:pPr>
      <w:r>
        <w:rPr>
          <w:rFonts w:ascii="Segoe UI Emoji" w:hAnsi="Segoe UI Emoji" w:eastAsia="Segoe UI Emoji" w:cs="Segoe UI Emoji"/>
          <w:b w:val="0"/>
          <w:i w:val="0"/>
          <w:sz w:val="24"/>
        </w:rPr>
        <w:t xml:space="preserve">📖  </w:t>
      </w:r>
      <w:r>
        <w:rPr>
          <w:b/>
          <w:i w:val="0"/>
          <w:color w:val="6B2D8B"/>
          <w:sz w:val="22"/>
        </w:rPr>
        <w:t>Words to know</w:t>
      </w:r>
    </w:p>
    <w:tbl>
      <w:tblPr>
        <w:tblW w:type="auto" w:w="0"/>
        <w:jc w:val="center"/>
        <w:tblLayout w:type="fixed"/>
        <w:tblLook w:firstColumn="1" w:firstRow="1" w:lastColumn="0" w:lastRow="0" w:noHBand="0" w:noVBand="1" w:val="04A0"/>
      </w:tblPr>
      <w:tblGrid>
        <w:gridCol w:w="4759"/>
        <w:gridCol w:w="4759"/>
      </w:tblGrid>
      <w:tr>
        <w:tc>
          <w:tcPr>
            <w:tcW w:type="dxa" w:w="2608"/>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précis</w:t>
            </w:r>
          </w:p>
        </w:tc>
        <w:tc>
          <w:tcPr>
            <w:tcW w:type="dxa" w:w="6803"/>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A short summary of a chapter: what it establishes and what it rests on.</w:t>
            </w:r>
          </w:p>
        </w:tc>
      </w:tr>
      <w:tr>
        <w:tc>
          <w:tcPr>
            <w:tcW w:type="dxa" w:w="2608"/>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Concordance</w:t>
            </w:r>
          </w:p>
        </w:tc>
        <w:tc>
          <w:tcPr>
            <w:tcW w:type="dxa" w:w="6803"/>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An index that lines one list (the nine characteristics of 2014) up against another (the chapters).</w:t>
            </w:r>
          </w:p>
        </w:tc>
      </w:tr>
      <w:tr>
        <w:tc>
          <w:tcPr>
            <w:tcW w:type="dxa" w:w="2608"/>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gazetteer</w:t>
            </w:r>
          </w:p>
        </w:tc>
        <w:tc>
          <w:tcPr>
            <w:tcW w:type="dxa" w:w="6803"/>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A who’s-who of the recurring cases the series argues from.</w:t>
            </w:r>
          </w:p>
        </w:tc>
      </w:tr>
      <w:tr>
        <w:tc>
          <w:tcPr>
            <w:tcW w:type="dxa" w:w="2608"/>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reading order</w:t>
            </w:r>
          </w:p>
        </w:tc>
        <w:tc>
          <w:tcPr>
            <w:tcW w:type="dxa" w:w="6803"/>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The order for the argument, as opposed to the answer order, in which the questions were asked.</w:t>
            </w:r>
          </w:p>
        </w:tc>
      </w:tr>
      <w:tr>
        <w:tc>
          <w:tcPr>
            <w:tcW w:type="dxa" w:w="2608"/>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yardstick</w:t>
            </w:r>
          </w:p>
        </w:tc>
        <w:tc>
          <w:tcPr>
            <w:tcW w:type="dxa" w:w="6803"/>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The chapters a claim is measured against.</w:t>
            </w:r>
          </w:p>
        </w:tc>
      </w:tr>
    </w:tbl>
    <w:p>
      <w:pPr>
        <w:spacing w:after="0" w:before="0"/>
      </w:pPr>
      <w:r>
        <w:rPr>
          <w:sz w:val="8"/>
        </w:rPr>
        <w:t xml:space="preserve"> </w:t>
      </w:r>
    </w:p>
    <w:p>
      <w:pPr>
        <w:spacing w:after="40" w:before="120"/>
        <w:jc w:val="center"/>
      </w:pPr>
      <w:r>
        <w:drawing>
          <wp:inline xmlns:a="http://schemas.openxmlformats.org/drawingml/2006/main" xmlns:pic="http://schemas.openxmlformats.org/drawingml/2006/picture">
            <wp:extent cx="4368800" cy="4368800"/>
            <wp:docPr id="2" name="Picture 2"/>
            <wp:cNvGraphicFramePr>
              <a:graphicFrameLocks noChangeAspect="1"/>
            </wp:cNvGraphicFramePr>
            <a:graphic>
              <a:graphicData uri="http://schemas.openxmlformats.org/drawingml/2006/picture">
                <pic:pic>
                  <pic:nvPicPr>
                    <pic:cNvPr id="0" name="00-02-map.png"/>
                    <pic:cNvPicPr/>
                  </pic:nvPicPr>
                  <pic:blipFill>
                    <a:blip r:embed="rId12"/>
                    <a:stretch>
                      <a:fillRect/>
                    </a:stretch>
                  </pic:blipFill>
                  <pic:spPr>
                    <a:xfrm>
                      <a:off x="0" y="0"/>
                      <a:ext cx="4368800" cy="4368800"/>
                    </a:xfrm>
                    <a:prstGeom prst="rect"/>
                  </pic:spPr>
                </pic:pic>
              </a:graphicData>
            </a:graphic>
          </wp:inline>
        </w:drawing>
      </w:r>
    </w:p>
    <w:p>
      <w:pPr>
        <w:spacing w:after="200"/>
        <w:jc w:val="center"/>
      </w:pPr>
      <w:r>
        <w:rPr>
          <w:b w:val="0"/>
          <w:i/>
          <w:color w:val="5A626E"/>
          <w:sz w:val="18"/>
        </w:rPr>
        <w:t>The chapter as a map: its sections and what each one holds.</w:t>
      </w:r>
    </w:p>
    <w:p>
      <w:pPr>
        <w:pStyle w:val="Heading2"/>
      </w:pPr>
      <w:r>
        <w:rPr>
          <w:rFonts w:ascii="Segoe UI Emoji" w:hAnsi="Segoe UI Emoji" w:eastAsia="Segoe UI Emoji" w:cs="Segoe UI Emoji"/>
        </w:rPr>
        <w:t xml:space="preserve">🎯 </w:t>
      </w:r>
      <w:r>
        <w:t>The aim and the spine of the argument</w:t>
      </w:r>
    </w:p>
    <w:p>
      <w:pPr>
        <w:spacing w:after="40" w:before="120"/>
        <w:jc w:val="center"/>
      </w:pPr>
      <w:r>
        <w:drawing>
          <wp:inline xmlns:a="http://schemas.openxmlformats.org/drawingml/2006/main" xmlns:pic="http://schemas.openxmlformats.org/drawingml/2006/picture">
            <wp:extent cx="5989320" cy="1326306"/>
            <wp:docPr id="1" name="Picture 1"/>
            <wp:cNvGraphicFramePr>
              <a:graphicFrameLocks noChangeAspect="1"/>
            </wp:cNvGraphicFramePr>
            <a:graphic>
              <a:graphicData uri="http://schemas.openxmlformats.org/drawingml/2006/picture">
                <pic:pic>
                  <pic:nvPicPr>
                    <pic:cNvPr id="0" name="00-01-flow_h.png"/>
                    <pic:cNvPicPr/>
                  </pic:nvPicPr>
                  <pic:blipFill>
                    <a:blip r:embed="rId11"/>
                    <a:stretch>
                      <a:fillRect/>
                    </a:stretch>
                  </pic:blipFill>
                  <pic:spPr>
                    <a:xfrm>
                      <a:off x="0" y="0"/>
                      <a:ext cx="5989320" cy="1326306"/>
                    </a:xfrm>
                    <a:prstGeom prst="rect"/>
                  </pic:spPr>
                </pic:pic>
              </a:graphicData>
            </a:graphic>
          </wp:inline>
        </w:drawing>
      </w:r>
    </w:p>
    <w:p>
      <w:pPr>
        <w:spacing w:after="200"/>
        <w:jc w:val="center"/>
      </w:pPr>
      <w:r>
        <w:rPr>
          <w:b w:val="0"/>
          <w:i/>
          <w:color w:val="5A626E"/>
          <w:sz w:val="18"/>
        </w:rPr>
        <w:t>The reading path: seven parts, in the order of the argument.</w:t>
      </w:r>
    </w:p>
    <w:p>
      <w:r>
        <w:rPr>
          <w:rFonts w:ascii="Calibri" w:hAnsi="Calibri" w:eastAsia="Calibri"/>
          <w:b w:val="0"/>
          <w:i w:val="0"/>
          <w:sz w:val="22"/>
        </w:rPr>
        <w:t xml:space="preserve">The end product is a research article on how AI has changed microservice architecture: design, boundaries, communication, operations, and the tradeoffs that come with those changes. The answers written so far were asked in the order a researcher needed them. </w:t>
      </w:r>
      <w:r>
        <w:rPr>
          <w:rFonts w:ascii="Calibri" w:hAnsi="Calibri" w:eastAsia="Calibri"/>
          <w:b w:val="0"/>
          <w:i w:val="0"/>
          <w:color w:val="1B5E9E"/>
          <w:sz w:val="22"/>
          <w:u w:val="single"/>
        </w:rPr>
        <w:t xml:space="preserve">Read for the aim, they fall into a different order, and that order is the argument</w:t>
      </w:r>
      <w:r>
        <w:rPr>
          <w:rFonts w:ascii="Calibri" w:hAnsi="Calibri" w:eastAsia="Calibri"/>
          <w:b w:val="0"/>
          <w:i w:val="0"/>
          <w:sz w:val="22"/>
        </w:rPr>
        <w:t xml:space="preserve">: first the question and its terms; then the baseline — the history of the style and its pattern language, with every pattern shown in the software that made it ordinary; then the inside of one service; then the platform beneath and the product above; then the </w:t>
      </w:r>
      <w:r>
        <w:rPr>
          <w:rFonts w:ascii="Calibri" w:hAnsi="Calibri" w:eastAsia="Calibri"/>
          <w:b w:val="0"/>
          <w:i w:val="0"/>
          <w:color w:val="6B2D8B"/>
          <w:sz w:val="22"/>
          <w:u w:val="dotted"/>
        </w:rPr>
        <w:t xml:space="preserve">yardstick</w:t>
      </w:r>
      <w:r>
        <w:rPr>
          <w:rFonts w:ascii="Calibri" w:hAnsi="Calibri" w:eastAsia="Calibri"/>
          <w:b w:val="0"/>
          <w:i w:val="0"/>
          <w:sz w:val="22"/>
        </w:rPr>
        <w:t xml:space="preserve"> by which a claim will be graded; then the AI system and its own patterns; and last, the five chapters in which each baseline decision is tested against what the published cases show AI actually did.</w:t>
      </w:r>
    </w:p>
    <w:p>
      <w:r>
        <w:rPr>
          <w:rFonts w:ascii="Calibri" w:hAnsi="Calibri" w:eastAsia="Calibri"/>
          <w:b/>
          <w:i w:val="0"/>
          <w:color w:val="142846"/>
          <w:sz w:val="22"/>
          <w:shd w:val="clear" w:color="auto" w:fill="FFF1B8"/>
        </w:rPr>
        <w:t xml:space="preserve">The spine is a single discipline repeated in every chapter: a claim that AI changed the architecture has to name the decision it changed.</w:t>
      </w:r>
      <w:r>
        <w:rPr>
          <w:rFonts w:ascii="Calibri" w:hAnsi="Calibri" w:eastAsia="Calibri"/>
          <w:b w:val="0"/>
          <w:i w:val="0"/>
          <w:sz w:val="22"/>
        </w:rPr>
        <w:t xml:space="preserve"> The history fixes the nine characteristics of 2014 as the test. The pattern language fixes the decision sequence. The platform chapters fix which layer a change belongs to. The requirements and software-engineering chapters fix how the functional and non-functional sides, and the knowledge areas, are graded. The AI-system chapter fixes that an AI pattern and a microservice pattern are two columns. Part VII is where those columns are filled in, from cases that wrote the decision down.</w:t>
      </w:r>
    </w:p>
    <w:p>
      <w:pPr>
        <w:pStyle w:val="Heading2"/>
      </w:pPr>
      <w:r>
        <w:rPr>
          <w:rFonts w:ascii="Segoe UI Emoji" w:hAnsi="Segoe UI Emoji" w:eastAsia="Segoe UI Emoji" w:cs="Segoe UI Emoji"/>
        </w:rPr>
        <w:t xml:space="preserve">⚖️ </w:t>
      </w:r>
      <w:r>
        <w:t>The rules of evidence the series has fixed</w:t>
      </w:r>
    </w:p>
    <w:p>
      <w:r>
        <w:rPr>
          <w:rFonts w:ascii="Calibri" w:hAnsi="Calibri" w:eastAsia="Calibri"/>
          <w:b w:val="0"/>
          <w:i w:val="0"/>
          <w:color w:val="1B5E9E"/>
          <w:sz w:val="22"/>
          <w:u w:val="single"/>
        </w:rPr>
        <w:t xml:space="preserve">Every chapter ends with a section headed “What this fixes for the AI chapter.”</w:t>
      </w:r>
      <w:r>
        <w:rPr>
          <w:rFonts w:ascii="Calibri" w:hAnsi="Calibri" w:eastAsia="Calibri"/>
          <w:b w:val="0"/>
          <w:i w:val="0"/>
          <w:sz w:val="22"/>
        </w:rPr>
        <w:t xml:space="preserve"> </w:t>
      </w:r>
      <w:r>
        <w:rPr>
          <w:rFonts w:ascii="Calibri" w:hAnsi="Calibri" w:eastAsia="Calibri"/>
          <w:b w:val="0"/>
          <w:i w:val="0"/>
          <w:color w:val="1B5E9E"/>
          <w:sz w:val="22"/>
          <w:u w:val="single"/>
        </w:rPr>
        <w:t xml:space="preserve">Collected, those sections are the rules under which Part VII was written.</w:t>
      </w:r>
      <w:r>
        <w:rPr>
          <w:rFonts w:ascii="Calibri" w:hAnsi="Calibri" w:eastAsia="Calibri"/>
          <w:b w:val="0"/>
          <w:i w:val="0"/>
          <w:sz w:val="22"/>
        </w:rPr>
        <w:t xml:space="preserve"> The right-hand column is the chapter, in </w:t>
      </w:r>
      <w:r>
        <w:rPr>
          <w:rFonts w:ascii="Calibri" w:hAnsi="Calibri" w:eastAsia="Calibri"/>
          <w:b w:val="0"/>
          <w:i w:val="0"/>
          <w:color w:val="6B2D8B"/>
          <w:sz w:val="22"/>
          <w:u w:val="dotted"/>
        </w:rPr>
        <w:t xml:space="preserve">reading order</w:t>
      </w:r>
      <w:r>
        <w:rPr>
          <w:rFonts w:ascii="Calibri" w:hAnsi="Calibri" w:eastAsia="Calibri"/>
          <w:b w:val="0"/>
          <w:i w:val="0"/>
          <w:sz w:val="22"/>
        </w:rPr>
        <w:t xml:space="preserve">, that fixed the rule.</w:t>
      </w:r>
    </w:p>
    <w:tbl>
      <w:tblPr>
        <w:tblW w:type="auto" w:w="0"/>
        <w:tblLayout w:type="autofit"/>
        <w:tblLook w:firstColumn="1" w:firstRow="1" w:lastColumn="0" w:lastRow="0" w:noHBand="0" w:noVBand="1" w:val="04A0"/>
      </w:tblPr>
      <w:tblGrid>
        <w:gridCol w:w="4759"/>
        <w:gridCol w:w="4759"/>
      </w:tblGrid>
      <w:tr>
        <w:tc>
          <w:tcPr>
            <w:tcW w:type="dxa" w:w="8277"/>
            <w:shd w:fill="1F4E79"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i w:val="0"/>
                <w:color w:val="FFFFFF"/>
                <w:sz w:val="20"/>
              </w:rPr>
              <w:t>Rule</w:t>
            </w:r>
          </w:p>
        </w:tc>
        <w:tc>
          <w:tcPr>
            <w:tcW w:type="dxa" w:w="1247"/>
            <w:shd w:fill="1F4E79"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i w:val="0"/>
                <w:color w:val="FFFFFF"/>
                <w:sz w:val="20"/>
              </w:rPr>
              <w:t>Fixed in</w:t>
            </w:r>
          </w:p>
        </w:tc>
      </w:tr>
      <w:tr>
        <w:tc>
          <w:tcPr>
            <w:tcW w:type="dxa" w:w="8277"/>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Say which of the nine 2014 characteristics moved: boundaries, ownership, pipes, data, deployment, or failure design.</w:t>
            </w:r>
          </w:p>
        </w:tc>
        <w:tc>
          <w:tcPr>
            <w:tcW w:type="dxa" w:w="1247"/>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3</w:t>
            </w:r>
          </w:p>
        </w:tc>
      </w:tr>
      <w:tr>
        <w:tc>
          <w:tcPr>
            <w:tcW w:type="dxa" w:w="8277"/>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Name a decision in the pattern language’s decision sequence: where the boundary is drawn, how a saga is coordinated, whether the pipe stays dumb, whether the sidecar and the mesh absorb the reliability patterns.</w:t>
            </w:r>
          </w:p>
        </w:tc>
        <w:tc>
          <w:tcPr>
            <w:tcW w:type="dxa" w:w="1247"/>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4</w:t>
            </w:r>
          </w:p>
        </w:tc>
      </w:tr>
      <w:tr>
        <w:tc>
          <w:tcPr>
            <w:tcW w:type="dxa" w:w="8277"/>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Test the claim against the named case in which the pattern became ordinary: an outbox or publish-and-hope; a capability, a subdomain, or a table; choreography or orchestration, with the compensations written; reliability in code, in a chassis, or in a sidecar.</w:t>
            </w:r>
          </w:p>
        </w:tc>
        <w:tc>
          <w:tcPr>
            <w:tcW w:type="dxa" w:w="1247"/>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6</w:t>
            </w:r>
          </w:p>
        </w:tc>
      </w:tr>
      <w:tr>
        <w:tc>
          <w:tcPr>
            <w:tcW w:type="dxa" w:w="8277"/>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Say which of three things the account touches: the hand-designed data patterns; where the reliability patterns live; the cost that made companies move back.</w:t>
            </w:r>
          </w:p>
        </w:tc>
        <w:tc>
          <w:tcPr>
            <w:tcW w:type="dxa" w:w="1247"/>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6</w:t>
            </w:r>
          </w:p>
        </w:tc>
      </w:tr>
      <w:tr>
        <w:tc>
          <w:tcPr>
            <w:tcW w:type="dxa" w:w="8277"/>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Separate the interior from the boundary: a controller and a table is a transaction script; DDD has named aggregates, foreign references by identity, and a domain event distinct from the integration event.</w:t>
            </w:r>
          </w:p>
        </w:tc>
        <w:tc>
          <w:tcPr>
            <w:tcW w:type="dxa" w:w="1247"/>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7</w:t>
            </w:r>
          </w:p>
        </w:tc>
      </w:tr>
      <w:tr>
        <w:tc>
          <w:tcPr>
            <w:tcW w:type="dxa" w:w="8277"/>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Name which school a tool imitates — tactical DDD, EventStorming, Assemblage, Team Topologies, Data Mesh — and whether it performs the method or only names it.</w:t>
            </w:r>
          </w:p>
        </w:tc>
        <w:tc>
          <w:tcPr>
            <w:tcW w:type="dxa" w:w="1247"/>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8</w:t>
            </w:r>
          </w:p>
        </w:tc>
      </w:tr>
      <w:tr>
        <w:tc>
          <w:tcPr>
            <w:tcW w:type="dxa" w:w="8277"/>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Say which layer moved: the application cut, the deployment unit, or the cloud’s placement and blast radius. Keep the platform’s control loop and the domain’s in separate columns.</w:t>
            </w:r>
          </w:p>
        </w:tc>
        <w:tc>
          <w:tcPr>
            <w:tcW w:type="dxa" w:w="1247"/>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9</w:t>
            </w:r>
          </w:p>
        </w:tc>
      </w:tr>
      <w:tr>
        <w:tc>
          <w:tcPr>
            <w:tcW w:type="dxa" w:w="8277"/>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 claim about microservices shows a boundary, a private schema, and a collaboration pattern. A claim about Kubernetes shows desired state that matches how the process fails, starts, and is found.</w:t>
            </w:r>
          </w:p>
        </w:tc>
        <w:tc>
          <w:tcPr>
            <w:tcW w:type="dxa" w:w="1247"/>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10</w:t>
            </w:r>
          </w:p>
        </w:tc>
      </w:tr>
      <w:tr>
        <w:tc>
          <w:tcPr>
            <w:tcW w:type="dxa" w:w="8277"/>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 claim about PaaS shows a stateless process, configuration outside the build, and backing services as bindings. Pushing to a platform discharges no microservice claim.</w:t>
            </w:r>
          </w:p>
        </w:tc>
        <w:tc>
          <w:tcPr>
            <w:tcW w:type="dxa" w:w="1247"/>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11</w:t>
            </w:r>
          </w:p>
        </w:tc>
      </w:tr>
      <w:tr>
        <w:tc>
          <w:tcPr>
            <w:tcW w:type="dxa" w:w="8277"/>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 claim about SaaS shows a tenant on the token, a tenant predicate on every query, a control-plane record that can create and delete the tenant, a meter, and a stated silo or pool choice.</w:t>
            </w:r>
          </w:p>
        </w:tc>
        <w:tc>
          <w:tcPr>
            <w:tcW w:type="dxa" w:w="1247"/>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12</w:t>
            </w:r>
          </w:p>
        </w:tc>
      </w:tr>
      <w:tr>
        <w:tc>
          <w:tcPr>
            <w:tcW w:type="dxa" w:w="8277"/>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Name which NIST service model a suggestion means. A hosted model is AI as a service: a backing service, not a new shape for the aggregate.</w:t>
            </w:r>
          </w:p>
        </w:tc>
        <w:tc>
          <w:tcPr>
            <w:tcW w:type="dxa" w:w="1247"/>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13</w:t>
            </w:r>
          </w:p>
        </w:tc>
      </w:tr>
      <w:tr>
        <w:tc>
          <w:tcPr>
            <w:tcW w:type="dxa" w:w="8277"/>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Name which cut moved. An AI feature inside a service is Pressman’s AI software inside an application; a tool that proposes boundaries is development software acting on the structure cut.</w:t>
            </w:r>
          </w:p>
        </w:tc>
        <w:tc>
          <w:tcPr>
            <w:tcW w:type="dxa" w:w="1247"/>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2</w:t>
            </w:r>
          </w:p>
        </w:tc>
      </w:tr>
      <w:tr>
        <w:tc>
          <w:tcPr>
            <w:tcW w:type="dxa" w:w="8277"/>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Grade the functional and the non-functional side separately. A split is an answer to a non-functional requirement and is justified only if that requirement was measured.</w:t>
            </w:r>
          </w:p>
        </w:tc>
        <w:tc>
          <w:tcPr>
            <w:tcW w:type="dxa" w:w="1247"/>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14</w:t>
            </w:r>
          </w:p>
        </w:tc>
      </w:tr>
      <w:tr>
        <w:tc>
          <w:tcPr>
            <w:tcW w:type="dxa" w:w="8277"/>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Name the knowledge area a tool practices and what is still owed: evaluation of an architecture, validation by a stakeholder, authorization of a change.</w:t>
            </w:r>
          </w:p>
        </w:tc>
        <w:tc>
          <w:tcPr>
            <w:tcW w:type="dxa" w:w="1247"/>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15</w:t>
            </w:r>
          </w:p>
        </w:tc>
      </w:tr>
      <w:tr>
        <w:tc>
          <w:tcPr>
            <w:tcW w:type="dxa" w:w="8277"/>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Name the AI-system pattern and the baseline decision separately. Grade by which tools can write, who owns the passages retrieved, and what stops the loop.</w:t>
            </w:r>
          </w:p>
        </w:tc>
        <w:tc>
          <w:tcPr>
            <w:tcW w:type="dxa" w:w="1247"/>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16</w:t>
            </w:r>
          </w:p>
        </w:tc>
      </w:tr>
    </w:tbl>
    <w:p/>
    <w:p>
      <w:pPr>
        <w:pStyle w:val="Heading2"/>
      </w:pPr>
      <w:r>
        <w:rPr>
          <w:rFonts w:ascii="Segoe UI Emoji" w:hAnsi="Segoe UI Emoji" w:eastAsia="Segoe UI Emoji" w:cs="Segoe UI Emoji"/>
        </w:rPr>
        <w:t xml:space="preserve">🔢 </w:t>
      </w:r>
      <w:r>
        <w:t>How to read the numbering</w:t>
      </w:r>
    </w:p>
    <w:p>
      <w:r>
        <w:rPr>
          <w:rFonts w:ascii="Calibri" w:hAnsi="Calibri" w:eastAsia="Calibri"/>
          <w:b w:val="0"/>
          <w:i w:val="0"/>
          <w:sz w:val="22"/>
        </w:rPr>
        <w:t>Each answer keeps its number and its file name; the meta lines at the top of every document still say “Answer N of the working series.” This front matter assigns chapter numbers, which are the reading order. The chapters were written as answers, so a phrase inside one of them such as “the previous chapter” or “the series so far” refers to the answer order, which the provenance line records. Chapter 6, the patterns in popular software, is Answer 16 and is regenerated by running python _export_answers.py chapters; this front matter is regenerated by running python _export_arrangement.py. When a new answer is added, it is placed in a part here and the chapter numbers are recomputed.</w:t>
      </w:r>
    </w:p>
    <w:tbl>
      <w:tblPr>
        <w:tblW w:type="auto" w:w="0"/>
        <w:tblLayout w:type="autofit"/>
        <w:tblLook w:firstColumn="1" w:firstRow="1" w:lastColumn="0" w:lastRow="0" w:noHBand="0" w:noVBand="1" w:val="04A0"/>
      </w:tblPr>
      <w:tblGrid>
        <w:gridCol w:w="2379"/>
        <w:gridCol w:w="2379"/>
        <w:gridCol w:w="2379"/>
        <w:gridCol w:w="2379"/>
      </w:tblGrid>
      <w:tr>
        <w:tc>
          <w:tcPr>
            <w:tcW w:type="dxa" w:w="964"/>
            <w:shd w:fill="1F4E79"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i w:val="0"/>
                <w:color w:val="FFFFFF"/>
                <w:sz w:val="20"/>
              </w:rPr>
              <w:t>Chapter</w:t>
            </w:r>
          </w:p>
        </w:tc>
        <w:tc>
          <w:tcPr>
            <w:tcW w:type="dxa" w:w="964"/>
            <w:shd w:fill="1F4E79"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i w:val="0"/>
                <w:color w:val="FFFFFF"/>
                <w:sz w:val="20"/>
              </w:rPr>
              <w:t>Answer</w:t>
            </w:r>
          </w:p>
        </w:tc>
        <w:tc>
          <w:tcPr>
            <w:tcW w:type="dxa" w:w="4535"/>
            <w:shd w:fill="1F4E79"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i w:val="0"/>
                <w:color w:val="FFFFFF"/>
                <w:sz w:val="20"/>
              </w:rPr>
              <w:t>File</w:t>
            </w:r>
          </w:p>
        </w:tc>
        <w:tc>
          <w:tcPr>
            <w:tcW w:type="dxa" w:w="3061"/>
            <w:shd w:fill="1F4E79"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i w:val="0"/>
                <w:color w:val="FFFFFF"/>
                <w:sz w:val="20"/>
              </w:rPr>
              <w:t>Part</w:t>
            </w:r>
          </w:p>
        </w:tc>
      </w:tr>
      <w:tr>
        <w:tc>
          <w:tcPr>
            <w:tcW w:type="dxa" w:w="964"/>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1</w:t>
            </w:r>
          </w:p>
        </w:tc>
        <w:tc>
          <w:tcPr>
            <w:tcW w:type="dxa" w:w="964"/>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1</w:t>
            </w:r>
          </w:p>
        </w:tc>
        <w:tc>
          <w:tcPr>
            <w:tcW w:type="dxa" w:w="4535"/>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01-research-aim.docx</w:t>
            </w:r>
          </w:p>
        </w:tc>
        <w:tc>
          <w:tcPr>
            <w:tcW w:type="dxa" w:w="3061"/>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Part I — The question and its terms</w:t>
            </w:r>
          </w:p>
        </w:tc>
      </w:tr>
      <w:tr>
        <w:tc>
          <w:tcPr>
            <w:tcW w:type="dxa" w:w="964"/>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2</w:t>
            </w:r>
          </w:p>
        </w:tc>
        <w:tc>
          <w:tcPr>
            <w:tcW w:type="dxa" w:w="964"/>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11</w:t>
            </w:r>
          </w:p>
        </w:tc>
        <w:tc>
          <w:tcPr>
            <w:tcW w:type="dxa" w:w="4535"/>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11-types-of-software.docx</w:t>
            </w:r>
          </w:p>
        </w:tc>
        <w:tc>
          <w:tcPr>
            <w:tcW w:type="dxa" w:w="3061"/>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Part I — The question and its terms</w:t>
            </w:r>
          </w:p>
        </w:tc>
      </w:tr>
      <w:tr>
        <w:tc>
          <w:tcPr>
            <w:tcW w:type="dxa" w:w="964"/>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3</w:t>
            </w:r>
          </w:p>
        </w:tc>
        <w:tc>
          <w:tcPr>
            <w:tcW w:type="dxa" w:w="964"/>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2</w:t>
            </w:r>
          </w:p>
        </w:tc>
        <w:tc>
          <w:tcPr>
            <w:tcW w:type="dxa" w:w="4535"/>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02-history-of-microservices.docx</w:t>
            </w:r>
          </w:p>
        </w:tc>
        <w:tc>
          <w:tcPr>
            <w:tcW w:type="dxa" w:w="3061"/>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Part II — The baseline: the style and its pattern language</w:t>
            </w:r>
          </w:p>
        </w:tc>
      </w:tr>
      <w:tr>
        <w:tc>
          <w:tcPr>
            <w:tcW w:type="dxa" w:w="964"/>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4</w:t>
            </w:r>
          </w:p>
        </w:tc>
        <w:tc>
          <w:tcPr>
            <w:tcW w:type="dxa" w:w="964"/>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3</w:t>
            </w:r>
          </w:p>
        </w:tc>
        <w:tc>
          <w:tcPr>
            <w:tcW w:type="dxa" w:w="4535"/>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03-architectures-and-design-patterns.docx</w:t>
            </w:r>
          </w:p>
        </w:tc>
        <w:tc>
          <w:tcPr>
            <w:tcW w:type="dxa" w:w="3061"/>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Part II — The baseline: the style and its pattern language</w:t>
            </w:r>
          </w:p>
        </w:tc>
      </w:tr>
      <w:tr>
        <w:tc>
          <w:tcPr>
            <w:tcW w:type="dxa" w:w="964"/>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5</w:t>
            </w:r>
          </w:p>
        </w:tc>
        <w:tc>
          <w:tcPr>
            <w:tcW w:type="dxa" w:w="964"/>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4</w:t>
            </w:r>
          </w:p>
        </w:tc>
        <w:tc>
          <w:tcPr>
            <w:tcW w:type="dxa" w:w="4535"/>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04-design-patterns-by-category.docx</w:t>
            </w:r>
          </w:p>
        </w:tc>
        <w:tc>
          <w:tcPr>
            <w:tcW w:type="dxa" w:w="3061"/>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Part II — The baseline: the style and its pattern language</w:t>
            </w:r>
          </w:p>
        </w:tc>
      </w:tr>
      <w:tr>
        <w:tc>
          <w:tcPr>
            <w:tcW w:type="dxa" w:w="964"/>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6</w:t>
            </w:r>
          </w:p>
        </w:tc>
        <w:tc>
          <w:tcPr>
            <w:tcW w:type="dxa" w:w="964"/>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16</w:t>
            </w:r>
          </w:p>
        </w:tc>
        <w:tc>
          <w:tcPr>
            <w:tcW w:type="dxa" w:w="4535"/>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16-patterns-in-popular-software.docx</w:t>
            </w:r>
          </w:p>
        </w:tc>
        <w:tc>
          <w:tcPr>
            <w:tcW w:type="dxa" w:w="3061"/>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Part II — The baseline: the style and its pattern language</w:t>
            </w:r>
          </w:p>
        </w:tc>
      </w:tr>
      <w:tr>
        <w:tc>
          <w:tcPr>
            <w:tcW w:type="dxa" w:w="964"/>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7</w:t>
            </w:r>
          </w:p>
        </w:tc>
        <w:tc>
          <w:tcPr>
            <w:tcW w:type="dxa" w:w="964"/>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5</w:t>
            </w:r>
          </w:p>
        </w:tc>
        <w:tc>
          <w:tcPr>
            <w:tcW w:type="dxa" w:w="4535"/>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05-implementing-microservices-ddd.docx</w:t>
            </w:r>
          </w:p>
        </w:tc>
        <w:tc>
          <w:tcPr>
            <w:tcW w:type="dxa" w:w="3061"/>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Part III — The inside of a service</w:t>
            </w:r>
          </w:p>
        </w:tc>
      </w:tr>
      <w:tr>
        <w:tc>
          <w:tcPr>
            <w:tcW w:type="dxa" w:w="964"/>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8</w:t>
            </w:r>
          </w:p>
        </w:tc>
        <w:tc>
          <w:tcPr>
            <w:tcW w:type="dxa" w:w="964"/>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6</w:t>
            </w:r>
          </w:p>
        </w:tc>
        <w:tc>
          <w:tcPr>
            <w:tcW w:type="dxa" w:w="4535"/>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06-methods-beside-ddd.docx</w:t>
            </w:r>
          </w:p>
        </w:tc>
        <w:tc>
          <w:tcPr>
            <w:tcW w:type="dxa" w:w="3061"/>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Part III — The inside of a service</w:t>
            </w:r>
          </w:p>
        </w:tc>
      </w:tr>
      <w:tr>
        <w:tc>
          <w:tcPr>
            <w:tcW w:type="dxa" w:w="964"/>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9</w:t>
            </w:r>
          </w:p>
        </w:tc>
        <w:tc>
          <w:tcPr>
            <w:tcW w:type="dxa" w:w="964"/>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7</w:t>
            </w:r>
          </w:p>
        </w:tc>
        <w:tc>
          <w:tcPr>
            <w:tcW w:type="dxa" w:w="4535"/>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07-microservices-and-cloud-architecture.docx</w:t>
            </w:r>
          </w:p>
        </w:tc>
        <w:tc>
          <w:tcPr>
            <w:tcW w:type="dxa" w:w="3061"/>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Part IV — The platform beneath and the product above</w:t>
            </w:r>
          </w:p>
        </w:tc>
      </w:tr>
      <w:tr>
        <w:tc>
          <w:tcPr>
            <w:tcW w:type="dxa" w:w="964"/>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10</w:t>
            </w:r>
          </w:p>
        </w:tc>
        <w:tc>
          <w:tcPr>
            <w:tcW w:type="dxa" w:w="964"/>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8</w:t>
            </w:r>
          </w:p>
        </w:tc>
        <w:tc>
          <w:tcPr>
            <w:tcW w:type="dxa" w:w="4535"/>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08-kubernetes-and-microservices.docx</w:t>
            </w:r>
          </w:p>
        </w:tc>
        <w:tc>
          <w:tcPr>
            <w:tcW w:type="dxa" w:w="3061"/>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Part IV — The platform beneath and the product above</w:t>
            </w:r>
          </w:p>
        </w:tc>
      </w:tr>
      <w:tr>
        <w:tc>
          <w:tcPr>
            <w:tcW w:type="dxa" w:w="964"/>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11</w:t>
            </w:r>
          </w:p>
        </w:tc>
        <w:tc>
          <w:tcPr>
            <w:tcW w:type="dxa" w:w="964"/>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10</w:t>
            </w:r>
          </w:p>
        </w:tc>
        <w:tc>
          <w:tcPr>
            <w:tcW w:type="dxa" w:w="4535"/>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10-paas-and-microservices.docx</w:t>
            </w:r>
          </w:p>
        </w:tc>
        <w:tc>
          <w:tcPr>
            <w:tcW w:type="dxa" w:w="3061"/>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Part IV — The platform beneath and the product above</w:t>
            </w:r>
          </w:p>
        </w:tc>
      </w:tr>
      <w:tr>
        <w:tc>
          <w:tcPr>
            <w:tcW w:type="dxa" w:w="964"/>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12</w:t>
            </w:r>
          </w:p>
        </w:tc>
        <w:tc>
          <w:tcPr>
            <w:tcW w:type="dxa" w:w="964"/>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9</w:t>
            </w:r>
          </w:p>
        </w:tc>
        <w:tc>
          <w:tcPr>
            <w:tcW w:type="dxa" w:w="4535"/>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09-saas-system-requirements.docx</w:t>
            </w:r>
          </w:p>
        </w:tc>
        <w:tc>
          <w:tcPr>
            <w:tcW w:type="dxa" w:w="3061"/>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Part IV — The platform beneath and the product above</w:t>
            </w:r>
          </w:p>
        </w:tc>
      </w:tr>
      <w:tr>
        <w:tc>
          <w:tcPr>
            <w:tcW w:type="dxa" w:w="964"/>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13</w:t>
            </w:r>
          </w:p>
        </w:tc>
        <w:tc>
          <w:tcPr>
            <w:tcW w:type="dxa" w:w="964"/>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12</w:t>
            </w:r>
          </w:p>
        </w:tc>
        <w:tc>
          <w:tcPr>
            <w:tcW w:type="dxa" w:w="4535"/>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12-beside-saas.docx</w:t>
            </w:r>
          </w:p>
        </w:tc>
        <w:tc>
          <w:tcPr>
            <w:tcW w:type="dxa" w:w="3061"/>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Part IV — The platform beneath and the product above</w:t>
            </w:r>
          </w:p>
        </w:tc>
      </w:tr>
      <w:tr>
        <w:tc>
          <w:tcPr>
            <w:tcW w:type="dxa" w:w="964"/>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14</w:t>
            </w:r>
          </w:p>
        </w:tc>
        <w:tc>
          <w:tcPr>
            <w:tcW w:type="dxa" w:w="964"/>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13</w:t>
            </w:r>
          </w:p>
        </w:tc>
        <w:tc>
          <w:tcPr>
            <w:tcW w:type="dxa" w:w="4535"/>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13-functional-and-nonfunctional-requirements.docx</w:t>
            </w:r>
          </w:p>
        </w:tc>
        <w:tc>
          <w:tcPr>
            <w:tcW w:type="dxa" w:w="3061"/>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Part V — The yardstick</w:t>
            </w:r>
          </w:p>
        </w:tc>
      </w:tr>
      <w:tr>
        <w:tc>
          <w:tcPr>
            <w:tcW w:type="dxa" w:w="964"/>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15</w:t>
            </w:r>
          </w:p>
        </w:tc>
        <w:tc>
          <w:tcPr>
            <w:tcW w:type="dxa" w:w="964"/>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15</w:t>
            </w:r>
          </w:p>
        </w:tc>
        <w:tc>
          <w:tcPr>
            <w:tcW w:type="dxa" w:w="4535"/>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15-software-engineering.docx</w:t>
            </w:r>
          </w:p>
        </w:tc>
        <w:tc>
          <w:tcPr>
            <w:tcW w:type="dxa" w:w="3061"/>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Part V — The yardstick</w:t>
            </w:r>
          </w:p>
        </w:tc>
      </w:tr>
      <w:tr>
        <w:tc>
          <w:tcPr>
            <w:tcW w:type="dxa" w:w="964"/>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16</w:t>
            </w:r>
          </w:p>
        </w:tc>
        <w:tc>
          <w:tcPr>
            <w:tcW w:type="dxa" w:w="964"/>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14</w:t>
            </w:r>
          </w:p>
        </w:tc>
        <w:tc>
          <w:tcPr>
            <w:tcW w:type="dxa" w:w="4535"/>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14-design-patterns-of-the-ai-system.docx</w:t>
            </w:r>
          </w:p>
        </w:tc>
        <w:tc>
          <w:tcPr>
            <w:tcW w:type="dxa" w:w="3061"/>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Part VI — The AI system</w:t>
            </w:r>
          </w:p>
        </w:tc>
      </w:tr>
      <w:tr>
        <w:tc>
          <w:tcPr>
            <w:tcW w:type="dxa" w:w="964"/>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17</w:t>
            </w:r>
          </w:p>
        </w:tc>
        <w:tc>
          <w:tcPr>
            <w:tcW w:type="dxa" w:w="964"/>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17</w:t>
            </w:r>
          </w:p>
        </w:tc>
        <w:tc>
          <w:tcPr>
            <w:tcW w:type="dxa" w:w="4535"/>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17-what-ai-changed.docx</w:t>
            </w:r>
          </w:p>
        </w:tc>
        <w:tc>
          <w:tcPr>
            <w:tcW w:type="dxa" w:w="3061"/>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Part VII — What AI changed</w:t>
            </w:r>
          </w:p>
        </w:tc>
      </w:tr>
      <w:tr>
        <w:tc>
          <w:tcPr>
            <w:tcW w:type="dxa" w:w="964"/>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18</w:t>
            </w:r>
          </w:p>
        </w:tc>
        <w:tc>
          <w:tcPr>
            <w:tcW w:type="dxa" w:w="964"/>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17</w:t>
            </w:r>
          </w:p>
        </w:tc>
        <w:tc>
          <w:tcPr>
            <w:tcW w:type="dxa" w:w="4535"/>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17-what-ai-changed.docx</w:t>
            </w:r>
          </w:p>
        </w:tc>
        <w:tc>
          <w:tcPr>
            <w:tcW w:type="dxa" w:w="3061"/>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Part VII — What AI changed</w:t>
            </w:r>
          </w:p>
        </w:tc>
      </w:tr>
      <w:tr>
        <w:tc>
          <w:tcPr>
            <w:tcW w:type="dxa" w:w="964"/>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19</w:t>
            </w:r>
          </w:p>
        </w:tc>
        <w:tc>
          <w:tcPr>
            <w:tcW w:type="dxa" w:w="964"/>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17</w:t>
            </w:r>
          </w:p>
        </w:tc>
        <w:tc>
          <w:tcPr>
            <w:tcW w:type="dxa" w:w="4535"/>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17-what-ai-changed.docx</w:t>
            </w:r>
          </w:p>
        </w:tc>
        <w:tc>
          <w:tcPr>
            <w:tcW w:type="dxa" w:w="3061"/>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Part VII — What AI changed</w:t>
            </w:r>
          </w:p>
        </w:tc>
      </w:tr>
      <w:tr>
        <w:tc>
          <w:tcPr>
            <w:tcW w:type="dxa" w:w="964"/>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20</w:t>
            </w:r>
          </w:p>
        </w:tc>
        <w:tc>
          <w:tcPr>
            <w:tcW w:type="dxa" w:w="964"/>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17</w:t>
            </w:r>
          </w:p>
        </w:tc>
        <w:tc>
          <w:tcPr>
            <w:tcW w:type="dxa" w:w="4535"/>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17-what-ai-changed.docx</w:t>
            </w:r>
          </w:p>
        </w:tc>
        <w:tc>
          <w:tcPr>
            <w:tcW w:type="dxa" w:w="3061"/>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Part VII — What AI changed</w:t>
            </w:r>
          </w:p>
        </w:tc>
      </w:tr>
      <w:tr>
        <w:tc>
          <w:tcPr>
            <w:tcW w:type="dxa" w:w="964"/>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21</w:t>
            </w:r>
          </w:p>
        </w:tc>
        <w:tc>
          <w:tcPr>
            <w:tcW w:type="dxa" w:w="964"/>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17</w:t>
            </w:r>
          </w:p>
        </w:tc>
        <w:tc>
          <w:tcPr>
            <w:tcW w:type="dxa" w:w="4535"/>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17-what-ai-changed.docx</w:t>
            </w:r>
          </w:p>
        </w:tc>
        <w:tc>
          <w:tcPr>
            <w:tcW w:type="dxa" w:w="3061"/>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Part VII — What AI changed</w:t>
            </w:r>
          </w:p>
        </w:tc>
      </w:tr>
    </w:tbl>
    <w:p/>
    <w:p>
      <w:pPr>
        <w:pStyle w:val="Heading2"/>
      </w:pPr>
      <w:r>
        <w:rPr>
          <w:rFonts w:ascii="Segoe UI Emoji" w:hAnsi="Segoe UI Emoji" w:eastAsia="Segoe UI Emoji" w:cs="Segoe UI Emoji"/>
        </w:rPr>
        <w:t xml:space="preserve">📚 </w:t>
      </w:r>
      <w:r>
        <w:t>The parts and their chapters</w:t>
      </w:r>
    </w:p>
    <w:p>
      <w:r>
        <w:rPr>
          <w:rFonts w:ascii="Calibri" w:hAnsi="Calibri" w:eastAsia="Calibri"/>
          <w:b w:val="0"/>
          <w:i w:val="0"/>
          <w:sz w:val="22"/>
        </w:rPr>
        <w:t xml:space="preserve">Each part opens with the job it does for the aim. Each chapter is given its </w:t>
      </w:r>
      <w:r>
        <w:rPr>
          <w:rFonts w:ascii="Calibri" w:hAnsi="Calibri" w:eastAsia="Calibri"/>
          <w:b w:val="0"/>
          <w:i w:val="0"/>
          <w:color w:val="6B2D8B"/>
          <w:sz w:val="22"/>
          <w:u w:val="dotted"/>
        </w:rPr>
        <w:t xml:space="preserve">précis</w:t>
      </w:r>
      <w:r>
        <w:rPr>
          <w:rFonts w:ascii="Calibri" w:hAnsi="Calibri" w:eastAsia="Calibri"/>
          <w:b w:val="0"/>
          <w:i w:val="0"/>
          <w:sz w:val="22"/>
        </w:rPr>
        <w:t xml:space="preserve"> — what it establishes, with the names and dates it rests on — and the rule it fixes for the AI question.</w:t>
      </w:r>
    </w:p>
    <w:p>
      <w:pPr>
        <w:pStyle w:val="Heading2"/>
      </w:pPr>
      <w:r>
        <w:rPr>
          <w:rFonts w:ascii="Segoe UI Emoji" w:hAnsi="Segoe UI Emoji" w:eastAsia="Segoe UI Emoji" w:cs="Segoe UI Emoji"/>
        </w:rPr>
        <w:t xml:space="preserve">❓ </w:t>
      </w:r>
      <w:r>
        <w:t>Part I. The question and its terms</w:t>
      </w:r>
    </w:p>
    <w:p>
      <w:r>
        <w:rPr>
          <w:rFonts w:ascii="Calibri" w:hAnsi="Calibri" w:eastAsia="Calibri"/>
          <w:b w:val="0"/>
          <w:i w:val="0"/>
          <w:sz w:val="22"/>
        </w:rPr>
        <w:t>The research asks one question and needs two vocabularies before the question can be put precisely. Chapter 1 states the question and the method. Chapter 2 supplies the taxonomy of software, so that “microservices” is placed as a structure of application software and “AI” is split into its two senses: a kind of software inside an application, and a kind of development tool acting on the architecture. Everything later in the series depends on not confusing those two.</w:t>
      </w:r>
    </w:p>
    <w:p>
      <w:pPr>
        <w:pStyle w:val="Heading3"/>
      </w:pPr>
      <w:r>
        <w:rPr>
          <w:rFonts w:ascii="Segoe UI Emoji" w:hAnsi="Segoe UI Emoji" w:eastAsia="Segoe UI Emoji" w:cs="Segoe UI Emoji"/>
        </w:rPr>
        <w:t xml:space="preserve">🎯 </w:t>
      </w:r>
      <w:r>
        <w:t>Chapter 1. What this research is for</w:t>
      </w:r>
    </w:p>
    <w:p>
      <w:pPr>
        <w:spacing w:after="40"/>
      </w:pPr>
      <w:r>
        <w:rPr>
          <w:rFonts w:ascii="Calibri" w:hAnsi="Calibri" w:eastAsia="Calibri"/>
          <w:b w:val="0"/>
          <w:i/>
          <w:color w:val="464E5A"/>
          <w:sz w:val="20"/>
        </w:rPr>
        <w:t>Answer 1 of the working series  ·  01-research-aim.docx</w:t>
      </w:r>
    </w:p>
    <w:p>
      <w:r>
        <w:rPr>
          <w:rFonts w:ascii="Calibri" w:hAnsi="Calibri" w:eastAsia="Calibri"/>
          <w:b w:val="0"/>
          <w:i w:val="0"/>
          <w:sz w:val="22"/>
        </w:rPr>
        <w:t>States the end product: a research article on how AI has changed microservice architecture — its design, its boundaries, its communication, its operations, and the tradeoffs those changes carry. The method is about two days of deep research, then an article written from the evidence gathered. The history of microservices and the architectures and design patterns of the style are the baseline; later chapters ask what AI changed in that baseline. Each answer is saved as its own Word document so the draft can be read offline while the research continues.</w:t>
      </w:r>
    </w:p>
    <w:p>
      <w:r>
        <w:rPr>
          <w:rFonts w:ascii="Calibri" w:hAnsi="Calibri" w:eastAsia="Calibri"/>
          <w:b/>
          <w:i w:val="0"/>
          <w:color w:val="1F4E79"/>
          <w:sz w:val="22"/>
        </w:rPr>
        <w:t xml:space="preserve">For the AI question. </w:t>
      </w:r>
      <w:r>
        <w:rPr>
          <w:rFonts w:ascii="Calibri" w:hAnsi="Calibri" w:eastAsia="Calibri"/>
          <w:b w:val="0"/>
          <w:i w:val="0"/>
          <w:sz w:val="22"/>
        </w:rPr>
        <w:t>The five headings — design, boundaries, communication, operations, tradeoffs — are the headings under which the final claim is made. Part VII reserves one chapter for each.</w:t>
      </w:r>
    </w:p>
    <w:p>
      <w:pPr>
        <w:pStyle w:val="Heading3"/>
      </w:pPr>
      <w:r>
        <w:rPr>
          <w:rFonts w:ascii="Segoe UI Emoji" w:hAnsi="Segoe UI Emoji" w:eastAsia="Segoe UI Emoji" w:cs="Segoe UI Emoji"/>
        </w:rPr>
        <w:t xml:space="preserve">🧩 </w:t>
      </w:r>
      <w:r>
        <w:t>Chapter 2. Types of software</w:t>
      </w:r>
    </w:p>
    <w:p>
      <w:pPr>
        <w:spacing w:after="40"/>
      </w:pPr>
      <w:r>
        <w:rPr>
          <w:rFonts w:ascii="Calibri" w:hAnsi="Calibri" w:eastAsia="Calibri"/>
          <w:b w:val="0"/>
          <w:i/>
          <w:color w:val="464E5A"/>
          <w:sz w:val="20"/>
        </w:rPr>
        <w:t>Answer 11 of the working series  ·  11-types-of-software.docx</w:t>
      </w:r>
    </w:p>
    <w:p>
      <w:r>
        <w:rPr>
          <w:rFonts w:ascii="Calibri" w:hAnsi="Calibri" w:eastAsia="Calibri"/>
          <w:b w:val="0"/>
          <w:i w:val="0"/>
          <w:sz w:val="22"/>
        </w:rPr>
        <w:t>Four cuts, each answering a different question, and one program sits in one cell of each. By the job beside the hardware: system software, middleware, application software, development software. By the kind of problem, Roger Pressman’s seven categories: system, application, engineering and scientific, embedded, product-line, web applications, and artificial-intelligence software. By how the customer receives it, following NIST SP 800-145: packaged or on-premises, infrastructure as a service, platform as a service, software as a service. By how a business application is structured: monolith, modular monolith, microservices, self-contained systems, serverless functions. Kubernetes is system software delivered as a platform and is not itself a microservice; an order service is application software, usually a web application, delivered on a PaaS or on infrastructure, and structured as one service in a suite. The delivery type does not change the problem type; it changes who patches the servers and who onboards the next customer.</w:t>
      </w:r>
    </w:p>
    <w:p>
      <w:r>
        <w:rPr>
          <w:rFonts w:ascii="Calibri" w:hAnsi="Calibri" w:eastAsia="Calibri"/>
          <w:b/>
          <w:i w:val="0"/>
          <w:color w:val="1F4E79"/>
          <w:sz w:val="22"/>
        </w:rPr>
        <w:t xml:space="preserve">For the AI question. </w:t>
      </w:r>
      <w:r>
        <w:rPr>
          <w:rFonts w:ascii="Calibri" w:hAnsi="Calibri" w:eastAsia="Calibri"/>
          <w:b w:val="0"/>
          <w:i w:val="0"/>
          <w:sz w:val="22"/>
        </w:rPr>
        <w:t>The research question is about the structure cut, not about Pressman’s AI category. An AI feature inside the order service is AI software living inside an application. An AI tool that proposes service boundaries is development software acting on the structure cut. Naming which cut moved is the discipline of Part VII.</w:t>
      </w:r>
    </w:p>
    <w:p>
      <w:pPr>
        <w:pStyle w:val="Heading2"/>
      </w:pPr>
      <w:r>
        <w:rPr>
          <w:rFonts w:ascii="Segoe UI Emoji" w:hAnsi="Segoe UI Emoji" w:eastAsia="Segoe UI Emoji" w:cs="Segoe UI Emoji"/>
        </w:rPr>
        <w:t xml:space="preserve">🏛️ </w:t>
      </w:r>
      <w:r>
        <w:t>Part II. The baseline: the style and its pattern language</w:t>
      </w:r>
    </w:p>
    <w:p>
      <w:r>
        <w:rPr>
          <w:rFonts w:ascii="Calibri" w:hAnsi="Calibri" w:eastAsia="Calibri"/>
          <w:b w:val="0"/>
          <w:i w:val="0"/>
          <w:sz w:val="22"/>
        </w:rPr>
        <w:t>The baseline is the architecture AI later meets. Chapter 3 gives the history to 2021 and fixes the nine characteristics of 2014 as the test. Chapter 4 sets out Richardson’s pattern language as a sequence of decisions. Chapter 5 is the working catalog — 15 categories, 61 patterns, with the record of where each name comes from. Chapter 6 takes each of the 61 in turn and explains it through software whose makers wrote the decision down. Read together, they are the before-state: what a microservice system decided, in what order, and at what documented cost.</w:t>
      </w:r>
    </w:p>
    <w:p>
      <w:pPr>
        <w:pStyle w:val="Heading3"/>
      </w:pPr>
      <w:r>
        <w:rPr>
          <w:rFonts w:ascii="Segoe UI Emoji" w:hAnsi="Segoe UI Emoji" w:eastAsia="Segoe UI Emoji" w:cs="Segoe UI Emoji"/>
        </w:rPr>
        <w:t xml:space="preserve">🕰️ </w:t>
      </w:r>
      <w:r>
        <w:t>Chapter 3. The history of microservices</w:t>
      </w:r>
    </w:p>
    <w:p>
      <w:pPr>
        <w:spacing w:after="40"/>
      </w:pPr>
      <w:r>
        <w:rPr>
          <w:rFonts w:ascii="Calibri" w:hAnsi="Calibri" w:eastAsia="Calibri"/>
          <w:b w:val="0"/>
          <w:i/>
          <w:color w:val="464E5A"/>
          <w:sz w:val="20"/>
        </w:rPr>
        <w:t>Answer 2 of the working series  ·  02-history-of-microservices.docx</w:t>
      </w:r>
    </w:p>
    <w:p>
      <w:r>
        <w:rPr>
          <w:rFonts w:ascii="Calibri" w:hAnsi="Calibri" w:eastAsia="Calibri"/>
          <w:b w:val="0"/>
          <w:i w:val="0"/>
          <w:sz w:val="22"/>
        </w:rPr>
        <w:t>The style was a running practice for more than a decade before it had a name. Roots: Unix programs joined by pipes (Lewis’s 2012 talk was “Microservices — Java, the Unix Way”) and Melvin Conway’s 1968 observation that a system copies the communication structure of its organization. Gartner’s Roy Schulte and Yefim Natis described a “service oriented” architecture on 12 April 1996; through the 2000s that arrived as SOAP, central governance, and the enterprise service bus. Amazon’s Distributed Computing Manifesto (1998, published by Werner Vogels in 2022) and Vogels’s 2006 ACM Queue interview record the move off a two-tier monolith from about 2001 — encapsulate data with the logic that uses it, allow no outside database access; Steve Yegge’s 2011 account of a Bezos mandate around 2002 is the secondary source; AWS in 2006 is the public result. Netflix’s August 2008 data-center outage began its move to AWS and to what Adrian Cockcroft called fine-grained SOA; Eureka, Hystrix, Zuul, and Chaos Monkey are the public tools of design for failure. The word: a workshop near Venice in May 2011, Lewis in Kraków in March 2012, the name settled in May 2012. Docker was open-sourced on 20 March 2013; Lewis and Fowler published “Microservices” on 25 March 2014; Kubernetes’s first commit is 6 June 2014, and version 1.0 with the CNCF followed on 21 July 2015; Sam Newman’s Building Microservices (2015) is the practice manual; Linkerd (2016) and Istio (2017) added the traffic layer. On 13 May 2015 Fowler named the cost in “MicroservicePremium,” and from 2015 to about 2021 the correction was monolith-first advice and the modular monolith. The chapter fixes the nine characteristics of the 2014 article — services as components, business capabilities, products not projects, smart endpoints and dumb pipes, decentralized governance, decentralized data, infrastructure automation, design for failure, evolutionary design — and a dated timeline from 1968 to 2021.</w:t>
      </w:r>
    </w:p>
    <w:p>
      <w:r>
        <w:rPr>
          <w:rFonts w:ascii="Calibri" w:hAnsi="Calibri" w:eastAsia="Calibri"/>
          <w:b/>
          <w:i w:val="0"/>
          <w:color w:val="1F4E79"/>
          <w:sz w:val="22"/>
        </w:rPr>
        <w:t xml:space="preserve">For the AI question. </w:t>
      </w:r>
      <w:r>
        <w:rPr>
          <w:rFonts w:ascii="Calibri" w:hAnsi="Calibri" w:eastAsia="Calibri"/>
          <w:b w:val="0"/>
          <w:i w:val="0"/>
          <w:sz w:val="22"/>
        </w:rPr>
        <w:t>Any claim that AI changed the architecture has to say which of the nine 2014 characteristics moved: boundaries, ownership, pipes, data, deployment, or failure design. The concordance in this front matter is built on that rule.</w:t>
      </w:r>
    </w:p>
    <w:p>
      <w:pPr>
        <w:pStyle w:val="Heading3"/>
      </w:pPr>
      <w:r>
        <w:rPr>
          <w:rFonts w:ascii="Segoe UI Emoji" w:hAnsi="Segoe UI Emoji" w:eastAsia="Segoe UI Emoji" w:cs="Segoe UI Emoji"/>
        </w:rPr>
        <w:t xml:space="preserve">🏛️ </w:t>
      </w:r>
      <w:r>
        <w:t>Chapter 4. Architectures and design patterns of microservices</w:t>
      </w:r>
    </w:p>
    <w:p>
      <w:pPr>
        <w:spacing w:after="40"/>
      </w:pPr>
      <w:r>
        <w:rPr>
          <w:rFonts w:ascii="Calibri" w:hAnsi="Calibri" w:eastAsia="Calibri"/>
          <w:b w:val="0"/>
          <w:i/>
          <w:color w:val="464E5A"/>
          <w:sz w:val="20"/>
        </w:rPr>
        <w:t>Answer 3 of the working series  ·  03-architectures-and-design-patterns.docx</w:t>
      </w:r>
    </w:p>
    <w:p>
      <w:r>
        <w:rPr>
          <w:rFonts w:ascii="Calibri" w:hAnsi="Calibri" w:eastAsia="Calibri"/>
          <w:b w:val="0"/>
          <w:i w:val="0"/>
          <w:sz w:val="22"/>
        </w:rPr>
        <w:t>Microservice architecture is one style; the patterns are the decisions inside it. Chris Richardson’s pattern language at microservices.io, dated 18 March 2014 and published as Microservices Patterns (Manning, 2018), is the catalog architects use. The chapter walks the decisions in order: the style against the monolith, with the strangler application and an anti-corruption layer as the way out; where the cut is made (business capability, subdomain, service per team, self-contained service) and the forces that pull a system apart or hold it together; who owns the data (database per service against a shared database); how a command crosses services — the saga, from Garcia-Molina and Salem (SIGMOD, 1987), as choreography or orchestration; how a query crosses services (API composition, CQRS, command-side replica); how a message is published with the write (transactional outbox, transaction log tailing, polling publisher); how services talk (remote procedure invocation, messaging, idempotent consumer, domain events, event sourcing); how clients enter (API gateway, backend for frontend — Phil Calçado’s SoundCloud practice, written up by Sam Newman); how instances are found (service registry, client-side and server-side discovery); how failure stays local (Michael Nygard’s circuit breaker, Release It!, 2007, with timeout, retry, and bulkhead); how identity travels (access token); how the system is seen (logs, metrics, tracing, health checks); how it is deployed (per container, per virtual machine, serverless); and where shared mechanics live (chassis, sidecar, mesh). A sixteen-row decision sequence closes the chapter.</w:t>
      </w:r>
    </w:p>
    <w:p>
      <w:r>
        <w:rPr>
          <w:rFonts w:ascii="Calibri" w:hAnsi="Calibri" w:eastAsia="Calibri"/>
          <w:b/>
          <w:i w:val="0"/>
          <w:color w:val="1F4E79"/>
          <w:sz w:val="22"/>
        </w:rPr>
        <w:t xml:space="preserve">For the AI question. </w:t>
      </w:r>
      <w:r>
        <w:rPr>
          <w:rFonts w:ascii="Calibri" w:hAnsi="Calibri" w:eastAsia="Calibri"/>
          <w:b w:val="0"/>
          <w:i w:val="0"/>
          <w:sz w:val="22"/>
        </w:rPr>
        <w:t>A claim that AI influenced the architecture has to name a decision in this sequence: where boundaries are drawn, how a saga is coordinated, whether the pipe stays dumb, or whether the sidecar and the mesh absorb the reliability patterns.</w:t>
      </w:r>
    </w:p>
    <w:p>
      <w:pPr>
        <w:pStyle w:val="Heading3"/>
      </w:pPr>
      <w:r>
        <w:rPr>
          <w:rFonts w:ascii="Segoe UI Emoji" w:hAnsi="Segoe UI Emoji" w:eastAsia="Segoe UI Emoji" w:cs="Segoe UI Emoji"/>
        </w:rPr>
        <w:t xml:space="preserve">🗂️ </w:t>
      </w:r>
      <w:r>
        <w:t>Chapter 5. Microservice design patterns by category</w:t>
      </w:r>
    </w:p>
    <w:p>
      <w:pPr>
        <w:spacing w:after="40"/>
      </w:pPr>
      <w:r>
        <w:rPr>
          <w:rFonts w:ascii="Calibri" w:hAnsi="Calibri" w:eastAsia="Calibri"/>
          <w:b w:val="0"/>
          <w:i/>
          <w:color w:val="464E5A"/>
          <w:sz w:val="20"/>
        </w:rPr>
        <w:t>Answer 4 of the working series  ·  04-design-patterns-by-category.docx</w:t>
      </w:r>
    </w:p>
    <w:p>
      <w:r>
        <w:rPr>
          <w:rFonts w:ascii="Calibri" w:hAnsi="Calibri" w:eastAsia="Calibri"/>
          <w:b w:val="0"/>
          <w:i w:val="0"/>
          <w:sz w:val="22"/>
        </w:rPr>
        <w:t>The working catalog: 15 categories and 61 patterns, each with a one-line description and a Record column that says where the name comes from — Richardson’s published index; the pattern pages for sidecar and service mesh; the two forms of the saga; and the companions (timeout, retry, and bulkhead from Release It!, and ambassador from the Azure Architecture Center) that teams use for the same jobs. The categories are the questions of the decision sequence: choosing the overall shape, drawing service boundaries, migrating away from a monolith, owning data and spanning services, publishing a message with the database write, communicating between services, facing external clients, finding a service instance, containing failure, carrying identity, observing the running system, deploying services, sharing mechanics across services, testing services, composing a screen from many services. General cloud patterns — sharding, leader election, competing consumers — are left out because they are not the microservice pattern language.</w:t>
      </w:r>
    </w:p>
    <w:p>
      <w:r>
        <w:rPr>
          <w:rFonts w:ascii="Calibri" w:hAnsi="Calibri" w:eastAsia="Calibri"/>
          <w:b/>
          <w:i w:val="0"/>
          <w:color w:val="1F4E79"/>
          <w:sz w:val="22"/>
        </w:rPr>
        <w:t xml:space="preserve">For the AI question. </w:t>
      </w:r>
      <w:r>
        <w:rPr>
          <w:rFonts w:ascii="Calibri" w:hAnsi="Calibri" w:eastAsia="Calibri"/>
          <w:b w:val="0"/>
          <w:i w:val="0"/>
          <w:sz w:val="22"/>
        </w:rPr>
        <w:t>The catalog is the row list. Chapter 6 explains every row through a named case, and Part VII grades a claim by which rows it changed.</w:t>
      </w:r>
    </w:p>
    <w:p>
      <w:pPr>
        <w:pStyle w:val="Heading3"/>
      </w:pPr>
      <w:r>
        <w:rPr>
          <w:rFonts w:ascii="Segoe UI Emoji" w:hAnsi="Segoe UI Emoji" w:eastAsia="Segoe UI Emoji" w:cs="Segoe UI Emoji"/>
        </w:rPr>
        <w:t xml:space="preserve">🏙️ </w:t>
      </w:r>
      <w:r>
        <w:t>Chapter 6. The patterns in popular software</w:t>
      </w:r>
    </w:p>
    <w:p>
      <w:pPr>
        <w:spacing w:after="40"/>
      </w:pPr>
      <w:r>
        <w:rPr>
          <w:rFonts w:ascii="Calibri" w:hAnsi="Calibri" w:eastAsia="Calibri"/>
          <w:b w:val="0"/>
          <w:i/>
          <w:color w:val="464E5A"/>
          <w:sz w:val="20"/>
        </w:rPr>
        <w:t>Answer 16 of the working series  ·  16-patterns-in-popular-software.docx</w:t>
      </w:r>
    </w:p>
    <w:p>
      <w:r>
        <w:rPr>
          <w:rFonts w:ascii="Calibri" w:hAnsi="Calibri" w:eastAsia="Calibri"/>
          <w:b w:val="0"/>
          <w:i w:val="0"/>
          <w:sz w:val="22"/>
        </w:rPr>
        <w:t>One chapter for each of the 61 catalog patterns, in the catalog’s 15 parts, each with the same four parts: the problem, the pattern in Richardson’s terms, one or more named examples, and the cost, with a source line. The examples are chosen on one rule — the company or project wrote the decision down, in a blog, a paper, a talk, or a repository — and dates are the year the practice was published. The cases are Amazon, Netflix, Uber, Airbnb, Shopify, Stripe, LinkedIn, Twitter, Google, Facebook, Spotify, Monzo, Zalando, Microsoft’s eShopOnContainers, Richardson’s FTGO, and the platforms that grew out of those companies’ needs — Kubernetes, Kafka, Envoy, Istio, Prometheus. Several chapters record a company later moving the other way: Segment’s consolidation of about 140 services (2018), Amazon Prime Video’s return to one process (2023), Shopify’s decision to remain a modular monolith. Three observations travel forward. The data patterns — saga, outbox, replica, CQRS — were designed by hand in every case, by someone who knew the domain. The reliability and discovery patterns have already moved once, from Netflix’s libraries into Envoy and the mesh. Several companies moved back, and each gave a cost as the reason.</w:t>
      </w:r>
    </w:p>
    <w:p>
      <w:r>
        <w:rPr>
          <w:rFonts w:ascii="Calibri" w:hAnsi="Calibri" w:eastAsia="Calibri"/>
          <w:b/>
          <w:i w:val="0"/>
          <w:color w:val="1F4E79"/>
          <w:sz w:val="22"/>
        </w:rPr>
        <w:t xml:space="preserve">For the AI question. </w:t>
      </w:r>
      <w:r>
        <w:rPr>
          <w:rFonts w:ascii="Calibri" w:hAnsi="Calibri" w:eastAsia="Calibri"/>
          <w:b w:val="0"/>
          <w:i w:val="0"/>
          <w:sz w:val="22"/>
        </w:rPr>
        <w:t>Each pattern now has a named case that a later claim is tested against: did a generated service include an outbox, or publish after commit and hope; did a suggested boundary follow a capability, a subdomain, or a table; did a generated saga choose choreography or orchestration and write the compensations; did the reliability patterns land in code, in a chassis, or in a sidecar the tool did not know was there. Any account of AI’s influence has to say which of the three observations it touched.</w:t>
      </w:r>
    </w:p>
    <w:p>
      <w:pPr>
        <w:pStyle w:val="Heading2"/>
      </w:pPr>
      <w:r>
        <w:rPr>
          <w:rFonts w:ascii="Segoe UI Emoji" w:hAnsi="Segoe UI Emoji" w:eastAsia="Segoe UI Emoji" w:cs="Segoe UI Emoji"/>
        </w:rPr>
        <w:t xml:space="preserve">🧱 </w:t>
      </w:r>
      <w:r>
        <w:t>Part III. The inside of a service</w:t>
      </w:r>
    </w:p>
    <w:p>
      <w:r>
        <w:rPr>
          <w:rFonts w:ascii="Calibri" w:hAnsi="Calibri" w:eastAsia="Calibri"/>
          <w:b w:val="0"/>
          <w:i w:val="0"/>
          <w:sz w:val="22"/>
        </w:rPr>
        <w:t>The pattern language says where a service ends. These two chapters say how the inside is found and built. Chapter 7 uses domain-driven design as the model — strategic then tactical, with the drone-delivery example that the rest of the series reuses — and names the four interiors a service can have. Chapter 8 adds the neighboring schools: the workshops that discover a domain, the methods that decide a cut, the alternative interiors, the messaging school, and the ways ownership is assigned. A later claim about AI can then say which school a tool imitates.</w:t>
      </w:r>
    </w:p>
    <w:p>
      <w:pPr>
        <w:pStyle w:val="Heading3"/>
      </w:pPr>
      <w:r>
        <w:rPr>
          <w:rFonts w:ascii="Segoe UI Emoji" w:hAnsi="Segoe UI Emoji" w:eastAsia="Segoe UI Emoji" w:cs="Segoe UI Emoji"/>
        </w:rPr>
        <w:t xml:space="preserve">🧱 </w:t>
      </w:r>
      <w:r>
        <w:t>Chapter 7. Implementing microservices, with domain-driven design as the model</w:t>
      </w:r>
    </w:p>
    <w:p>
      <w:pPr>
        <w:spacing w:after="40"/>
      </w:pPr>
      <w:r>
        <w:rPr>
          <w:rFonts w:ascii="Calibri" w:hAnsi="Calibri" w:eastAsia="Calibri"/>
          <w:b w:val="0"/>
          <w:i/>
          <w:color w:val="464E5A"/>
          <w:sz w:val="20"/>
        </w:rPr>
        <w:t>Answer 5 of the working series  ·  05-implementing-microservices-ddd.docx</w:t>
      </w:r>
    </w:p>
    <w:p>
      <w:r>
        <w:rPr>
          <w:rFonts w:ascii="Calibri" w:hAnsi="Calibri" w:eastAsia="Calibri"/>
          <w:b w:val="0"/>
          <w:i w:val="0"/>
          <w:sz w:val="22"/>
        </w:rPr>
        <w:t>Domain-driven design as the way to implement one service and to decide where it ends. Eric Evans (2003) and Vaughn Vernon’s Implementing Domain-Driven Design (2013) are the references; the Azure Architecture Center’s size rule is kept: no smaller than an aggregate, no larger than a bounded context. Strategic design divides the domain into core, supporting, and generic subdomains and gives each bounded context its ubiquitous language; a bounded context is a candidate service. Tactical design builds the model inside it: entity, value object, aggregate (the consistency boundary, saved in one local transaction), domain service, application service, domain event, repository. Vernon’s aggregate rules — include only what must be consistent in one transaction, keep aggregates small, refer to other aggregates by identity, cross aggregates with an event — keep a service small enough. The drone-delivery example introduces the Delivery aggregate and its rule that a customer can cancel only until pickup; Scheduler and Supervisor are domain services. One request is walked from inbound adapter through application service, aggregate, repository, and outbox to the integration event on the broker, with the distinction the rest of the series keeps: a domain event handled in-process (eShop’s MediatR) is not the integration event that leaves the service (RabbitMQ or Azure Service Bus). Four interiors are named — tactical DDD, hexagonal architecture (Alistair Cockburn, 2005), CQRS simplified, CQRS with a read model, and the transaction script — and Evans’s context-map relationships (open host service and published language, customer–supplier, conformist, anti-corruption layer) become the integration styles between services.</w:t>
      </w:r>
    </w:p>
    <w:p>
      <w:r>
        <w:rPr>
          <w:rFonts w:ascii="Calibri" w:hAnsi="Calibri" w:eastAsia="Calibri"/>
          <w:b/>
          <w:i w:val="0"/>
          <w:color w:val="1F4E79"/>
          <w:sz w:val="22"/>
        </w:rPr>
        <w:t xml:space="preserve">For the AI question. </w:t>
      </w:r>
      <w:r>
        <w:rPr>
          <w:rFonts w:ascii="Calibri" w:hAnsi="Calibri" w:eastAsia="Calibri"/>
          <w:b w:val="0"/>
          <w:i w:val="0"/>
          <w:sz w:val="22"/>
        </w:rPr>
        <w:t>Did AI change how boundaries are found (bounded context and aggregate), the interior of the service (domain model, hexagonal adapters, or a thin script), or the seam (domain event inside, integration event outside, saga across)? A tool that generates a controller and a table has implemented the thin script. A tool that has implemented DDD has named the aggregates, kept foreign references as identities, and split the domain event from the integration event.</w:t>
      </w:r>
    </w:p>
    <w:p>
      <w:pPr>
        <w:pStyle w:val="Heading3"/>
      </w:pPr>
      <w:r>
        <w:rPr>
          <w:rFonts w:ascii="Segoe UI Emoji" w:hAnsi="Segoe UI Emoji" w:eastAsia="Segoe UI Emoji" w:cs="Segoe UI Emoji"/>
        </w:rPr>
        <w:t xml:space="preserve">🧭 </w:t>
      </w:r>
      <w:r>
        <w:t>Chapter 8. Methods that sit beside domain-driven design</w:t>
      </w:r>
    </w:p>
    <w:p>
      <w:pPr>
        <w:spacing w:after="40"/>
      </w:pPr>
      <w:r>
        <w:rPr>
          <w:rFonts w:ascii="Calibri" w:hAnsi="Calibri" w:eastAsia="Calibri"/>
          <w:b w:val="0"/>
          <w:i/>
          <w:color w:val="464E5A"/>
          <w:sz w:val="20"/>
        </w:rPr>
        <w:t>Answer 6 of the working series  ·  06-methods-beside-ddd.docx</w:t>
      </w:r>
    </w:p>
    <w:p>
      <w:r>
        <w:rPr>
          <w:rFonts w:ascii="Calibri" w:hAnsi="Calibri" w:eastAsia="Calibri"/>
          <w:b w:val="0"/>
          <w:i w:val="0"/>
          <w:sz w:val="22"/>
        </w:rPr>
        <w:t>The methods that do neighboring jobs to DDD, in five groups. Workshops that discover the domain: Alberto Brandolini’s EventStorming (November 2013), Stefan Hofer and Henning Schwentner’s Domain Storytelling (2021), Adam Dymitruk’s Event Modeling, Dan North’s behavior-driven development (2006) with Matt Wynne’s example mapping. Ways to decide the cut: Chris Richardson’s Assemblage (9 February 2023) with its ten forces — dark energy pushing subdomains apart, dark matter pulling them together (26 March 2023); business capability mapping; INNOQ’s self-contained systems; Abbott and Fisher’s scale cube. Ways to shape the inside: Jeffrey Palermo’s onion architecture (2008), Robert C. Martin’s clean architecture (2012; book 2017), Gary Bernhardt’s functional core and imperative shell (2012), and Carl Hewitt’s actor model (1973) as Erlang, Akka, and Orleans carry it. The messaging school: Hohpe and Woolf’s Enterprise Integration Patterns (10 October 2003, sixty-five patterns) and the Reactive Manifesto (2014). Ways to assign ownership: Skelton and Pais’s Team Topologies (2019) with four team types and three interaction modes, Zhamak Dehghani’s Data Mesh (2019), and micro-frontends (Thoughtworks radar 2016; Cam Jackson 2019). A closing table lines each neighbor up with the part of the series that shares its job.</w:t>
      </w:r>
    </w:p>
    <w:p>
      <w:r>
        <w:rPr>
          <w:rFonts w:ascii="Calibri" w:hAnsi="Calibri" w:eastAsia="Calibri"/>
          <w:b/>
          <w:i w:val="0"/>
          <w:color w:val="1F4E79"/>
          <w:sz w:val="22"/>
        </w:rPr>
        <w:t xml:space="preserve">For the AI question. </w:t>
      </w:r>
      <w:r>
        <w:rPr>
          <w:rFonts w:ascii="Calibri" w:hAnsi="Calibri" w:eastAsia="Calibri"/>
          <w:b w:val="0"/>
          <w:i w:val="0"/>
          <w:sz w:val="22"/>
        </w:rPr>
        <w:t>A claim can name which school an AI tool is imitating — classes from a noun list are a thin echo of tactical DDD; clustering events into aggregates is EventStorming; recommending or refusing a split on deployment independence or a single transaction is Assemblage’s pair of forces; proposing a stream-aligned team and a platform team is Team Topologies — and which of these the tool performs rather than only names.</w:t>
      </w:r>
    </w:p>
    <w:p>
      <w:pPr>
        <w:pStyle w:val="Heading2"/>
      </w:pPr>
      <w:r>
        <w:rPr>
          <w:rFonts w:ascii="Segoe UI Emoji" w:hAnsi="Segoe UI Emoji" w:eastAsia="Segoe UI Emoji" w:cs="Segoe UI Emoji"/>
        </w:rPr>
        <w:t xml:space="preserve">☁️ </w:t>
      </w:r>
      <w:r>
        <w:t>Part IV. The platform beneath and the product above</w:t>
      </w:r>
    </w:p>
    <w:p>
      <w:r>
        <w:rPr>
          <w:rFonts w:ascii="Calibri" w:hAnsi="Calibri" w:eastAsia="Calibri"/>
          <w:b w:val="0"/>
          <w:i w:val="0"/>
          <w:sz w:val="22"/>
        </w:rPr>
        <w:t>A microservice system runs somewhere and is sold as something. Chapter 9 separates cloud architecture, cloud native, and the microservice cut into three decisions. Chapters 10 and 11 climb the platform ladder — the cluster the team declares, then the platform the team pushes to — and show in each case which patterns the platform performs and which boundaries it will not draw. Chapter 12 turns to the product above: what a system owes when it is delivered as software as a service, tenant by tenant. Chapter 13 closes the part with the three NIST service models and the narrower names the industry hangs on them, so that any suggestion to “use a service” can be placed.</w:t>
      </w:r>
    </w:p>
    <w:p>
      <w:pPr>
        <w:pStyle w:val="Heading3"/>
      </w:pPr>
      <w:r>
        <w:rPr>
          <w:rFonts w:ascii="Segoe UI Emoji" w:hAnsi="Segoe UI Emoji" w:eastAsia="Segoe UI Emoji" w:cs="Segoe UI Emoji"/>
        </w:rPr>
        <w:t xml:space="preserve">☁️ </w:t>
      </w:r>
      <w:r>
        <w:t>Chapter 9. How microservices relate to cloud architecture</w:t>
      </w:r>
    </w:p>
    <w:p>
      <w:pPr>
        <w:spacing w:after="40"/>
      </w:pPr>
      <w:r>
        <w:rPr>
          <w:rFonts w:ascii="Calibri" w:hAnsi="Calibri" w:eastAsia="Calibri"/>
          <w:b w:val="0"/>
          <w:i/>
          <w:color w:val="464E5A"/>
          <w:sz w:val="20"/>
        </w:rPr>
        <w:t>Answer 7 of the working series  ·  07-microservices-and-cloud-architecture.docx</w:t>
      </w:r>
    </w:p>
    <w:p>
      <w:r>
        <w:rPr>
          <w:rFonts w:ascii="Calibri" w:hAnsi="Calibri" w:eastAsia="Calibri"/>
          <w:b w:val="0"/>
          <w:i w:val="0"/>
          <w:sz w:val="22"/>
        </w:rPr>
        <w:t>Cloud architecture decides where the software runs, how failure is contained across machines and sites, and which platform services teams may use; microservice architecture decides how the application is divided; cloud native (CNCF definition v1.1, 26 February 2024) is the overlap, and microservices are one item on its explicitly non-exhaustive list beside containers, service meshes, serverless, and declarative APIs. NIST SP 800-145 (September 2011) fixes the cloud half with five properties and requires nothing of the consumer’s application shape. The two grew up together — AWS 2006, Netflix 2008, Twelve-Factor 2011, Docker 2013, Kubernetes 2014, CNCF 2015 — because the cloud made the service boundary payable. Rehosting and re-architecting are kept apart as two steps. A table maps each microservice decision to the cloud capability that implements it. Cloud architecture adds what DDD does not name: availability zones and regions as failure and data-residency domains, accounts as blast-radius boundaries, network policy, the shared-responsibility line that moves with the service model, and cost and operability as the dark-matter side of the bill. Team Topologies gives the ownership split: a platform team owns the landing zone and the paved road; a stream-aligned team owns a service.</w:t>
      </w:r>
    </w:p>
    <w:p>
      <w:r>
        <w:rPr>
          <w:rFonts w:ascii="Calibri" w:hAnsi="Calibri" w:eastAsia="Calibri"/>
          <w:b/>
          <w:i w:val="0"/>
          <w:color w:val="1F4E79"/>
          <w:sz w:val="22"/>
        </w:rPr>
        <w:t xml:space="preserve">For the AI question. </w:t>
      </w:r>
      <w:r>
        <w:rPr>
          <w:rFonts w:ascii="Calibri" w:hAnsi="Calibri" w:eastAsia="Calibri"/>
          <w:b w:val="0"/>
          <w:i w:val="0"/>
          <w:sz w:val="22"/>
        </w:rPr>
        <w:t>An AI claim has to say which layer moved. Generating a repository, a container file, and a schema is help with the application cut and the deployment unit. Choosing a region, an account boundary, or a network policy is cloud architecture. Tools that autoscale, restart, and trace act on the platform’s control loop; tools that name aggregates act on the domain. Keep the two in separate columns.</w:t>
      </w:r>
    </w:p>
    <w:p>
      <w:pPr>
        <w:pStyle w:val="Heading3"/>
      </w:pPr>
      <w:r>
        <w:rPr>
          <w:rFonts w:ascii="Segoe UI Emoji" w:hAnsi="Segoe UI Emoji" w:eastAsia="Segoe UI Emoji" w:cs="Segoe UI Emoji"/>
        </w:rPr>
        <w:t xml:space="preserve">☸️ </w:t>
      </w:r>
      <w:r>
        <w:t>Chapter 10. Kubernetes from the point of view of microservices</w:t>
      </w:r>
    </w:p>
    <w:p>
      <w:pPr>
        <w:spacing w:after="40"/>
      </w:pPr>
      <w:r>
        <w:rPr>
          <w:rFonts w:ascii="Calibri" w:hAnsi="Calibri" w:eastAsia="Calibri"/>
          <w:b w:val="0"/>
          <w:i/>
          <w:color w:val="464E5A"/>
          <w:sz w:val="20"/>
        </w:rPr>
        <w:t>Answer 8 of the working series  ·  08-kubernetes-and-microservices.docx</w:t>
      </w:r>
    </w:p>
    <w:p>
      <w:r>
        <w:rPr>
          <w:rFonts w:ascii="Calibri" w:hAnsi="Calibri" w:eastAsia="Calibri"/>
          <w:b w:val="0"/>
          <w:i w:val="0"/>
          <w:sz w:val="22"/>
        </w:rPr>
        <w:t>From the point of view of microservices, Kubernetes is a service deployment platform and a built-in discovery fabric, designed from Google’s Borg, with its first commit on 6 June 2014 and version 1.0 on 21 July 2015. It is not a microservice architecture: a cluster will keep a well-cut suite, a monolith in one pod, or a distributed monolith of twenty deployments equally alive. Two control loops that do not share a subject: the platform reconciles declared state over instances, addresses, and limits; the domain enforces the business invariant inside the service. A microservice on the cluster is usually a Deployment and a Service, sometimes a second Deployment for a worker; counting Deployments does not count bounded contexts. A table lists the patterns the platform performs — service instance per container, deployment platform, server-side discovery, registry and third-party registration, health checks as probes, externalized configuration, sidecar, instance-level failure handling, a narrow bulkhead, X-axis autoscaling. Ingress is a routing front door that becomes a gateway or a backend for frontend only when a team adds authentication, aggregation, and a client-specific shape. Identity splits in two: the access token answers whether this actor may perform this business action; the service account answers whether this process may read this secret. Boundaries the platform will not draw: a namespace is not a bounded context, a network policy is not a contract, a rolling update is not independent deployability, and nothing in the API implements a saga, an outbox, API composition, or CQRS.</w:t>
      </w:r>
    </w:p>
    <w:p>
      <w:r>
        <w:rPr>
          <w:rFonts w:ascii="Calibri" w:hAnsi="Calibri" w:eastAsia="Calibri"/>
          <w:b/>
          <w:i w:val="0"/>
          <w:color w:val="1F4E79"/>
          <w:sz w:val="22"/>
        </w:rPr>
        <w:t xml:space="preserve">For the AI question. </w:t>
      </w:r>
      <w:r>
        <w:rPr>
          <w:rFonts w:ascii="Calibri" w:hAnsi="Calibri" w:eastAsia="Calibri"/>
          <w:b w:val="0"/>
          <w:i w:val="0"/>
          <w:sz w:val="22"/>
        </w:rPr>
        <w:t>An AI claim about microservices has to show a boundary, a private schema, and a collaboration pattern. An AI claim about Kubernetes has to show desired state that matches how the process fails, starts, and is found. The two are often committed in one pull request; they are two decisions, and the scheduler will not review the second.</w:t>
      </w:r>
    </w:p>
    <w:p>
      <w:pPr>
        <w:pStyle w:val="Heading3"/>
      </w:pPr>
      <w:r>
        <w:rPr>
          <w:rFonts w:ascii="Segoe UI Emoji" w:hAnsi="Segoe UI Emoji" w:eastAsia="Segoe UI Emoji" w:cs="Segoe UI Emoji"/>
        </w:rPr>
        <w:t xml:space="preserve">🚀 </w:t>
      </w:r>
      <w:r>
        <w:t>Chapter 11. PaaS from the point of view of microservices</w:t>
      </w:r>
    </w:p>
    <w:p>
      <w:pPr>
        <w:spacing w:after="40"/>
      </w:pPr>
      <w:r>
        <w:rPr>
          <w:rFonts w:ascii="Calibri" w:hAnsi="Calibri" w:eastAsia="Calibri"/>
          <w:b w:val="0"/>
          <w:i/>
          <w:color w:val="464E5A"/>
          <w:sz w:val="20"/>
        </w:rPr>
        <w:t>Answer 10 of the working series  ·  10-paas-and-microservices.docx</w:t>
      </w:r>
    </w:p>
    <w:p>
      <w:r>
        <w:rPr>
          <w:rFonts w:ascii="Calibri" w:hAnsi="Calibri" w:eastAsia="Calibri"/>
          <w:b w:val="0"/>
          <w:i w:val="0"/>
          <w:sz w:val="22"/>
        </w:rPr>
        <w:t>A PaaS is the deployment platform a service is handed to: the team supplies the application and the configuration of its hosting environment; the platform runs the processes, routes to them, restarts them, and attaches databases and queues. NIST SP 800-145 draws the line, and SP 500-322 names the consumer as the developer or deployer. Heroku is the public case — app, buildpack, Procfile, web and worker process types, dyno, config, add-on — and Cloud Foundry (2011) the private one; the Twelve-Factor App (2011) is the contract both expect. One bounded context is usually one app with a web and a worker process type and a bound database; a second context is a second app. The platform will bind both to one database without objecting, so database-per-service remains a decision in the repositories. Service-to-service calls go through the platform’s router: server-side discovery with the registrar hidden. A table lists the patterns the platform performs. What it will not draw: an app is a release unit, and twenty apps on one schema are a distributed monolith that pushes cleanly; nothing in the push model implements a saga, an outbox, a tenant predicate, or an aggregate — the platform meters compute, the service has to meter meaning. Sidecars, a mesh, and fine network policy are awkward on a classic PaaS, and stepping down to Kubernetes for them changes the responsibility line, not the bounded context. Kubernetes behind a narrow door — OpenShift, Cloud Foundry on Kubernetes, Cloud Native Buildpacks, Cloud Run, App Service — is the same arrangement; a platform team in the Team Topologies sense is an internal PaaS. The SaaS control plane and the PaaS control plane share a word and not a job: dynos are not tenants.</w:t>
      </w:r>
    </w:p>
    <w:p>
      <w:r>
        <w:rPr>
          <w:rFonts w:ascii="Calibri" w:hAnsi="Calibri" w:eastAsia="Calibri"/>
          <w:b/>
          <w:i w:val="0"/>
          <w:color w:val="1F4E79"/>
          <w:sz w:val="22"/>
        </w:rPr>
        <w:t xml:space="preserve">For the AI question. </w:t>
      </w:r>
      <w:r>
        <w:rPr>
          <w:rFonts w:ascii="Calibri" w:hAnsi="Calibri" w:eastAsia="Calibri"/>
          <w:b w:val="0"/>
          <w:i w:val="0"/>
          <w:sz w:val="22"/>
        </w:rPr>
        <w:t>An AI claim about PaaS has to show a stateless process, configuration outside the build, and backing services as bindings. It can be a correct twelve-factor app and still share a database, omit the tenant, and call five neighbors in one request. Pushing to a platform discharges no microservice claim.</w:t>
      </w:r>
    </w:p>
    <w:p>
      <w:pPr>
        <w:pStyle w:val="Heading3"/>
      </w:pPr>
      <w:r>
        <w:rPr>
          <w:rFonts w:ascii="Segoe UI Emoji" w:hAnsi="Segoe UI Emoji" w:eastAsia="Segoe UI Emoji" w:cs="Segoe UI Emoji"/>
        </w:rPr>
        <w:t xml:space="preserve">🏢 </w:t>
      </w:r>
      <w:r>
        <w:t>Chapter 12. Requirements of a SaaS system</w:t>
      </w:r>
    </w:p>
    <w:p>
      <w:pPr>
        <w:spacing w:after="40"/>
      </w:pPr>
      <w:r>
        <w:rPr>
          <w:rFonts w:ascii="Calibri" w:hAnsi="Calibri" w:eastAsia="Calibri"/>
          <w:b w:val="0"/>
          <w:i/>
          <w:color w:val="464E5A"/>
          <w:sz w:val="20"/>
        </w:rPr>
        <w:t>Answer 9 of the working series  ·  09-saas-system-requirements.docx</w:t>
      </w:r>
    </w:p>
    <w:p>
      <w:r>
        <w:rPr>
          <w:rFonts w:ascii="Calibri" w:hAnsi="Calibri" w:eastAsia="Calibri"/>
          <w:b w:val="0"/>
          <w:i w:val="0"/>
          <w:sz w:val="22"/>
        </w:rPr>
        <w:t>Software as a service, by NIST’s bar: an application the provider runs and many customers use through a browser or an API, with the customer managing nothing but limited user-specific configuration. Multi-tenancy is the architectural consequence; a per-customer install in a cloud is a managed service, not SaaS. The AWS SaaS Architecture Fundamentals whitepaper divides the system into a control plane — onboarding, the tenant record, identity into a tenant, tiers, metering, one place to operate the estate — and an application plane that is multi-tenant, with a tenant context on every request. The Well-Architected SaaS Lens’s ten concerns become twelve obligations: a tenant identity distinct from a user; tenant context on every request, message, log line, and trace; isolation as a security and a performance property; an explicit placement model — silo, pool, or bridge; data partitioning that matches it, with per-tenant backup, restore, and deletion; automated onboarding; tiers as product and placement decisions; noisy-neighbor control as the tenant-grain bulkhead; measured use; tenant-aware operations; limited configuration rather than a fork; and a way to leave. SaaS does not require microservices; it changes where the requirements have to be repeated: the tenant on the access token, believed from the control plane rather than from the client; the tenant on every broker message; database-per-service with the tenant model as a second cut inside each schema (the bridge model); the control plane as the platform in Team Topologies’ sense; and the aggregate checking the tenant as well as the business rule. Kubernetes and the cloud can silo or pool tenants by namespace, cluster, or account but cannot put the tenant on the request or partition the rows.</w:t>
      </w:r>
    </w:p>
    <w:p>
      <w:r>
        <w:rPr>
          <w:rFonts w:ascii="Calibri" w:hAnsi="Calibri" w:eastAsia="Calibri"/>
          <w:b/>
          <w:i w:val="0"/>
          <w:color w:val="1F4E79"/>
          <w:sz w:val="22"/>
        </w:rPr>
        <w:t xml:space="preserve">For the AI question. </w:t>
      </w:r>
      <w:r>
        <w:rPr>
          <w:rFonts w:ascii="Calibri" w:hAnsi="Calibri" w:eastAsia="Calibri"/>
          <w:b w:val="0"/>
          <w:i w:val="0"/>
          <w:sz w:val="22"/>
        </w:rPr>
        <w:t>An AI claim about a SaaS system has to show a tenant on the token, a tenant predicate on every query, a control-plane record that can create and delete that tenant, a meter, and a stated silo or pool choice. A generated order service can look complete and still be a single-tenant program.</w:t>
      </w:r>
    </w:p>
    <w:p>
      <w:pPr>
        <w:pStyle w:val="Heading3"/>
      </w:pPr>
      <w:r>
        <w:rPr>
          <w:rFonts w:ascii="Segoe UI Emoji" w:hAnsi="Segoe UI Emoji" w:eastAsia="Segoe UI Emoji" w:cs="Segoe UI Emoji"/>
        </w:rPr>
        <w:t xml:space="preserve">🏷️ </w:t>
      </w:r>
      <w:r>
        <w:t>Chapter 13. What sits beside SaaS: the three service models</w:t>
      </w:r>
    </w:p>
    <w:p>
      <w:pPr>
        <w:spacing w:after="40"/>
      </w:pPr>
      <w:r>
        <w:rPr>
          <w:rFonts w:ascii="Calibri" w:hAnsi="Calibri" w:eastAsia="Calibri"/>
          <w:b w:val="0"/>
          <w:i/>
          <w:color w:val="464E5A"/>
          <w:sz w:val="20"/>
        </w:rPr>
        <w:t>Answer 12 of the working series  ·  12-beside-saas.docx</w:t>
      </w:r>
    </w:p>
    <w:p>
      <w:r>
        <w:rPr>
          <w:rFonts w:ascii="Calibri" w:hAnsi="Calibri" w:eastAsia="Calibri"/>
          <w:b w:val="0"/>
          <w:i w:val="0"/>
          <w:sz w:val="22"/>
        </w:rPr>
        <w:t>The official set is three. NIST SP 800-145 (September 2011) defines infrastructure, platform, and software as a service; SP 500-322 sorts an offering by what is provided and who the primary customer is — IT operations, the developer or deployer, the end user. A new “as a service” name does not create a fourth model. Infrastructure as a service, from the microservice point of view, is the raw pool: the team installs the cluster, the broker, and the database engine; a virtual machine with a monolith on it is a completed IaaS deployment, and managed Kubernetes lands between IaaS and PaaS. A table places the narrower names — function, container, database, identity, integration platform, backend, storage, network, security, and AI or machine learning as a service — under their usual NIST home with what each means for a service: FaaS is Richardson’s serverless deployment and may be smaller than a bounded context; CaaS is the Kubernetes chapter; DBaaS is the usual way to give a service its own database; IDaaS is the access-token pattern bought, with the tenant still on the token; iPaaS can become the smart bus the 2014 article kept out of the middle; AI as a service is Pressman’s AI category consumed as a backing service. DaaS collides (desktop; data — the commercial form of a Data Mesh data product). NIST’s four deployment models — public, private, community, hybrid — are a separate column that says where a cloud runs, not what kind of product it is.</w:t>
      </w:r>
    </w:p>
    <w:p>
      <w:r>
        <w:rPr>
          <w:rFonts w:ascii="Calibri" w:hAnsi="Calibri" w:eastAsia="Calibri"/>
          <w:b/>
          <w:i w:val="0"/>
          <w:color w:val="1F4E79"/>
          <w:sz w:val="22"/>
        </w:rPr>
        <w:t xml:space="preserve">For the AI question. </w:t>
      </w:r>
      <w:r>
        <w:rPr>
          <w:rFonts w:ascii="Calibri" w:hAnsi="Calibri" w:eastAsia="Calibri"/>
          <w:b w:val="0"/>
          <w:i w:val="0"/>
          <w:sz w:val="22"/>
        </w:rPr>
        <w:t>An AI suggestion that says “use a service” has to name which model. Generating application code for an end user is SaaS work only if tenancy, metering, and the control plane are in scope; a container and a database binding are PaaS or CaaS work; a network and a machine are IaaS work. Calling a hosted model is AI as a service — a backing service, not a new shape for the order aggregate.</w:t>
      </w:r>
    </w:p>
    <w:p>
      <w:pPr>
        <w:pStyle w:val="Heading2"/>
      </w:pPr>
      <w:r>
        <w:rPr>
          <w:rFonts w:ascii="Segoe UI Emoji" w:hAnsi="Segoe UI Emoji" w:eastAsia="Segoe UI Emoji" w:cs="Segoe UI Emoji"/>
        </w:rPr>
        <w:t xml:space="preserve">📏 </w:t>
      </w:r>
      <w:r>
        <w:t>Part V. The yardstick</w:t>
      </w:r>
    </w:p>
    <w:p>
      <w:r>
        <w:rPr>
          <w:rFonts w:ascii="Calibri" w:hAnsi="Calibri" w:eastAsia="Calibri"/>
          <w:b w:val="0"/>
          <w:i w:val="0"/>
          <w:sz w:val="22"/>
        </w:rPr>
        <w:t>Before the AI system is examined, two chapters fix how a claim will be graded. Chapter 14 separates functional from non-functional requirements, gives each a testable form, and shows that a service boundary is an answer to a non-functional requirement. Chapter 15 places the whole series on the map of the discipline — the eighteen knowledge areas of SWEBOK version 4 and the thirty life-cycle processes of ISO/IEC/IEEE 12207 — so that a tool’s work can be named by the area it practices and by what it still owes.</w:t>
      </w:r>
    </w:p>
    <w:p>
      <w:pPr>
        <w:pStyle w:val="Heading3"/>
      </w:pPr>
      <w:r>
        <w:rPr>
          <w:rFonts w:ascii="Segoe UI Emoji" w:hAnsi="Segoe UI Emoji" w:eastAsia="Segoe UI Emoji" w:cs="Segoe UI Emoji"/>
        </w:rPr>
        <w:t xml:space="preserve">📏 </w:t>
      </w:r>
      <w:r>
        <w:t>Chapter 14. Functional and non-functional requirements</w:t>
      </w:r>
    </w:p>
    <w:p>
      <w:pPr>
        <w:spacing w:after="40"/>
      </w:pPr>
      <w:r>
        <w:rPr>
          <w:rFonts w:ascii="Calibri" w:hAnsi="Calibri" w:eastAsia="Calibri"/>
          <w:b w:val="0"/>
          <w:i/>
          <w:color w:val="464E5A"/>
          <w:sz w:val="20"/>
        </w:rPr>
        <w:t>Answer 13 of the working series  ·  13-functional-and-nonfunctional-requirements.docx</w:t>
      </w:r>
    </w:p>
    <w:p>
      <w:r>
        <w:rPr>
          <w:rFonts w:ascii="Calibri" w:hAnsi="Calibri" w:eastAsia="Calibri"/>
          <w:b w:val="0"/>
          <w:i w:val="0"/>
          <w:sz w:val="22"/>
        </w:rPr>
        <w:t>A functional requirement states what the system does in response to a situation; a non-functional requirement states a quality of that behavior or a constraint on the system that provides it; the test of the first is whether the behavior happened, of the second whether it met a measure. One feature, cancel a delivery, is written both ways: the rule and its refusal inside the Delivery aggregate; reliability when notification is down; security across tenants; performance at the stated peak; and a data-residency constraint. “The system shall be scalable” names a concern and is not yet a requirement. Functional requirements come from the work — EventStorming timelines, domain stories, given-when-then examples, Assemblage’s system operations. Non-functional requirements come from the conditions of success, and ISO/IEC 25010:2023’s nine characteristics are their home: functional suitability, performance efficiency, compatibility, interaction capability, reliability, security, maintainability, flexibility, safety (the 2023 edition renamed usability and portability and added safety). Non-functional requirements are what make the cut expensive or necessary: independent change and a fast pipeline are maintainability and flexibility and Richardson’s dark energy; a local transaction and a latency budget are reliability and performance and his dark matter; tenant isolation is security; a region pin is a constraint cloud architecture obeys and DDD does not mention. Microservices are chosen because a non-functional requirement cannot be met inside one release unit, and regretted because the non-functional cost of distribution was not written down as a requirement of its own. Bass, Clements, and Kazman’s six-part quality-attribute scenario and the given-when-then example are the two test shapes.</w:t>
      </w:r>
    </w:p>
    <w:p>
      <w:r>
        <w:rPr>
          <w:rFonts w:ascii="Calibri" w:hAnsi="Calibri" w:eastAsia="Calibri"/>
          <w:b/>
          <w:i w:val="0"/>
          <w:color w:val="1F4E79"/>
          <w:sz w:val="22"/>
        </w:rPr>
        <w:t xml:space="preserve">For the AI question. </w:t>
      </w:r>
      <w:r>
        <w:rPr>
          <w:rFonts w:ascii="Calibri" w:hAnsi="Calibri" w:eastAsia="Calibri"/>
          <w:b w:val="0"/>
          <w:i w:val="0"/>
          <w:sz w:val="22"/>
        </w:rPr>
        <w:t>Tools that emit code are practicing the functional side. Tools that choose a boundary, a region, a replica count, or a tenant placement are practicing the non-functional side. A suggestion to split a service is an answer to a non-functional requirement and is justified only if that requirement was measured. The research grades the two sides separately.</w:t>
      </w:r>
    </w:p>
    <w:p>
      <w:pPr>
        <w:pStyle w:val="Heading3"/>
      </w:pPr>
      <w:r>
        <w:rPr>
          <w:rFonts w:ascii="Segoe UI Emoji" w:hAnsi="Segoe UI Emoji" w:eastAsia="Segoe UI Emoji" w:cs="Segoe UI Emoji"/>
        </w:rPr>
        <w:t xml:space="preserve">🎓 </w:t>
      </w:r>
      <w:r>
        <w:t>Chapter 15. Software engineering: the discipline</w:t>
      </w:r>
    </w:p>
    <w:p>
      <w:pPr>
        <w:spacing w:after="40"/>
      </w:pPr>
      <w:r>
        <w:rPr>
          <w:rFonts w:ascii="Calibri" w:hAnsi="Calibri" w:eastAsia="Calibri"/>
          <w:b w:val="0"/>
          <w:i/>
          <w:color w:val="464E5A"/>
          <w:sz w:val="20"/>
        </w:rPr>
        <w:t>Answer 15 of the working series  ·  15-software-engineering.docx</w:t>
      </w:r>
    </w:p>
    <w:p>
      <w:r>
        <w:rPr>
          <w:rFonts w:ascii="Calibri" w:hAnsi="Calibri" w:eastAsia="Calibri"/>
          <w:b w:val="0"/>
          <w:i w:val="0"/>
          <w:sz w:val="22"/>
        </w:rPr>
        <w:t>Software engineering as the discipline that produces every product the types chapter named. The definition is ISO/IEC/IEEE 24765’s, quoted by the SWEBOK Guide: a systematic, disciplined, quantifiable approach to the development, operation, and maintenance of software. Version 4.0 of the Guide (IEEE Computer Society, 15 October 2024) and version 4.0a (edited by Hironori Washizaki, August 2026) organize the literature into eighteen knowledge areas, three of them new as areas — software architecture, software security, software engineering operations — and a table records where this series stands on each, naming the areas that so far have only a name: construction, testing as a discipline, configuration management, security, management. Architecture (decisions that are expensive to reverse; the service boundary) sits beside design (the aggregate, the rule, the adapters). Maintenance after delivery is classified by ISO/IEC/IEEE 14764 as corrective, preventive, adaptive, additive, perfective, and emergency, each with a delivery example. ISO/IEC/IEEE 12207:2017 groups thirty life-cycle processes into agreement, organizational project-enabling, technical management, and fourteen technical processes, and prescribes no life-cycle model; cancel-a-delivery is walked through all fourteen, from business analysis to disposal, with verification (meets the specified requirement) distinguished from validation (serves the intended use). Royce (1970), Boehm’s spiral (May 1986), the Agile Manifesto (2001) and Annex H, Humble and Farley’s Continuous Delivery (2010), and DevOps mark the life-cycle continuum. A suite of services applies the same processes recursively, once per service, with integration, identity, a shared quality bar, and much of operations at the estate; the platform is the enabling system; independent release is a process decision as much as a drawing.</w:t>
      </w:r>
    </w:p>
    <w:p>
      <w:r>
        <w:rPr>
          <w:rFonts w:ascii="Calibri" w:hAnsi="Calibri" w:eastAsia="Calibri"/>
          <w:b/>
          <w:i w:val="0"/>
          <w:color w:val="1F4E79"/>
          <w:sz w:val="22"/>
        </w:rPr>
        <w:t xml:space="preserve">For the AI question. </w:t>
      </w:r>
      <w:r>
        <w:rPr>
          <w:rFonts w:ascii="Calibri" w:hAnsi="Calibri" w:eastAsia="Calibri"/>
          <w:b w:val="0"/>
          <w:i w:val="0"/>
          <w:sz w:val="22"/>
        </w:rPr>
        <w:t>A claim that AI does software engineering is graded once the knowledge area is named: a controller is construction; a merge request touches configuration management; a split is architecture only when evaluated and recorded; three edited and merged services are not validated until a stakeholder, or a test standing for one, accepts them. The human checkpoint is a process control that keeps validation and authorization in the process when a model proposes the change.</w:t>
      </w:r>
    </w:p>
    <w:p>
      <w:pPr>
        <w:pStyle w:val="Heading2"/>
      </w:pPr>
      <w:r>
        <w:rPr>
          <w:rFonts w:ascii="Segoe UI Emoji" w:hAnsi="Segoe UI Emoji" w:eastAsia="Segoe UI Emoji" w:cs="Segoe UI Emoji"/>
        </w:rPr>
        <w:t xml:space="preserve">🤖 </w:t>
      </w:r>
      <w:r>
        <w:t>Part VI. The AI system</w:t>
      </w:r>
    </w:p>
    <w:p>
      <w:r>
        <w:rPr>
          <w:rFonts w:ascii="Calibri" w:hAnsi="Calibri" w:eastAsia="Calibri"/>
          <w:b w:val="0"/>
          <w:i w:val="0"/>
          <w:sz w:val="22"/>
        </w:rPr>
        <w:t>Chapter 16 names the decisions inside an AI system that sits in a microservice estate: the direct call, the augmented model, retrieval, and the ways of arranging more than one model call, ending at the autonomous agent and the human checkpoint. Each pattern is placed in the drone-delivery estate and paired with the nearest baseline decision, so that a claim can name the AI pattern and the microservice pattern as two separate columns.</w:t>
      </w:r>
    </w:p>
    <w:p>
      <w:pPr>
        <w:pStyle w:val="Heading3"/>
      </w:pPr>
      <w:r>
        <w:rPr>
          <w:rFonts w:ascii="Segoe UI Emoji" w:hAnsi="Segoe UI Emoji" w:eastAsia="Segoe UI Emoji" w:cs="Segoe UI Emoji"/>
        </w:rPr>
        <w:t xml:space="preserve">🤖 </w:t>
      </w:r>
      <w:r>
        <w:t>Chapter 16. Design patterns of the AI system</w:t>
      </w:r>
    </w:p>
    <w:p>
      <w:pPr>
        <w:spacing w:after="40"/>
      </w:pPr>
      <w:r>
        <w:rPr>
          <w:rFonts w:ascii="Calibri" w:hAnsi="Calibri" w:eastAsia="Calibri"/>
          <w:b w:val="0"/>
          <w:i/>
          <w:color w:val="464E5A"/>
          <w:sz w:val="20"/>
        </w:rPr>
        <w:t>Answer 14 of the working series  ·  14-design-patterns-of-the-ai-system.docx</w:t>
      </w:r>
    </w:p>
    <w:p>
      <w:r>
        <w:rPr>
          <w:rFonts w:ascii="Calibri" w:hAnsi="Calibri" w:eastAsia="Calibri"/>
          <w:b w:val="0"/>
          <w:i w:val="0"/>
          <w:sz w:val="22"/>
        </w:rPr>
        <w:t>The decisions inside an AI system that sits in the estate: a language-model call, the tools and documents around it, and the arrangement of several calls. Two sources carry the names — Anthropic’s “Building effective agents” (19 December 2024), which separates workflows with fixed code paths from agents that direct their own tools, and the Azure Architecture Center’s “AI Agent Orchestration Patterns” (consulted 29 September 2026), which sets the same work on a complexity ladder — with Lewis and colleagues’ retrieval-augmented generation (NeurIPS 2020) and Fourney and colleagues’ Magentic-One (November 2024). The ladder comes first: direct model call, augmented LLM, multi-agent orchestration, and the rule to use the smallest structure that meets the requirement. Thirteen patterns follow, each placed in the drone-delivery estate and paired with its nearest baseline decision: direct model call (a backing-service call from a transaction script); augmented LLM (an application service with outbound ports, an iteration limit, and the token on every call); retrieval-augmented generation (a CQRS read model — or a shared database if the index ignores ownership — with tenant trimming at retrieval); prompt chaining (a pipeline, a saga only when a step commits business state); routing (content-based routing at a gateway, at bounded-context grain); parallelization (API composition with a bulkhead on the shared model); orchestrator-workers (saga orchestration whose steps are proposed per input); evaluator-optimizer (review of an uncommitted artifact, with a cap and a fallback); group chat (a single writer and an audit log); handoff (one active owner with externalized state, transfers capped, no privilege upgrade); magentic orchestration (a task ledger beside, not instead of, a saga log; irreversible tools behind a reviewed plan); autonomous agent (an open-ended client whose ground truth is the tool result); human checkpoint (a waiting business state stored by the service that will perform the command, plus audit logging). What an implementation still owes the baseline: timeouts, retries, and breakers on model calls; validated output; checkpointed state; logs, metrics, and traces per call and per handoff; doubles for tools and rubrics for orchestrations.</w:t>
      </w:r>
    </w:p>
    <w:p>
      <w:r>
        <w:rPr>
          <w:rFonts w:ascii="Calibri" w:hAnsi="Calibri" w:eastAsia="Calibri"/>
          <w:b/>
          <w:i w:val="0"/>
          <w:color w:val="1F4E79"/>
          <w:sz w:val="22"/>
        </w:rPr>
        <w:t xml:space="preserve">For the AI question. </w:t>
      </w:r>
      <w:r>
        <w:rPr>
          <w:rFonts w:ascii="Calibri" w:hAnsi="Calibri" w:eastAsia="Calibri"/>
          <w:b w:val="0"/>
          <w:i w:val="0"/>
          <w:sz w:val="22"/>
        </w:rPr>
        <w:t>A claim can now name a pattern in this list and a decision in the baseline separately. “We added an agent” is not yet a claim. A direct call inside notification, an index owned by delivery, a router in front of existing contexts, a saga still designed by hand, and a ledger that can refund without the accounts service are five different claims; only the last has moved a business boundary, and it has moved it by bypassing the owner. Grade by which tools can write, who owns the passages retrieved, and what stops the loop.</w:t>
      </w:r>
    </w:p>
    <w:p>
      <w:pPr>
        <w:pStyle w:val="Heading2"/>
      </w:pPr>
      <w:r>
        <w:rPr>
          <w:rFonts w:ascii="Segoe UI Emoji" w:hAnsi="Segoe UI Emoji" w:eastAsia="Segoe UI Emoji" w:cs="Segoe UI Emoji"/>
        </w:rPr>
        <w:t xml:space="preserve">🔮 </w:t>
      </w:r>
      <w:r>
        <w:t>Part VII. What AI changed</w:t>
      </w:r>
    </w:p>
    <w:p>
      <w:r>
        <w:rPr>
          <w:rFonts w:ascii="Calibri" w:hAnsi="Calibri" w:eastAsia="Calibri"/>
          <w:b w:val="0"/>
          <w:i w:val="0"/>
          <w:sz w:val="22"/>
        </w:rPr>
        <w:t>These five chapters are one answer, because they grade the same published cases under the five headings the aim fixed. A change counts only where a company or a project wrote the decision down, and only where that decision can be pointed at a characteristic, a pattern, a layer, a knowledge area, or an AI-system pattern the earlier chapters named. Where an announcement is wider than the section that shows the work, the narrower section is the evidence.</w:t>
      </w:r>
    </w:p>
    <w:p>
      <w:pPr>
        <w:pStyle w:val="Heading3"/>
      </w:pPr>
      <w:r>
        <w:rPr>
          <w:rFonts w:ascii="Segoe UI Emoji" w:hAnsi="Segoe UI Emoji" w:eastAsia="Segoe UI Emoji" w:cs="Segoe UI Emoji"/>
        </w:rPr>
        <w:t xml:space="preserve">🧱 </w:t>
      </w:r>
      <w:r>
        <w:t>Chapter 17. Design: the inside of the service</w:t>
      </w:r>
    </w:p>
    <w:p>
      <w:pPr>
        <w:spacing w:after="40"/>
      </w:pPr>
      <w:r>
        <w:rPr>
          <w:rFonts w:ascii="Calibri" w:hAnsi="Calibri" w:eastAsia="Calibri"/>
          <w:b w:val="0"/>
          <w:i/>
          <w:color w:val="464E5A"/>
          <w:sz w:val="20"/>
        </w:rPr>
        <w:t>Answer 17 of the working series  ·  17-what-ai-changed.docx</w:t>
      </w:r>
    </w:p>
    <w:p>
      <w:r>
        <w:rPr>
          <w:rFonts w:ascii="Calibri" w:hAnsi="Calibri" w:eastAsia="Calibri"/>
          <w:b w:val="0"/>
          <w:i w:val="0"/>
          <w:sz w:val="22"/>
        </w:rPr>
        <w:t>QRRA’s new interiors — event records, a document store, a saga the team is moving toward on Step Functions — were found in an Event Storming workshop run by people. Amazon Q Developer is shown producing cloud-development-kit code in three days; the post’s closing sentence credits the tool with the six services as well, which the workshop section does not support. GitHub’s coding agent (19 May 2025) opens a draft pull request and stops: workflows do not run until a person approves them, and the requester cannot approve. Shopify Sidekick (26 August 2025) is one agent whose design problem was the tool list, kept to a single agent, with just-in-time instructions. A trained model gamed the judge by filtering on a tag the store’s status field does not mean. Netflix enforces output shape inside the decode loop, and GenRec scores only in-catalog titles, because an unconstrained model invents identities.</w:t>
      </w:r>
    </w:p>
    <w:p>
      <w:r>
        <w:rPr>
          <w:rFonts w:ascii="Calibri" w:hAnsi="Calibri" w:eastAsia="Calibri"/>
          <w:b/>
          <w:i w:val="0"/>
          <w:color w:val="1F4E79"/>
          <w:sz w:val="22"/>
        </w:rPr>
        <w:t xml:space="preserve">For the AI question. </w:t>
      </w:r>
      <w:r>
        <w:rPr>
          <w:rFonts w:ascii="Calibri" w:hAnsi="Calibri" w:eastAsia="Calibri"/>
          <w:b w:val="0"/>
          <w:i w:val="0"/>
          <w:sz w:val="22"/>
        </w:rPr>
        <w:t>The interior that changed is the assistant and the model call. The business aggregate, where one was redesigned, was redesigned by people performing Event Storming. Construction and a gated pull request are not the evaluation of an architecture.</w:t>
      </w:r>
    </w:p>
    <w:p>
      <w:pPr>
        <w:pStyle w:val="Heading3"/>
      </w:pPr>
      <w:r>
        <w:rPr>
          <w:rFonts w:ascii="Segoe UI Emoji" w:hAnsi="Segoe UI Emoji" w:eastAsia="Segoe UI Emoji" w:cs="Segoe UI Emoji"/>
        </w:rPr>
        <w:t xml:space="preserve">🗄️ </w:t>
      </w:r>
      <w:r>
        <w:t>Chapter 18. Boundaries and data</w:t>
      </w:r>
    </w:p>
    <w:p>
      <w:pPr>
        <w:spacing w:after="40"/>
      </w:pPr>
      <w:r>
        <w:rPr>
          <w:rFonts w:ascii="Calibri" w:hAnsi="Calibri" w:eastAsia="Calibri"/>
          <w:b w:val="0"/>
          <w:i/>
          <w:color w:val="464E5A"/>
          <w:sz w:val="20"/>
        </w:rPr>
        <w:t>Answer 17 of the working series  ·  17-what-ai-changed.docx</w:t>
      </w:r>
    </w:p>
    <w:p>
      <w:r>
        <w:rPr>
          <w:rFonts w:ascii="Calibri" w:hAnsi="Calibri" w:eastAsia="Calibri"/>
          <w:b w:val="0"/>
          <w:i w:val="0"/>
          <w:sz w:val="22"/>
        </w:rPr>
        <w:t>QRRA’s six bounded contexts follow the workshop, sized to the teams that will run them, against a measured peak of 8,000 items across 2,000 orders an hour. Netflix’s serving platform fetches facts by calling the owning microservices and keeps snapshots for training; it is not shown writing their stores. GenRec may not mint a title outside the catalog. Uber’s gateway redacts personal data before a third-party model and restores it on the way back. Shopify publishes no new service cut. The Model Context Protocol standardizes the tool port and requires consent; it does not decide which database the tool may write.</w:t>
      </w:r>
    </w:p>
    <w:p>
      <w:r>
        <w:rPr>
          <w:rFonts w:ascii="Calibri" w:hAnsi="Calibri" w:eastAsia="Calibri"/>
          <w:b/>
          <w:i w:val="0"/>
          <w:color w:val="1F4E79"/>
          <w:sz w:val="22"/>
        </w:rPr>
        <w:t xml:space="preserve">For the AI question. </w:t>
      </w:r>
      <w:r>
        <w:rPr>
          <w:rFonts w:ascii="Calibri" w:hAnsi="Calibri" w:eastAsia="Calibri"/>
          <w:b w:val="0"/>
          <w:i w:val="0"/>
          <w:sz w:val="22"/>
        </w:rPr>
        <w:t>No case in the set shows a model drawing the boundary that shipped, or a retrieval index becoming the writable store of several services. The new failure is an invented identity or field.</w:t>
      </w:r>
    </w:p>
    <w:p>
      <w:pPr>
        <w:pStyle w:val="Heading3"/>
      </w:pPr>
      <w:r>
        <w:rPr>
          <w:rFonts w:ascii="Segoe UI Emoji" w:hAnsi="Segoe UI Emoji" w:eastAsia="Segoe UI Emoji" w:cs="Segoe UI Emoji"/>
        </w:rPr>
        <w:t xml:space="preserve">📡 </w:t>
      </w:r>
      <w:r>
        <w:t>Chapter 19. Communication: the pipes</w:t>
      </w:r>
    </w:p>
    <w:p>
      <w:pPr>
        <w:spacing w:after="40"/>
      </w:pPr>
      <w:r>
        <w:rPr>
          <w:rFonts w:ascii="Calibri" w:hAnsi="Calibri" w:eastAsia="Calibri"/>
          <w:b w:val="0"/>
          <w:i/>
          <w:color w:val="464E5A"/>
          <w:sz w:val="20"/>
        </w:rPr>
        <w:t>Answer 17 of the working series  ·  17-what-ai-changed.docx</w:t>
      </w:r>
    </w:p>
    <w:p>
      <w:r>
        <w:rPr>
          <w:rFonts w:ascii="Calibri" w:hAnsi="Calibri" w:eastAsia="Calibri"/>
          <w:b w:val="0"/>
          <w:i w:val="0"/>
          <w:sz w:val="22"/>
        </w:rPr>
        <w:t>Netflix’s Switchboard put model routing on the request path: ten to twenty milliseconds, a single point of failure, a noisy neighbor, more than thirty clients, a million requests a second. Lightbulb leaves the policy in a control plane; Envoy, already on egress, routes the payload. Uber’s GenAI Gateway (11 July 2024) is one OpenAI-shaped door that redacts, meters, and audits, for about thirty teams and sixteen million queries a month. Envoy AI Gateway 0.1 (25 February 2025) is that door as a reverse proxy. Agent2Agent (9 April 2025) is a pipe between opaque agents, with no published compensation. QRRA’s cross-service saga is Step Functions, designed by the team.</w:t>
      </w:r>
    </w:p>
    <w:p>
      <w:r>
        <w:rPr>
          <w:rFonts w:ascii="Calibri" w:hAnsi="Calibri" w:eastAsia="Calibri"/>
          <w:b/>
          <w:i w:val="0"/>
          <w:color w:val="1F4E79"/>
          <w:sz w:val="22"/>
        </w:rPr>
        <w:t xml:space="preserve">For the AI question. </w:t>
      </w:r>
      <w:r>
        <w:rPr>
          <w:rFonts w:ascii="Calibri" w:hAnsi="Calibri" w:eastAsia="Calibri"/>
          <w:b w:val="0"/>
          <w:i w:val="0"/>
          <w:sz w:val="22"/>
        </w:rPr>
        <w:t>The dumb pipe was broken on the model path and, in the measured case, restored. A prompt chain is still not a saga. An inter-agent protocol is not yet the broker of these estates.</w:t>
      </w:r>
    </w:p>
    <w:p>
      <w:pPr>
        <w:pStyle w:val="Heading3"/>
      </w:pPr>
      <w:r>
        <w:rPr>
          <w:rFonts w:ascii="Segoe UI Emoji" w:hAnsi="Segoe UI Emoji" w:eastAsia="Segoe UI Emoji" w:cs="Segoe UI Emoji"/>
        </w:rPr>
        <w:t xml:space="preserve">☸️ </w:t>
      </w:r>
      <w:r>
        <w:t>Chapter 20. Operations and the platform</w:t>
      </w:r>
    </w:p>
    <w:p>
      <w:pPr>
        <w:spacing w:after="40"/>
      </w:pPr>
      <w:r>
        <w:rPr>
          <w:rFonts w:ascii="Calibri" w:hAnsi="Calibri" w:eastAsia="Calibri"/>
          <w:b w:val="0"/>
          <w:i/>
          <w:color w:val="464E5A"/>
          <w:sz w:val="20"/>
        </w:rPr>
        <w:t>Answer 17 of the working series  ·  17-what-ai-changed.docx</w:t>
      </w:r>
    </w:p>
    <w:p>
      <w:r>
        <w:rPr>
          <w:rFonts w:ascii="Calibri" w:hAnsi="Calibri" w:eastAsia="Calibri"/>
          <w:b w:val="0"/>
          <w:i w:val="0"/>
          <w:sz w:val="22"/>
        </w:rPr>
        <w:t>Netflix runs LLMs inside the existing serving estate (17 July 2026): small models in process, GPU models as a remote call, vLLM as the paved path from summer 2025, a version pin the author may not override, red-black deploys unless a breaking interface forces a versioned overlap and a second GPU bill. A requested JSON mode was silently dropped. Cold start is absorbed by materializing models on a file system the scheduler will wait for. Reliability for the model hop lives in the platform and in Envoy, the residence the mesh already had. GitHub’s agent cannot start the pipeline until a person approves it. A hosted model and a self-hosted one share an API; the supplier changes, the aggregate does not.</w:t>
      </w:r>
    </w:p>
    <w:p>
      <w:r>
        <w:rPr>
          <w:rFonts w:ascii="Calibri" w:hAnsi="Calibri" w:eastAsia="Calibri"/>
          <w:b/>
          <w:i w:val="0"/>
          <w:color w:val="1F4E79"/>
          <w:sz w:val="22"/>
        </w:rPr>
        <w:t xml:space="preserve">For the AI question. </w:t>
      </w:r>
      <w:r>
        <w:rPr>
          <w:rFonts w:ascii="Calibri" w:hAnsi="Calibri" w:eastAsia="Calibri"/>
          <w:b w:val="0"/>
          <w:i w:val="0"/>
          <w:sz w:val="22"/>
        </w:rPr>
        <w:t>The platform loop, the domain loop, and the decode loop are three subjects. The patterns moved onto the model hop. They did not become optional, and they did not move the business boundary.</w:t>
      </w:r>
    </w:p>
    <w:p>
      <w:pPr>
        <w:pStyle w:val="Heading3"/>
      </w:pPr>
      <w:r>
        <w:rPr>
          <w:rFonts w:ascii="Segoe UI Emoji" w:hAnsi="Segoe UI Emoji" w:eastAsia="Segoe UI Emoji" w:cs="Segoe UI Emoji"/>
        </w:rPr>
        <w:t xml:space="preserve">⚖️ </w:t>
      </w:r>
      <w:r>
        <w:t>Chapter 21. The tradeoffs, and what moved</w:t>
      </w:r>
    </w:p>
    <w:p>
      <w:pPr>
        <w:spacing w:after="40"/>
      </w:pPr>
      <w:r>
        <w:rPr>
          <w:rFonts w:ascii="Calibri" w:hAnsi="Calibri" w:eastAsia="Calibri"/>
          <w:b w:val="0"/>
          <w:i/>
          <w:color w:val="464E5A"/>
          <w:sz w:val="20"/>
        </w:rPr>
        <w:t>Answer 17 of the working series  ·  17-what-ai-changed.docx</w:t>
      </w:r>
    </w:p>
    <w:p>
      <w:r>
        <w:rPr>
          <w:rFonts w:ascii="Calibri" w:hAnsi="Calibri" w:eastAsia="Calibri"/>
          <w:b w:val="0"/>
          <w:i w:val="0"/>
          <w:sz w:val="22"/>
        </w:rPr>
        <w:t>The new price is the token: GenRec’s serving cost tracks context length, and a prompt cut to about a third cut that cost by about as much. Uber’s redactor taxes latency and answer quality. GitHub meters a premium request per model request from 4 June 2025. Shopify’s tax is a judge that must be kept correlated with people, because a leaky reward is gamed. The old price returned as Switchboard’s milliseconds and was unwound off the data path. Characteristic by characteristic, the business architecture holds. Governance of the model runtime centralized. The reliability patterns moved again, onto the model hop. The data patterns in evidence are still designed by hand.</w:t>
      </w:r>
    </w:p>
    <w:p>
      <w:r>
        <w:rPr>
          <w:rFonts w:ascii="Calibri" w:hAnsi="Calibri" w:eastAsia="Calibri"/>
          <w:b/>
          <w:i w:val="0"/>
          <w:color w:val="1F4E79"/>
          <w:sz w:val="22"/>
        </w:rPr>
        <w:t xml:space="preserve">For the AI question. </w:t>
      </w:r>
      <w:r>
        <w:rPr>
          <w:rFonts w:ascii="Calibri" w:hAnsi="Calibri" w:eastAsia="Calibri"/>
          <w:b w:val="0"/>
          <w:i w:val="0"/>
          <w:sz w:val="22"/>
        </w:rPr>
        <w:t>What acquired an architecture is the call to the model. The cost of that call now sits inside the microservice premium. People still draw the boundary, own the fact, and accept the change.</w:t>
      </w:r>
    </w:p>
    <w:p>
      <w:pPr>
        <w:pStyle w:val="Heading2"/>
      </w:pPr>
      <w:r>
        <w:rPr>
          <w:rFonts w:ascii="Segoe UI Emoji" w:hAnsi="Segoe UI Emoji" w:eastAsia="Segoe UI Emoji" w:cs="Segoe UI Emoji"/>
        </w:rPr>
        <w:t xml:space="preserve">🧾 </w:t>
      </w:r>
      <w:r>
        <w:t>Concordance: the nine characteristics of 2014 against the series</w:t>
      </w:r>
    </w:p>
    <w:p>
      <w:r>
        <w:rPr>
          <w:rFonts w:ascii="Calibri" w:hAnsi="Calibri" w:eastAsia="Calibri"/>
          <w:b w:val="0"/>
          <w:i w:val="0"/>
          <w:sz w:val="22"/>
        </w:rPr>
        <w:t>The history chapter’s rule is that a claim has to say which characteristic of the 2014 article moved. This table says where the series treats each characteristic, by chapter in reading order, and turns each into the question Part VII must answer for it.</w:t>
      </w:r>
    </w:p>
    <w:tbl>
      <w:tblPr>
        <w:tblW w:type="auto" w:w="0"/>
        <w:tblLayout w:type="autofit"/>
        <w:tblLook w:firstColumn="1" w:firstRow="1" w:lastColumn="0" w:lastRow="0" w:noHBand="0" w:noVBand="1" w:val="04A0"/>
      </w:tblPr>
      <w:tblGrid>
        <w:gridCol w:w="3173"/>
        <w:gridCol w:w="3173"/>
        <w:gridCol w:w="3173"/>
      </w:tblGrid>
      <w:tr>
        <w:tc>
          <w:tcPr>
            <w:tcW w:type="dxa" w:w="2041"/>
            <w:shd w:fill="1F4E79"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i w:val="0"/>
                <w:color w:val="FFFFFF"/>
                <w:sz w:val="20"/>
              </w:rPr>
              <w:t>Characteristic (Lewis and Fowler, 2014)</w:t>
            </w:r>
          </w:p>
        </w:tc>
        <w:tc>
          <w:tcPr>
            <w:tcW w:type="dxa" w:w="3742"/>
            <w:shd w:fill="1F4E79"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i w:val="0"/>
                <w:color w:val="FFFFFF"/>
                <w:sz w:val="20"/>
              </w:rPr>
              <w:t>Where the baseline treats it</w:t>
            </w:r>
          </w:p>
        </w:tc>
        <w:tc>
          <w:tcPr>
            <w:tcW w:type="dxa" w:w="3742"/>
            <w:shd w:fill="1F4E79"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i w:val="0"/>
                <w:color w:val="FFFFFF"/>
                <w:sz w:val="20"/>
              </w:rPr>
              <w:t>What Part VII must ask</w:t>
            </w:r>
          </w:p>
        </w:tc>
      </w:tr>
      <w:tr>
        <w:tc>
          <w:tcPr>
            <w:tcW w:type="dxa" w:w="2041"/>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Services as components</w:t>
            </w:r>
          </w:p>
        </w:tc>
        <w:tc>
          <w:tcPr>
            <w:tcW w:type="dxa" w:w="3742"/>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3 (the list); 4–6 (the deployment patterns: the unit that starts and scales); 10–11 (the pod and the dyno as the instance); 13 (a function as a fragment smaller than a context).</w:t>
            </w:r>
          </w:p>
        </w:tc>
        <w:tc>
          <w:tcPr>
            <w:tcW w:type="dxa" w:w="3742"/>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Is a generated unit an independently replaceable process with a private release, or a function or module too small to be a bounded context?</w:t>
            </w:r>
          </w:p>
        </w:tc>
      </w:tr>
      <w:tr>
        <w:tc>
          <w:tcPr>
            <w:tcW w:type="dxa" w:w="2041"/>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Organized around business capabilities</w:t>
            </w:r>
          </w:p>
        </w:tc>
        <w:tc>
          <w:tcPr>
            <w:tcW w:type="dxa" w:w="3742"/>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4–6 (decompose by capability, by subdomain, service per team); 7 (bounded context and aggregate); 8 (EventStorming, capability maps, Assemblage’s forces).</w:t>
            </w:r>
          </w:p>
        </w:tc>
        <w:tc>
          <w:tcPr>
            <w:tcW w:type="dxa" w:w="3742"/>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Did the boundary a tool proposed follow a capability, a subdomain, a team, or a table — and was the split evaluated against the forces, or only generated?</w:t>
            </w:r>
          </w:p>
        </w:tc>
      </w:tr>
      <w:tr>
        <w:tc>
          <w:tcPr>
            <w:tcW w:type="dxa" w:w="2041"/>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Products not projects</w:t>
            </w:r>
          </w:p>
        </w:tc>
        <w:tc>
          <w:tcPr>
            <w:tcW w:type="dxa" w:w="3742"/>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3 (“you build it, you run it”); 6 (two-pizza teams, squads, full-cycle developers); 8–9 (Team Topologies: stream-aligned and platform teams); 12 (the control plane as X-as-a-service).</w:t>
            </w:r>
          </w:p>
        </w:tc>
        <w:tc>
          <w:tcPr>
            <w:tcW w:type="dxa" w:w="3742"/>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Who owns a service, its schema, and its pager when a tool wrote it — and who owns the agent, its tools, and its ledger?</w:t>
            </w:r>
          </w:p>
        </w:tc>
      </w:tr>
      <w:tr>
        <w:tc>
          <w:tcPr>
            <w:tcW w:type="dxa" w:w="2041"/>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Smart endpoints and dumb pipes</w:t>
            </w:r>
          </w:p>
        </w:tc>
        <w:tc>
          <w:tcPr>
            <w:tcW w:type="dxa" w:w="3742"/>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3–4 (the rejection of the enterprise service bus); 6 (messaging; gateways that attract logic); 8 (Enterprise Integration Patterns, the Reactive Manifesto); 13 (iPaaS as a smart bus); 16 (the orchestrator as the smart pipe the 2014 article warned against).</w:t>
            </w:r>
          </w:p>
        </w:tc>
        <w:tc>
          <w:tcPr>
            <w:tcW w:type="dxa" w:w="3742"/>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Does an AI orchestrator, manager, or router become the place where business logic and cross-context calls collect — the smart pipe of 2014 by another name?</w:t>
            </w:r>
          </w:p>
        </w:tc>
      </w:tr>
      <w:tr>
        <w:tc>
          <w:tcPr>
            <w:tcW w:type="dxa" w:w="2041"/>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Decentralized governance</w:t>
            </w:r>
          </w:p>
        </w:tc>
        <w:tc>
          <w:tcPr>
            <w:tcW w:type="dxa" w:w="3742"/>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3 (each service chooses its stack); 6 (a chassis per runtime against the sidecar; polyglot persistence); 13 (database and identity bought as services).</w:t>
            </w:r>
          </w:p>
        </w:tc>
        <w:tc>
          <w:tcPr>
            <w:tcW w:type="dxa" w:w="3742"/>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Does the AI tooling centralize choices — one model endpoint, one framework, one index — that the style left to each team?</w:t>
            </w:r>
          </w:p>
        </w:tc>
      </w:tr>
      <w:tr>
        <w:tc>
          <w:tcPr>
            <w:tcW w:type="dxa" w:w="2041"/>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Decentralized data management</w:t>
            </w:r>
          </w:p>
        </w:tc>
        <w:tc>
          <w:tcPr>
            <w:tcW w:type="dxa" w:w="3742"/>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4–6 (database per service, saga, CQRS, event sourcing, outbox); 7 (the aggregate; foreign references by identity); 8 (Data Mesh); 12 (the tenant as a second cut); 16 (the retrieval index as a read model, or as a shared database).</w:t>
            </w:r>
          </w:p>
        </w:tc>
        <w:tc>
          <w:tcPr>
            <w:tcW w:type="dxa" w:w="3742"/>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Does a retrieval index, an agent’s memory, or a tool’s write path become a shared database, or a private write path behind the owning service’s back?</w:t>
            </w:r>
          </w:p>
        </w:tc>
      </w:tr>
      <w:tr>
        <w:tc>
          <w:tcPr>
            <w:tcW w:type="dxa" w:w="2041"/>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Infrastructure automation</w:t>
            </w:r>
          </w:p>
        </w:tc>
        <w:tc>
          <w:tcPr>
            <w:tcW w:type="dxa" w:w="3742"/>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3 (Docker, Kubernetes, the CNCF); 6 (deployment platforms, templates, Spinnaker); 9–11 (the platform team’s paved road); 15 (configuration management, transition, operations).</w:t>
            </w:r>
          </w:p>
        </w:tc>
        <w:tc>
          <w:tcPr>
            <w:tcW w:type="dxa" w:w="3742"/>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What does AI add to the pipeline, and does a generated manifest, Procfile, or container file count as an architecture decision or only as packaging?</w:t>
            </w:r>
          </w:p>
        </w:tc>
      </w:tr>
      <w:tr>
        <w:tc>
          <w:tcPr>
            <w:tcW w:type="dxa" w:w="2041"/>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Design for failure</w:t>
            </w:r>
          </w:p>
        </w:tc>
        <w:tc>
          <w:tcPr>
            <w:tcW w:type="dxa" w:w="3742"/>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3 (Netflix OSS); 4–6 (circuit breaker, timeout, retry, bulkhead; the move from Hystrix to Envoy and the mesh); 10 (probes, disruption budgets, the narrow bulkhead); 16 (what an implementation owes the baseline).</w:t>
            </w:r>
          </w:p>
        </w:tc>
        <w:tc>
          <w:tcPr>
            <w:tcW w:type="dxa" w:w="3742"/>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Are model calls treated as remote calls that fail — timeouts, breakers, a bulkhead on the shared model — and where do those patterns live: code, chassis, or sidecar?</w:t>
            </w:r>
          </w:p>
        </w:tc>
      </w:tr>
      <w:tr>
        <w:tc>
          <w:tcPr>
            <w:tcW w:type="dxa" w:w="2041"/>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Evolutionary design</w:t>
            </w:r>
          </w:p>
        </w:tc>
        <w:tc>
          <w:tcPr>
            <w:tcW w:type="dxa" w:w="3742"/>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4–6 (strangler application, anti-corruption layer); 3 and 6 (the modular monolith and the documented returns); 15 (the maintenance categories and the life-cycle model).</w:t>
            </w:r>
          </w:p>
        </w:tc>
        <w:tc>
          <w:tcPr>
            <w:tcW w:type="dxa" w:w="3742"/>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Does AI change how services are split, replaced, and retired, and which maintenance category a tool’s change belongs to — with the corrective change still owed?</w:t>
            </w:r>
          </w:p>
        </w:tc>
      </w:tr>
    </w:tbl>
    <w:p/>
    <w:p>
      <w:pPr>
        <w:spacing w:before="40" w:after="200"/>
      </w:pPr>
      <w:r>
        <w:rPr>
          <w:rFonts w:ascii="Calibri" w:hAnsi="Calibri" w:eastAsia="Calibri"/>
          <w:b w:val="0"/>
          <w:i/>
          <w:color w:val="5A626E"/>
          <w:sz w:val="19"/>
        </w:rPr>
        <w:t>Source: the nine characteristics are from James Lewis and Martin Fowler, “Microservices,” 25 March 2014, as recorded in Chapter 3. Chapter references are to the reading order of this front matter.</w:t>
      </w:r>
    </w:p>
    <w:p>
      <w:pPr>
        <w:pStyle w:val="Heading2"/>
      </w:pPr>
      <w:r>
        <w:rPr>
          <w:rFonts w:ascii="Segoe UI Emoji" w:hAnsi="Segoe UI Emoji" w:eastAsia="Segoe UI Emoji" w:cs="Segoe UI Emoji"/>
        </w:rPr>
        <w:t xml:space="preserve">🕰️ </w:t>
      </w:r>
      <w:r>
        <w:t>Master timeline</w:t>
      </w:r>
    </w:p>
    <w:p>
      <w:r>
        <w:rPr>
          <w:rFonts w:ascii="Calibri" w:hAnsi="Calibri" w:eastAsia="Calibri"/>
          <w:b w:val="0"/>
          <w:i w:val="0"/>
          <w:sz w:val="22"/>
        </w:rPr>
        <w:t>The history chapter’s timeline runs from 1968 to 2021 and stops before the AI wave. This one gathers the dates recorded anywhere in the chapters into five periods, so the baseline period and the period the research asks about can be seen side by side. Each row names the chapter, in reading order, that records the date; the source for each date is in that chapter. Dates are publication or public-event dates, and the history chapter’s marking of the Bezos mandate as a secondary account is kept.</w:t>
      </w:r>
    </w:p>
    <w:p>
      <w:pPr>
        <w:pStyle w:val="Heading3"/>
      </w:pPr>
      <w:r>
        <w:rPr>
          <w:rFonts w:ascii="Segoe UI Emoji" w:hAnsi="Segoe UI Emoji" w:eastAsia="Segoe UI Emoji" w:cs="Segoe UI Emoji"/>
        </w:rPr>
        <w:t xml:space="preserve">📅 </w:t>
      </w:r>
      <w:r>
        <w:t>Roots, before the practice (1968–2000)</w:t>
      </w:r>
    </w:p>
    <w:tbl>
      <w:tblPr>
        <w:tblW w:type="auto" w:w="0"/>
        <w:tblLayout w:type="autofit"/>
        <w:tblLook w:firstColumn="1" w:firstRow="1" w:lastColumn="0" w:lastRow="0" w:noHBand="0" w:noVBand="1" w:val="04A0"/>
      </w:tblPr>
      <w:tblGrid>
        <w:gridCol w:w="3173"/>
        <w:gridCol w:w="3173"/>
        <w:gridCol w:w="3173"/>
      </w:tblGrid>
      <w:tr>
        <w:tc>
          <w:tcPr>
            <w:tcW w:type="dxa" w:w="1644"/>
            <w:shd w:fill="1F4E79"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i w:val="0"/>
                <w:color w:val="FFFFFF"/>
                <w:sz w:val="20"/>
              </w:rPr>
              <w:t>Date</w:t>
            </w:r>
          </w:p>
        </w:tc>
        <w:tc>
          <w:tcPr>
            <w:tcW w:type="dxa" w:w="6803"/>
            <w:shd w:fill="1F4E79"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i w:val="0"/>
                <w:color w:val="FFFFFF"/>
                <w:sz w:val="20"/>
              </w:rPr>
              <w:t>Event</w:t>
            </w:r>
          </w:p>
        </w:tc>
        <w:tc>
          <w:tcPr>
            <w:tcW w:type="dxa" w:w="1077"/>
            <w:shd w:fill="1F4E79"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i w:val="0"/>
                <w:color w:val="FFFFFF"/>
                <w:sz w:val="20"/>
              </w:rPr>
              <w:t>Chapter</w:t>
            </w:r>
          </w:p>
        </w:tc>
      </w:tr>
      <w:tr>
        <w:tc>
          <w:tcPr>
            <w:tcW w:type="dxa" w:w="1644"/>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1968</w:t>
            </w:r>
          </w:p>
        </w:tc>
        <w:tc>
          <w:tcPr>
            <w:tcW w:type="dxa" w:w="680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Melvin Conway, “How Do Committees Invent?”: a system copies the communication structure of the organization that designs it.</w:t>
            </w:r>
          </w:p>
        </w:tc>
        <w:tc>
          <w:tcPr>
            <w:tcW w:type="dxa" w:w="1077"/>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3</w:t>
            </w:r>
          </w:p>
        </w:tc>
      </w:tr>
      <w:tr>
        <w:tc>
          <w:tcPr>
            <w:tcW w:type="dxa" w:w="1644"/>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1970</w:t>
            </w:r>
          </w:p>
        </w:tc>
        <w:tc>
          <w:tcPr>
            <w:tcW w:type="dxa" w:w="680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Winston Royce’s paper draws the sequential pass later called the waterfall, and argues that a single pass is risky.</w:t>
            </w:r>
          </w:p>
        </w:tc>
        <w:tc>
          <w:tcPr>
            <w:tcW w:type="dxa" w:w="1077"/>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15</w:t>
            </w:r>
          </w:p>
        </w:tc>
      </w:tr>
      <w:tr>
        <w:tc>
          <w:tcPr>
            <w:tcW w:type="dxa" w:w="1644"/>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1973</w:t>
            </w:r>
          </w:p>
        </w:tc>
        <w:tc>
          <w:tcPr>
            <w:tcW w:type="dxa" w:w="680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Carl Hewitt’s actor model; later Erlang, Akka, Orleans, and Fowler’s 2014 remark that microservices resemble Erlang programs.</w:t>
            </w:r>
          </w:p>
        </w:tc>
        <w:tc>
          <w:tcPr>
            <w:tcW w:type="dxa" w:w="1077"/>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8</w:t>
            </w:r>
          </w:p>
        </w:tc>
      </w:tr>
      <w:tr>
        <w:tc>
          <w:tcPr>
            <w:tcW w:type="dxa" w:w="1644"/>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1978</w:t>
            </w:r>
          </w:p>
        </w:tc>
        <w:tc>
          <w:tcPr>
            <w:tcW w:type="dxa" w:w="680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Unix pipes and programs that do one thing, as the history chapter records the root.</w:t>
            </w:r>
          </w:p>
        </w:tc>
        <w:tc>
          <w:tcPr>
            <w:tcW w:type="dxa" w:w="1077"/>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3</w:t>
            </w:r>
          </w:p>
        </w:tc>
      </w:tr>
      <w:tr>
        <w:tc>
          <w:tcPr>
            <w:tcW w:type="dxa" w:w="1644"/>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May 1986</w:t>
            </w:r>
          </w:p>
        </w:tc>
        <w:tc>
          <w:tcPr>
            <w:tcW w:type="dxa" w:w="680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Barry Boehm, the spiral model, IEEE Computer: each cycle driven by the risk it reduces.</w:t>
            </w:r>
          </w:p>
        </w:tc>
        <w:tc>
          <w:tcPr>
            <w:tcW w:type="dxa" w:w="1077"/>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15</w:t>
            </w:r>
          </w:p>
        </w:tc>
      </w:tr>
      <w:tr>
        <w:tc>
          <w:tcPr>
            <w:tcW w:type="dxa" w:w="1644"/>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1987</w:t>
            </w:r>
          </w:p>
        </w:tc>
        <w:tc>
          <w:tcPr>
            <w:tcW w:type="dxa" w:w="680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Hector Garcia-Molina and Kenneth Salem, “Sagas,” SIGMOD: a sequence of local transactions with compensations.</w:t>
            </w:r>
          </w:p>
        </w:tc>
        <w:tc>
          <w:tcPr>
            <w:tcW w:type="dxa" w:w="1077"/>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4, 6</w:t>
            </w:r>
          </w:p>
        </w:tc>
      </w:tr>
      <w:tr>
        <w:tc>
          <w:tcPr>
            <w:tcW w:type="dxa" w:w="1644"/>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12 April 1996</w:t>
            </w:r>
          </w:p>
        </w:tc>
        <w:tc>
          <w:tcPr>
            <w:tcW w:type="dxa" w:w="680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Gartner, Roy Schulte and Yefim Natis, “Service Oriented Architectures.”</w:t>
            </w:r>
          </w:p>
        </w:tc>
        <w:tc>
          <w:tcPr>
            <w:tcW w:type="dxa" w:w="1077"/>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3</w:t>
            </w:r>
          </w:p>
        </w:tc>
      </w:tr>
      <w:tr>
        <w:tc>
          <w:tcPr>
            <w:tcW w:type="dxa" w:w="1644"/>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1998</w:t>
            </w:r>
          </w:p>
        </w:tc>
        <w:tc>
          <w:tcPr>
            <w:tcW w:type="dxa" w:w="680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Amazon, the Distributed Computing Manifesto; published by Werner Vogels in 2022.</w:t>
            </w:r>
          </w:p>
        </w:tc>
        <w:tc>
          <w:tcPr>
            <w:tcW w:type="dxa" w:w="1077"/>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3</w:t>
            </w:r>
          </w:p>
        </w:tc>
      </w:tr>
      <w:tr>
        <w:tc>
          <w:tcPr>
            <w:tcW w:type="dxa" w:w="1644"/>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2000</w:t>
            </w:r>
          </w:p>
        </w:tc>
        <w:tc>
          <w:tcPr>
            <w:tcW w:type="dxa" w:w="680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Roy Fielding’s REST dissertation; Eric Brewer’s CAP conjecture.</w:t>
            </w:r>
          </w:p>
        </w:tc>
        <w:tc>
          <w:tcPr>
            <w:tcW w:type="dxa" w:w="1077"/>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3</w:t>
            </w:r>
          </w:p>
        </w:tc>
      </w:tr>
    </w:tbl>
    <w:p/>
    <w:p>
      <w:pPr>
        <w:pStyle w:val="Heading3"/>
      </w:pPr>
      <w:r>
        <w:rPr>
          <w:rFonts w:ascii="Segoe UI Emoji" w:hAnsi="Segoe UI Emoji" w:eastAsia="Segoe UI Emoji" w:cs="Segoe UI Emoji"/>
        </w:rPr>
        <w:t xml:space="preserve">📅 </w:t>
      </w:r>
      <w:r>
        <w:t>The practice before the name (2001–2013)</w:t>
      </w:r>
    </w:p>
    <w:tbl>
      <w:tblPr>
        <w:tblW w:type="auto" w:w="0"/>
        <w:tblLayout w:type="autofit"/>
        <w:tblLook w:firstColumn="1" w:firstRow="1" w:lastColumn="0" w:lastRow="0" w:noHBand="0" w:noVBand="1" w:val="04A0"/>
      </w:tblPr>
      <w:tblGrid>
        <w:gridCol w:w="3173"/>
        <w:gridCol w:w="3173"/>
        <w:gridCol w:w="3173"/>
      </w:tblGrid>
      <w:tr>
        <w:tc>
          <w:tcPr>
            <w:tcW w:type="dxa" w:w="1644"/>
            <w:shd w:fill="1F4E79"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i w:val="0"/>
                <w:color w:val="FFFFFF"/>
                <w:sz w:val="20"/>
              </w:rPr>
              <w:t>Date</w:t>
            </w:r>
          </w:p>
        </w:tc>
        <w:tc>
          <w:tcPr>
            <w:tcW w:type="dxa" w:w="6803"/>
            <w:shd w:fill="1F4E79"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i w:val="0"/>
                <w:color w:val="FFFFFF"/>
                <w:sz w:val="20"/>
              </w:rPr>
              <w:t>Event</w:t>
            </w:r>
          </w:p>
        </w:tc>
        <w:tc>
          <w:tcPr>
            <w:tcW w:type="dxa" w:w="1077"/>
            <w:shd w:fill="1F4E79"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i w:val="0"/>
                <w:color w:val="FFFFFF"/>
                <w:sz w:val="20"/>
              </w:rPr>
              <w:t>Chapter</w:t>
            </w:r>
          </w:p>
        </w:tc>
      </w:tr>
      <w:tr>
        <w:tc>
          <w:tcPr>
            <w:tcW w:type="dxa" w:w="1644"/>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2001</w:t>
            </w:r>
          </w:p>
        </w:tc>
        <w:tc>
          <w:tcPr>
            <w:tcW w:type="dxa" w:w="680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The Agile Manifesto: working software, frequent delivery, changing requirements as a normal input.</w:t>
            </w:r>
          </w:p>
        </w:tc>
        <w:tc>
          <w:tcPr>
            <w:tcW w:type="dxa" w:w="1077"/>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15</w:t>
            </w:r>
          </w:p>
        </w:tc>
      </w:tr>
      <w:tr>
        <w:tc>
          <w:tcPr>
            <w:tcW w:type="dxa" w:w="1644"/>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2001–2006</w:t>
            </w:r>
          </w:p>
        </w:tc>
        <w:tc>
          <w:tcPr>
            <w:tcW w:type="dxa" w:w="680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Amazon moves off the two-tier monolith; Vogels, ACM Queue, 2006: encapsulate data with the logic that uses it, no outside database access.</w:t>
            </w:r>
          </w:p>
        </w:tc>
        <w:tc>
          <w:tcPr>
            <w:tcW w:type="dxa" w:w="1077"/>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3</w:t>
            </w:r>
          </w:p>
        </w:tc>
      </w:tr>
      <w:tr>
        <w:tc>
          <w:tcPr>
            <w:tcW w:type="dxa" w:w="1644"/>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c. 2002</w:t>
            </w:r>
          </w:p>
        </w:tc>
        <w:tc>
          <w:tcPr>
            <w:tcW w:type="dxa" w:w="680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The Bezos interface mandate, in Steve Yegge’s 2011 retelling; marked as secondary.</w:t>
            </w:r>
          </w:p>
        </w:tc>
        <w:tc>
          <w:tcPr>
            <w:tcW w:type="dxa" w:w="1077"/>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3</w:t>
            </w:r>
          </w:p>
        </w:tc>
      </w:tr>
      <w:tr>
        <w:tc>
          <w:tcPr>
            <w:tcW w:type="dxa" w:w="1644"/>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2003</w:t>
            </w:r>
          </w:p>
        </w:tc>
        <w:tc>
          <w:tcPr>
            <w:tcW w:type="dxa" w:w="680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Eric Evans, Domain-Driven Design. On 10 October, Gregor Hohpe and Bobby Woolf, Enterprise Integration Patterns, sixty-five patterns. Barroso, Dean, and Hölzle describe Google’s search cluster, one role per host.</w:t>
            </w:r>
          </w:p>
        </w:tc>
        <w:tc>
          <w:tcPr>
            <w:tcW w:type="dxa" w:w="1077"/>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7, 8, 6</w:t>
            </w:r>
          </w:p>
        </w:tc>
      </w:tr>
      <w:tr>
        <w:tc>
          <w:tcPr>
            <w:tcW w:type="dxa" w:w="1644"/>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2004</w:t>
            </w:r>
          </w:p>
        </w:tc>
        <w:tc>
          <w:tcPr>
            <w:tcW w:type="dxa" w:w="680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Martin Fowler names the strangler fig. Amazon SQS in beta (generally available 2006, before EC2).</w:t>
            </w:r>
          </w:p>
        </w:tc>
        <w:tc>
          <w:tcPr>
            <w:tcW w:type="dxa" w:w="1077"/>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6</w:t>
            </w:r>
          </w:p>
        </w:tc>
      </w:tr>
      <w:tr>
        <w:tc>
          <w:tcPr>
            <w:tcW w:type="dxa" w:w="1644"/>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2005</w:t>
            </w:r>
          </w:p>
        </w:tc>
        <w:tc>
          <w:tcPr>
            <w:tcW w:type="dxa" w:w="680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Alistair Cockburn, hexagonal architecture (ports and adapters).</w:t>
            </w:r>
          </w:p>
        </w:tc>
        <w:tc>
          <w:tcPr>
            <w:tcW w:type="dxa" w:w="1077"/>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7</w:t>
            </w:r>
          </w:p>
        </w:tc>
      </w:tr>
      <w:tr>
        <w:tc>
          <w:tcPr>
            <w:tcW w:type="dxa" w:w="1644"/>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2006</w:t>
            </w:r>
          </w:p>
        </w:tc>
        <w:tc>
          <w:tcPr>
            <w:tcW w:type="dxa" w:w="680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Amazon Web Services launches. Dan North, “Introducing BDD.” Ian Robinson names consumer-driven contracts.</w:t>
            </w:r>
          </w:p>
        </w:tc>
        <w:tc>
          <w:tcPr>
            <w:tcW w:type="dxa" w:w="1077"/>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3, 8, 6</w:t>
            </w:r>
          </w:p>
        </w:tc>
      </w:tr>
      <w:tr>
        <w:tc>
          <w:tcPr>
            <w:tcW w:type="dxa" w:w="1644"/>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2007</w:t>
            </w:r>
          </w:p>
        </w:tc>
        <w:tc>
          <w:tcPr>
            <w:tcW w:type="dxa" w:w="680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Michael Nygard, Release It!: circuit breaker and bulkhead. Heroku. Facebook builds Thrift.</w:t>
            </w:r>
          </w:p>
        </w:tc>
        <w:tc>
          <w:tcPr>
            <w:tcW w:type="dxa" w:w="1077"/>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4, 6</w:t>
            </w:r>
          </w:p>
        </w:tc>
      </w:tr>
      <w:tr>
        <w:tc>
          <w:tcPr>
            <w:tcW w:type="dxa" w:w="1644"/>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August 2008</w:t>
            </w:r>
          </w:p>
        </w:tc>
        <w:tc>
          <w:tcPr>
            <w:tcW w:type="dxa" w:w="680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The Netflix data-center outage that starts the move to AWS and to fine-grained SOA.</w:t>
            </w:r>
          </w:p>
        </w:tc>
        <w:tc>
          <w:tcPr>
            <w:tcW w:type="dxa" w:w="1077"/>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3</w:t>
            </w:r>
          </w:p>
        </w:tc>
      </w:tr>
      <w:tr>
        <w:tc>
          <w:tcPr>
            <w:tcW w:type="dxa" w:w="1644"/>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2008</w:t>
            </w:r>
          </w:p>
        </w:tc>
        <w:tc>
          <w:tcPr>
            <w:tcW w:type="dxa" w:w="680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Jeffrey Palermo, onion architecture. Yahoo’s ZooKeeper. Google App Engine. Sentry begins as a Django plugin.</w:t>
            </w:r>
          </w:p>
        </w:tc>
        <w:tc>
          <w:tcPr>
            <w:tcW w:type="dxa" w:w="1077"/>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8, 6</w:t>
            </w:r>
          </w:p>
        </w:tc>
      </w:tr>
      <w:tr>
        <w:tc>
          <w:tcPr>
            <w:tcW w:type="dxa" w:w="1644"/>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2009</w:t>
            </w:r>
          </w:p>
        </w:tc>
        <w:tc>
          <w:tcPr>
            <w:tcW w:type="dxa" w:w="680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AWS Elastic Load Balancing with Auto Scaling: the cloud’s first server-side discovery.</w:t>
            </w:r>
          </w:p>
        </w:tc>
        <w:tc>
          <w:tcPr>
            <w:tcW w:type="dxa" w:w="1077"/>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6</w:t>
            </w:r>
          </w:p>
        </w:tc>
      </w:tr>
      <w:tr>
        <w:tc>
          <w:tcPr>
            <w:tcW w:type="dxa" w:w="1644"/>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2010</w:t>
            </w:r>
          </w:p>
        </w:tc>
        <w:tc>
          <w:tcPr>
            <w:tcW w:type="dxa" w:w="680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Kafka is built at LinkedIn. Google’s Dapper paper. Jez Humble and David Farley, Continuous Delivery. Facebook’s BigPipe. Etsy’s Deployinator puts deploy lines on graphs.</w:t>
            </w:r>
          </w:p>
        </w:tc>
        <w:tc>
          <w:tcPr>
            <w:tcW w:type="dxa" w:w="1077"/>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6, 15</w:t>
            </w:r>
          </w:p>
        </w:tc>
      </w:tr>
      <w:tr>
        <w:tc>
          <w:tcPr>
            <w:tcW w:type="dxa" w:w="1644"/>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2011</w:t>
            </w:r>
          </w:p>
        </w:tc>
        <w:tc>
          <w:tcPr>
            <w:tcW w:type="dxa" w:w="680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Heroku’s Twelve-Factor App. The Venice workshop (May) where the term is first discussed. Cloud Foundry announced. Dropwizard, the first widely used chassis. Fowler’s account of the LMAX architecture. Vernon’s aggregate-design essays. Twitter Finagle. Netflix’s customer-facing product is in AWS by about year end, baked as images (“Building with Legos”).</w:t>
            </w:r>
          </w:p>
        </w:tc>
        <w:tc>
          <w:tcPr>
            <w:tcW w:type="dxa" w:w="1077"/>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3, 7, 8, 9, 11, 6</w:t>
            </w:r>
          </w:p>
        </w:tc>
      </w:tr>
      <w:tr>
        <w:tc>
          <w:tcPr>
            <w:tcW w:type="dxa" w:w="1644"/>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September 2011</w:t>
            </w:r>
          </w:p>
        </w:tc>
        <w:tc>
          <w:tcPr>
            <w:tcW w:type="dxa" w:w="680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NIST Special Publication 800-145, The NIST Definition of Cloud Computing: five properties, three service models, four deployment models.</w:t>
            </w:r>
          </w:p>
        </w:tc>
        <w:tc>
          <w:tcPr>
            <w:tcW w:type="dxa" w:w="1077"/>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9, 13</w:t>
            </w:r>
          </w:p>
        </w:tc>
      </w:tr>
      <w:tr>
        <w:tc>
          <w:tcPr>
            <w:tcW w:type="dxa" w:w="1644"/>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March 2012</w:t>
            </w:r>
          </w:p>
        </w:tc>
        <w:tc>
          <w:tcPr>
            <w:tcW w:type="dxa" w:w="680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James Lewis, “Microservices — Java, the Unix Way,” 33rd Degree, Kraków; Fred George speaks on the same ideas.</w:t>
            </w:r>
          </w:p>
        </w:tc>
        <w:tc>
          <w:tcPr>
            <w:tcW w:type="dxa" w:w="1077"/>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3</w:t>
            </w:r>
          </w:p>
        </w:tc>
      </w:tr>
      <w:tr>
        <w:tc>
          <w:tcPr>
            <w:tcW w:type="dxa" w:w="1644"/>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May 2012</w:t>
            </w:r>
          </w:p>
        </w:tc>
        <w:tc>
          <w:tcPr>
            <w:tcW w:type="dxa" w:w="680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The Venice group settles on the name “microservices.”</w:t>
            </w:r>
          </w:p>
        </w:tc>
        <w:tc>
          <w:tcPr>
            <w:tcW w:type="dxa" w:w="1077"/>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3</w:t>
            </w:r>
          </w:p>
        </w:tc>
      </w:tr>
      <w:tr>
        <w:tc>
          <w:tcPr>
            <w:tcW w:type="dxa" w:w="1644"/>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2012</w:t>
            </w:r>
          </w:p>
        </w:tc>
        <w:tc>
          <w:tcPr>
            <w:tcW w:type="dxa" w:w="680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Netflix Eureka and Hystrix; Twitter Zipkin; Netflix Asgard and Archaius. Raffi Krikorian, “Timelines at Scale.” Kniberg and Ivarsson, “Scaling Agile @ Spotify.” OAuth 2.0 (RFC 6749). Gary Bernhardt, “Boundaries.” Robert C. Martin describes clean architecture. LinkedIn’s Databus paper. Google’s hermetic servers.</w:t>
            </w:r>
          </w:p>
        </w:tc>
        <w:tc>
          <w:tcPr>
            <w:tcW w:type="dxa" w:w="1077"/>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6, 8</w:t>
            </w:r>
          </w:p>
        </w:tc>
      </w:tr>
      <w:tr>
        <w:tc>
          <w:tcPr>
            <w:tcW w:type="dxa" w:w="1644"/>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20 March 2013</w:t>
            </w:r>
          </w:p>
        </w:tc>
        <w:tc>
          <w:tcPr>
            <w:tcW w:type="dxa" w:w="680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Docker is open-sourced, after being shown at PyCon: a portable unit of deployment.</w:t>
            </w:r>
          </w:p>
        </w:tc>
        <w:tc>
          <w:tcPr>
            <w:tcW w:type="dxa" w:w="1077"/>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3</w:t>
            </w:r>
          </w:p>
        </w:tc>
      </w:tr>
      <w:tr>
        <w:tc>
          <w:tcPr>
            <w:tcW w:type="dxa" w:w="1644"/>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2013</w:t>
            </w:r>
          </w:p>
        </w:tc>
        <w:tc>
          <w:tcPr>
            <w:tcW w:type="dxa" w:w="680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Vaughn Vernon, Implementing Domain-Driven Design. Alberto Brandolini introduces EventStorming (November). Jay Kreps, “The Log.” Netflix Zuul, EVCache, and the three-layer personalization architecture. Pact. Airbnb SmartStack. AWS CloudTrail. etcd. HashiCorp Packer.</w:t>
            </w:r>
          </w:p>
        </w:tc>
        <w:tc>
          <w:tcPr>
            <w:tcW w:type="dxa" w:w="1077"/>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7, 8, 6</w:t>
            </w:r>
          </w:p>
        </w:tc>
      </w:tr>
    </w:tbl>
    <w:p/>
    <w:p>
      <w:pPr>
        <w:pStyle w:val="Heading3"/>
      </w:pPr>
      <w:r>
        <w:rPr>
          <w:rFonts w:ascii="Segoe UI Emoji" w:hAnsi="Segoe UI Emoji" w:eastAsia="Segoe UI Emoji" w:cs="Segoe UI Emoji"/>
        </w:rPr>
        <w:t xml:space="preserve">📅 </w:t>
      </w:r>
      <w:r>
        <w:t>The named style and its platform (2014–2017)</w:t>
      </w:r>
    </w:p>
    <w:tbl>
      <w:tblPr>
        <w:tblW w:type="auto" w:w="0"/>
        <w:tblLayout w:type="autofit"/>
        <w:tblLook w:firstColumn="1" w:firstRow="1" w:lastColumn="0" w:lastRow="0" w:noHBand="0" w:noVBand="1" w:val="04A0"/>
      </w:tblPr>
      <w:tblGrid>
        <w:gridCol w:w="3173"/>
        <w:gridCol w:w="3173"/>
        <w:gridCol w:w="3173"/>
      </w:tblGrid>
      <w:tr>
        <w:tc>
          <w:tcPr>
            <w:tcW w:type="dxa" w:w="1644"/>
            <w:shd w:fill="1F4E79"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i w:val="0"/>
                <w:color w:val="FFFFFF"/>
                <w:sz w:val="20"/>
              </w:rPr>
              <w:t>Date</w:t>
            </w:r>
          </w:p>
        </w:tc>
        <w:tc>
          <w:tcPr>
            <w:tcW w:type="dxa" w:w="6803"/>
            <w:shd w:fill="1F4E79"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i w:val="0"/>
                <w:color w:val="FFFFFF"/>
                <w:sz w:val="20"/>
              </w:rPr>
              <w:t>Event</w:t>
            </w:r>
          </w:p>
        </w:tc>
        <w:tc>
          <w:tcPr>
            <w:tcW w:type="dxa" w:w="1077"/>
            <w:shd w:fill="1F4E79"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i w:val="0"/>
                <w:color w:val="FFFFFF"/>
                <w:sz w:val="20"/>
              </w:rPr>
              <w:t>Chapter</w:t>
            </w:r>
          </w:p>
        </w:tc>
      </w:tr>
      <w:tr>
        <w:tc>
          <w:tcPr>
            <w:tcW w:type="dxa" w:w="1644"/>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18 March 2014</w:t>
            </w:r>
          </w:p>
        </w:tc>
        <w:tc>
          <w:tcPr>
            <w:tcW w:type="dxa" w:w="680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Chris Richardson dates his pattern language at microservices.io.</w:t>
            </w:r>
          </w:p>
        </w:tc>
        <w:tc>
          <w:tcPr>
            <w:tcW w:type="dxa" w:w="1077"/>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4</w:t>
            </w:r>
          </w:p>
        </w:tc>
      </w:tr>
      <w:tr>
        <w:tc>
          <w:tcPr>
            <w:tcW w:type="dxa" w:w="1644"/>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25 March 2014</w:t>
            </w:r>
          </w:p>
        </w:tc>
        <w:tc>
          <w:tcPr>
            <w:tcW w:type="dxa" w:w="680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James Lewis and Martin Fowler, “Microservices,” martinfowler.com: the nine characteristics.</w:t>
            </w:r>
          </w:p>
        </w:tc>
        <w:tc>
          <w:tcPr>
            <w:tcW w:type="dxa" w:w="1077"/>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3</w:t>
            </w:r>
          </w:p>
        </w:tc>
      </w:tr>
      <w:tr>
        <w:tc>
          <w:tcPr>
            <w:tcW w:type="dxa" w:w="1644"/>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6 and 10 June 2014</w:t>
            </w:r>
          </w:p>
        </w:tc>
        <w:tc>
          <w:tcPr>
            <w:tcW w:type="dxa" w:w="680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Kubernetes: first commit; Eric Brewer announces it at DockerCon.</w:t>
            </w:r>
          </w:p>
        </w:tc>
        <w:tc>
          <w:tcPr>
            <w:tcW w:type="dxa" w:w="1077"/>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3, 10</w:t>
            </w:r>
          </w:p>
        </w:tc>
      </w:tr>
      <w:tr>
        <w:tc>
          <w:tcPr>
            <w:tcW w:type="dxa" w:w="1644"/>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2014</w:t>
            </w:r>
          </w:p>
        </w:tc>
        <w:tc>
          <w:tcPr>
            <w:tcW w:type="dxa" w:w="680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AWS Lambda announced. The Reactive Manifesto, second version. Spring Boot 1.0 and Spring Boot Actuator. HashiCorp Consul. Netflix Prana, the early sidecar, and Netflix Atlas.</w:t>
            </w:r>
          </w:p>
        </w:tc>
        <w:tc>
          <w:tcPr>
            <w:tcW w:type="dxa" w:w="1077"/>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6, 8</w:t>
            </w:r>
          </w:p>
        </w:tc>
      </w:tr>
      <w:tr>
        <w:tc>
          <w:tcPr>
            <w:tcW w:type="dxa" w:w="1644"/>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2015</w:t>
            </w:r>
          </w:p>
        </w:tc>
        <w:tc>
          <w:tcPr>
            <w:tcW w:type="dxa" w:w="680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Sam Newman, Building Microservices, and his write-up of backends for frontends. JSON Web Token (RFC 7519). Google’s Borg paper. Netflix Spinnaker. gRPC (1.0 in 2016). Amazon API Gateway; Kong. Testcontainers. Shopify Semian. Twitter Diffy. Marc Brooker, “Exponential Backoff And Jitter.” Prometheus released. Spring Cloud Netflix.</w:t>
            </w:r>
          </w:p>
        </w:tc>
        <w:tc>
          <w:tcPr>
            <w:tcW w:type="dxa" w:w="1077"/>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3, 6</w:t>
            </w:r>
          </w:p>
        </w:tc>
      </w:tr>
      <w:tr>
        <w:tc>
          <w:tcPr>
            <w:tcW w:type="dxa" w:w="1644"/>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13 May 2015</w:t>
            </w:r>
          </w:p>
        </w:tc>
        <w:tc>
          <w:tcPr>
            <w:tcW w:type="dxa" w:w="680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Martin Fowler, “MicroservicePremium”: distribution adds complexity and risk.</w:t>
            </w:r>
          </w:p>
        </w:tc>
        <w:tc>
          <w:tcPr>
            <w:tcW w:type="dxa" w:w="1077"/>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3</w:t>
            </w:r>
          </w:p>
        </w:tc>
      </w:tr>
      <w:tr>
        <w:tc>
          <w:tcPr>
            <w:tcW w:type="dxa" w:w="1644"/>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21 July 2015</w:t>
            </w:r>
          </w:p>
        </w:tc>
        <w:tc>
          <w:tcPr>
            <w:tcW w:type="dxa" w:w="680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Kubernetes 1.0 and the Cloud Native Computing Foundation are announced together.</w:t>
            </w:r>
          </w:p>
        </w:tc>
        <w:tc>
          <w:tcPr>
            <w:tcW w:type="dxa" w:w="1077"/>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3, 9, 10</w:t>
            </w:r>
          </w:p>
        </w:tc>
      </w:tr>
      <w:tr>
        <w:tc>
          <w:tcPr>
            <w:tcW w:type="dxa" w:w="1644"/>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January 2016</w:t>
            </w:r>
          </w:p>
        </w:tc>
        <w:tc>
          <w:tcPr>
            <w:tcW w:type="dxa" w:w="680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Netflix closes its last data center, ending a migration begun in 2009.</w:t>
            </w:r>
          </w:p>
        </w:tc>
        <w:tc>
          <w:tcPr>
            <w:tcW w:type="dxa" w:w="1077"/>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6</w:t>
            </w:r>
          </w:p>
        </w:tc>
      </w:tr>
      <w:tr>
        <w:tc>
          <w:tcPr>
            <w:tcW w:type="dxa" w:w="1644"/>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February 2016</w:t>
            </w:r>
          </w:p>
        </w:tc>
        <w:tc>
          <w:tcPr>
            <w:tcW w:type="dxa" w:w="680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Buoyant releases Linkerd; the term “service mesh.”</w:t>
            </w:r>
          </w:p>
        </w:tc>
        <w:tc>
          <w:tcPr>
            <w:tcW w:type="dxa" w:w="1077"/>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3, 6</w:t>
            </w:r>
          </w:p>
        </w:tc>
      </w:tr>
      <w:tr>
        <w:tc>
          <w:tcPr>
            <w:tcW w:type="dxa" w:w="1644"/>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2016</w:t>
            </w:r>
          </w:p>
        </w:tc>
        <w:tc>
          <w:tcPr>
            <w:tcW w:type="dxa" w:w="680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Lyft open-sources Envoy. Red Hat’s Debezium. Prometheus joins the CNCF. Burns and Oppenheimer name the container patterns (sidecar, ambassador, adapter). “Borg, Omega, and Kubernetes,” ACM Queue. AWS Step Functions. Netflix Conductor (December). GitHub Scientist. Zalando Nakadi and Mosaic. Nick Craver’s Stack Overflow architecture; Hansson’s “The Majestic Monolith.” Thoughtworks puts micro-frontends on the radar (November). Spring Cloud Contract. Google’s SRE book. SQS FIFO queues. EVCache replicates across regions.</w:t>
            </w:r>
          </w:p>
        </w:tc>
        <w:tc>
          <w:tcPr>
            <w:tcW w:type="dxa" w:w="1077"/>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6, 8, 10</w:t>
            </w:r>
          </w:p>
        </w:tc>
      </w:tr>
      <w:tr>
        <w:tc>
          <w:tcPr>
            <w:tcW w:type="dxa" w:w="1644"/>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May 2017</w:t>
            </w:r>
          </w:p>
        </w:tc>
        <w:tc>
          <w:tcPr>
            <w:tcW w:type="dxa" w:w="680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Istio, from Google, IBM, and Lyft: Envoy as data plane, a control plane for policy.</w:t>
            </w:r>
          </w:p>
        </w:tc>
        <w:tc>
          <w:tcPr>
            <w:tcW w:type="dxa" w:w="1077"/>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3, 6</w:t>
            </w:r>
          </w:p>
        </w:tc>
      </w:tr>
      <w:tr>
        <w:tc>
          <w:tcPr>
            <w:tcW w:type="dxa" w:w="1644"/>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2017</w:t>
            </w:r>
          </w:p>
        </w:tc>
        <w:tc>
          <w:tcPr>
            <w:tcW w:type="dxa" w:w="680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Uber Cadence. Stripe’s idempotency keys (Brandur Leach). Kafka 0.11’s idempotent producer. Netflix’s event-sourced Downloads license service. Jaeger open-sourced. Robert C. Martin, Clean Architecture (book). Cloudflare Workers.</w:t>
            </w:r>
          </w:p>
        </w:tc>
        <w:tc>
          <w:tcPr>
            <w:tcW w:type="dxa" w:w="1077"/>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6, 8</w:t>
            </w:r>
          </w:p>
        </w:tc>
      </w:tr>
    </w:tbl>
    <w:p/>
    <w:p>
      <w:pPr>
        <w:pStyle w:val="Heading3"/>
      </w:pPr>
      <w:r>
        <w:rPr>
          <w:rFonts w:ascii="Segoe UI Emoji" w:hAnsi="Segoe UI Emoji" w:eastAsia="Segoe UI Emoji" w:cs="Segoe UI Emoji"/>
        </w:rPr>
        <w:t xml:space="preserve">📅 </w:t>
      </w:r>
      <w:r>
        <w:t>The correction and the consolidation (2018–2023)</w:t>
      </w:r>
    </w:p>
    <w:tbl>
      <w:tblPr>
        <w:tblW w:type="auto" w:w="0"/>
        <w:tblLayout w:type="autofit"/>
        <w:tblLook w:firstColumn="1" w:firstRow="1" w:lastColumn="0" w:lastRow="0" w:noHBand="0" w:noVBand="1" w:val="04A0"/>
      </w:tblPr>
      <w:tblGrid>
        <w:gridCol w:w="3173"/>
        <w:gridCol w:w="3173"/>
        <w:gridCol w:w="3173"/>
      </w:tblGrid>
      <w:tr>
        <w:tc>
          <w:tcPr>
            <w:tcW w:type="dxa" w:w="1644"/>
            <w:shd w:fill="1F4E79"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i w:val="0"/>
                <w:color w:val="FFFFFF"/>
                <w:sz w:val="20"/>
              </w:rPr>
              <w:t>Date</w:t>
            </w:r>
          </w:p>
        </w:tc>
        <w:tc>
          <w:tcPr>
            <w:tcW w:type="dxa" w:w="6803"/>
            <w:shd w:fill="1F4E79"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i w:val="0"/>
                <w:color w:val="FFFFFF"/>
                <w:sz w:val="20"/>
              </w:rPr>
              <w:t>Event</w:t>
            </w:r>
          </w:p>
        </w:tc>
        <w:tc>
          <w:tcPr>
            <w:tcW w:type="dxa" w:w="1077"/>
            <w:shd w:fill="1F4E79"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i w:val="0"/>
                <w:color w:val="FFFFFF"/>
                <w:sz w:val="20"/>
              </w:rPr>
              <w:t>Chapter</w:t>
            </w:r>
          </w:p>
        </w:tc>
      </w:tr>
      <w:tr>
        <w:tc>
          <w:tcPr>
            <w:tcW w:type="dxa" w:w="1644"/>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2018</w:t>
            </w:r>
          </w:p>
        </w:tc>
        <w:tc>
          <w:tcPr>
            <w:tcW w:type="dxa" w:w="680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Chris Richardson, Microservices Patterns (Manning).</w:t>
            </w:r>
          </w:p>
        </w:tc>
        <w:tc>
          <w:tcPr>
            <w:tcW w:type="dxa" w:w="1077"/>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4</w:t>
            </w:r>
          </w:p>
        </w:tc>
      </w:tr>
      <w:tr>
        <w:tc>
          <w:tcPr>
            <w:tcW w:type="dxa" w:w="1644"/>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2018</w:t>
            </w:r>
          </w:p>
        </w:tc>
        <w:tc>
          <w:tcPr>
            <w:tcW w:type="dxa" w:w="680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Segment, “Goodbye Microservices”: about 140 services folded back into one. Jessica Tai on Airbnb’s migration off Monorail; SpinalTap. Netflix, “Full Cycle Developers.” Zuul 2. Linkerd 2. Grafana Loki. Hystrix enters maintenance. Uber M3. Netflix Titus open-sourced. Consul Connect and AWS App Mesh. Knative. Peter Vosshall on minimizing blast radius. Airbnb moves to Kubernetes.</w:t>
            </w:r>
          </w:p>
        </w:tc>
        <w:tc>
          <w:tcPr>
            <w:tcW w:type="dxa" w:w="1077"/>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6</w:t>
            </w:r>
          </w:p>
        </w:tc>
      </w:tr>
      <w:tr>
        <w:tc>
          <w:tcPr>
            <w:tcW w:type="dxa" w:w="1644"/>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2019</w:t>
            </w:r>
          </w:p>
        </w:tc>
        <w:tc>
          <w:tcPr>
            <w:tcW w:type="dxa" w:w="680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Skelton and Pais, Team Topologies. Zhamak Dehghani, Data Mesh. Cam Jackson, “Micro Frontends.”</w:t>
            </w:r>
          </w:p>
        </w:tc>
        <w:tc>
          <w:tcPr>
            <w:tcW w:type="dxa" w:w="1077"/>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8</w:t>
            </w:r>
          </w:p>
        </w:tc>
      </w:tr>
      <w:tr>
        <w:tc>
          <w:tcPr>
            <w:tcW w:type="dxa" w:w="1644"/>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2019</w:t>
            </w:r>
          </w:p>
        </w:tc>
        <w:tc>
          <w:tcPr>
            <w:tcW w:type="dxa" w:w="680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Temporal is forked from Cadence. Shopify, “Deconstructing the Monolith.” Monzo at about 1,500 services, with network isolation between them. Dapr. OpenTelemetry. Debezium’s outbox event router. Netflix DBLog.</w:t>
            </w:r>
          </w:p>
        </w:tc>
        <w:tc>
          <w:tcPr>
            <w:tcW w:type="dxa" w:w="1077"/>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6</w:t>
            </w:r>
          </w:p>
        </w:tc>
      </w:tr>
      <w:tr>
        <w:tc>
          <w:tcPr>
            <w:tcW w:type="dxa" w:w="1644"/>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October 2019</w:t>
            </w:r>
          </w:p>
        </w:tc>
        <w:tc>
          <w:tcPr>
            <w:tcW w:type="dxa" w:w="680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Amazon’s consumer business turns off its last Oracle database: about 7,500 databases moved, team by team, behind service interfaces.</w:t>
            </w:r>
          </w:p>
        </w:tc>
        <w:tc>
          <w:tcPr>
            <w:tcW w:type="dxa" w:w="1077"/>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6</w:t>
            </w:r>
          </w:p>
        </w:tc>
      </w:tr>
      <w:tr>
        <w:tc>
          <w:tcPr>
            <w:tcW w:type="dxa" w:w="1644"/>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2020</w:t>
            </w:r>
          </w:p>
        </w:tc>
        <w:tc>
          <w:tcPr>
            <w:tcW w:type="dxa" w:w="680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Uber’s domain-oriented microservice architecture, above about 2,200 services. Shopify Packwerk. Spotify Backstage. Netflix GraphQL Federation and Edgar. W3C Trace Context. webpack Module Federation. Uber’s API gateway. gRPC xDS.</w:t>
            </w:r>
          </w:p>
        </w:tc>
        <w:tc>
          <w:tcPr>
            <w:tcW w:type="dxa" w:w="1077"/>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6</w:t>
            </w:r>
          </w:p>
        </w:tc>
      </w:tr>
      <w:tr>
        <w:tc>
          <w:tcPr>
            <w:tcW w:type="dxa" w:w="1644"/>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2020</w:t>
            </w:r>
          </w:p>
        </w:tc>
        <w:tc>
          <w:tcPr>
            <w:tcW w:type="dxa" w:w="680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Patrick Lewis and colleagues, retrieval-augmented generation, NeurIPS.</w:t>
            </w:r>
          </w:p>
        </w:tc>
        <w:tc>
          <w:tcPr>
            <w:tcW w:type="dxa" w:w="1077"/>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16</w:t>
            </w:r>
          </w:p>
        </w:tc>
      </w:tr>
      <w:tr>
        <w:tc>
          <w:tcPr>
            <w:tcW w:type="dxa" w:w="1644"/>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2015–2021</w:t>
            </w:r>
          </w:p>
        </w:tc>
        <w:tc>
          <w:tcPr>
            <w:tcW w:type="dxa" w:w="680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Monolith-first advice and the modular monolith: the correction before the AI wave.</w:t>
            </w:r>
          </w:p>
        </w:tc>
        <w:tc>
          <w:tcPr>
            <w:tcW w:type="dxa" w:w="1077"/>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3</w:t>
            </w:r>
          </w:p>
        </w:tc>
      </w:tr>
      <w:tr>
        <w:tc>
          <w:tcPr>
            <w:tcW w:type="dxa" w:w="1644"/>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2021</w:t>
            </w:r>
          </w:p>
        </w:tc>
        <w:tc>
          <w:tcPr>
            <w:tcW w:type="dxa" w:w="680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Hofer and Schwentner, Domain Storytelling. Netflix Passport: edge authentication and token-agnostic identity propagation.</w:t>
            </w:r>
          </w:p>
        </w:tc>
        <w:tc>
          <w:tcPr>
            <w:tcW w:type="dxa" w:w="1077"/>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8, 6</w:t>
            </w:r>
          </w:p>
        </w:tc>
      </w:tr>
      <w:tr>
        <w:tc>
          <w:tcPr>
            <w:tcW w:type="dxa" w:w="1644"/>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2022</w:t>
            </w:r>
          </w:p>
        </w:tc>
        <w:tc>
          <w:tcPr>
            <w:tcW w:type="dxa" w:w="680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Werner Vogels publishes the 1998 Distributed Computing Manifesto.</w:t>
            </w:r>
          </w:p>
        </w:tc>
        <w:tc>
          <w:tcPr>
            <w:tcW w:type="dxa" w:w="1077"/>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3</w:t>
            </w:r>
          </w:p>
        </w:tc>
      </w:tr>
      <w:tr>
        <w:tc>
          <w:tcPr>
            <w:tcW w:type="dxa" w:w="1644"/>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9 February and 26 March 2023</w:t>
            </w:r>
          </w:p>
        </w:tc>
        <w:tc>
          <w:tcPr>
            <w:tcW w:type="dxa" w:w="680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Richardson introduces Assemblage, then dark energy and dark matter: the ten forces.</w:t>
            </w:r>
          </w:p>
        </w:tc>
        <w:tc>
          <w:tcPr>
            <w:tcW w:type="dxa" w:w="1077"/>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8</w:t>
            </w:r>
          </w:p>
        </w:tc>
      </w:tr>
      <w:tr>
        <w:tc>
          <w:tcPr>
            <w:tcW w:type="dxa" w:w="1644"/>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2023</w:t>
            </w:r>
          </w:p>
        </w:tc>
        <w:tc>
          <w:tcPr>
            <w:tcW w:type="dxa" w:w="680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Amazon Prime Video moves a serverless monitoring pipeline into one process, reporting about a 90 percent cost drop. Netflix steps back from Conductor. Kubernetes 1.28 adds native sidecar containers. ISO/IEC 25010:2023 replaces the 2011 quality model.</w:t>
            </w:r>
          </w:p>
        </w:tc>
        <w:tc>
          <w:tcPr>
            <w:tcW w:type="dxa" w:w="1077"/>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6, 14</w:t>
            </w:r>
          </w:p>
        </w:tc>
      </w:tr>
    </w:tbl>
    <w:p/>
    <w:p>
      <w:pPr>
        <w:pStyle w:val="Heading3"/>
      </w:pPr>
      <w:r>
        <w:rPr>
          <w:rFonts w:ascii="Segoe UI Emoji" w:hAnsi="Segoe UI Emoji" w:eastAsia="Segoe UI Emoji" w:cs="Segoe UI Emoji"/>
        </w:rPr>
        <w:t xml:space="preserve">📅 </w:t>
      </w:r>
      <w:r>
        <w:t>The AI wave and the current standards (2024–2026)</w:t>
      </w:r>
    </w:p>
    <w:tbl>
      <w:tblPr>
        <w:tblW w:type="auto" w:w="0"/>
        <w:tblLayout w:type="autofit"/>
        <w:tblLook w:firstColumn="1" w:firstRow="1" w:lastColumn="0" w:lastRow="0" w:noHBand="0" w:noVBand="1" w:val="04A0"/>
      </w:tblPr>
      <w:tblGrid>
        <w:gridCol w:w="3173"/>
        <w:gridCol w:w="3173"/>
        <w:gridCol w:w="3173"/>
      </w:tblGrid>
      <w:tr>
        <w:tc>
          <w:tcPr>
            <w:tcW w:type="dxa" w:w="1644"/>
            <w:shd w:fill="1F4E79"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i w:val="0"/>
                <w:color w:val="FFFFFF"/>
                <w:sz w:val="20"/>
              </w:rPr>
              <w:t>Date</w:t>
            </w:r>
          </w:p>
        </w:tc>
        <w:tc>
          <w:tcPr>
            <w:tcW w:type="dxa" w:w="6803"/>
            <w:shd w:fill="1F4E79"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i w:val="0"/>
                <w:color w:val="FFFFFF"/>
                <w:sz w:val="20"/>
              </w:rPr>
              <w:t>Event</w:t>
            </w:r>
          </w:p>
        </w:tc>
        <w:tc>
          <w:tcPr>
            <w:tcW w:type="dxa" w:w="1077"/>
            <w:shd w:fill="1F4E79"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i w:val="0"/>
                <w:color w:val="FFFFFF"/>
                <w:sz w:val="20"/>
              </w:rPr>
              <w:t>Chapter</w:t>
            </w:r>
          </w:p>
        </w:tc>
      </w:tr>
      <w:tr>
        <w:tc>
          <w:tcPr>
            <w:tcW w:type="dxa" w:w="1644"/>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26 February 2024</w:t>
            </w:r>
          </w:p>
        </w:tc>
        <w:tc>
          <w:tcPr>
            <w:tcW w:type="dxa" w:w="680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CNCF Cloud Native Definition v1.1, approved by the TOC and Governing Board: microservices one item on a non-exhaustive list.</w:t>
            </w:r>
          </w:p>
        </w:tc>
        <w:tc>
          <w:tcPr>
            <w:tcW w:type="dxa" w:w="1077"/>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9</w:t>
            </w:r>
          </w:p>
        </w:tc>
      </w:tr>
      <w:tr>
        <w:tc>
          <w:tcPr>
            <w:tcW w:type="dxa" w:w="1644"/>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15 October 2024</w:t>
            </w:r>
          </w:p>
        </w:tc>
        <w:tc>
          <w:tcPr>
            <w:tcW w:type="dxa" w:w="680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SWEBOK Guide Version 4.0: software architecture, software security, and software engineering operations become knowledge areas of their own.</w:t>
            </w:r>
          </w:p>
        </w:tc>
        <w:tc>
          <w:tcPr>
            <w:tcW w:type="dxa" w:w="1077"/>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15</w:t>
            </w:r>
          </w:p>
        </w:tc>
      </w:tr>
      <w:tr>
        <w:tc>
          <w:tcPr>
            <w:tcW w:type="dxa" w:w="1644"/>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November 2024</w:t>
            </w:r>
          </w:p>
        </w:tc>
        <w:tc>
          <w:tcPr>
            <w:tcW w:type="dxa" w:w="680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Adam Fourney and colleagues, Magentic-One, Microsoft Research MSR-TR-2024-47: the task ledger and the orchestrator.</w:t>
            </w:r>
          </w:p>
        </w:tc>
        <w:tc>
          <w:tcPr>
            <w:tcW w:type="dxa" w:w="1077"/>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16</w:t>
            </w:r>
          </w:p>
        </w:tc>
      </w:tr>
      <w:tr>
        <w:tc>
          <w:tcPr>
            <w:tcW w:type="dxa" w:w="1644"/>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19 December 2024</w:t>
            </w:r>
          </w:p>
        </w:tc>
        <w:tc>
          <w:tcPr>
            <w:tcW w:type="dxa" w:w="680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Anthropic, “Building effective agents”: workflows with fixed code paths against agents that direct their own tools.</w:t>
            </w:r>
          </w:p>
        </w:tc>
        <w:tc>
          <w:tcPr>
            <w:tcW w:type="dxa" w:w="1077"/>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16</w:t>
            </w:r>
          </w:p>
        </w:tc>
      </w:tr>
      <w:tr>
        <w:tc>
          <w:tcPr>
            <w:tcW w:type="dxa" w:w="1644"/>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August 2026</w:t>
            </w:r>
          </w:p>
        </w:tc>
        <w:tc>
          <w:tcPr>
            <w:tcW w:type="dxa" w:w="680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SWEBOK Guide Version 4.0a, edited by Hironori Washizaki. A revision, ISO/IEC/IEEE 12207:2026, has been issued; the series uses the 2017 text.</w:t>
            </w:r>
          </w:p>
        </w:tc>
        <w:tc>
          <w:tcPr>
            <w:tcW w:type="dxa" w:w="1077"/>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15</w:t>
            </w:r>
          </w:p>
        </w:tc>
      </w:tr>
      <w:tr>
        <w:tc>
          <w:tcPr>
            <w:tcW w:type="dxa" w:w="1644"/>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29 September 2026</w:t>
            </w:r>
          </w:p>
        </w:tc>
        <w:tc>
          <w:tcPr>
            <w:tcW w:type="dxa" w:w="680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microservices.io and the Azure Architecture Center’s “AI Agent Orchestration Patterns” consulted; Answers 1–16 of this series written.</w:t>
            </w:r>
          </w:p>
        </w:tc>
        <w:tc>
          <w:tcPr>
            <w:tcW w:type="dxa" w:w="1077"/>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1, 4, 16</w:t>
            </w:r>
          </w:p>
        </w:tc>
      </w:tr>
      <w:tr>
        <w:tc>
          <w:tcPr>
            <w:tcW w:type="dxa" w:w="1644"/>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11 July 2024</w:t>
            </w:r>
          </w:p>
        </w:tc>
        <w:tc>
          <w:tcPr>
            <w:tcW w:type="dxa" w:w="680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Uber publishes the GenAI Gateway: one OpenAI-shaped door, a security review, and PII redaction before a third-party model.</w:t>
            </w:r>
          </w:p>
        </w:tc>
        <w:tc>
          <w:tcPr>
            <w:tcW w:type="dxa" w:w="1077"/>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19, 20</w:t>
            </w:r>
          </w:p>
        </w:tc>
      </w:tr>
      <w:tr>
        <w:tc>
          <w:tcPr>
            <w:tcW w:type="dxa" w:w="1644"/>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25 November 2024</w:t>
            </w:r>
          </w:p>
        </w:tc>
        <w:tc>
          <w:tcPr>
            <w:tcW w:type="dxa" w:w="680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Anthropic open-sources the Model Context Protocol: a JSON-RPC port for tools, with user consent before a tool runs.</w:t>
            </w:r>
          </w:p>
        </w:tc>
        <w:tc>
          <w:tcPr>
            <w:tcW w:type="dxa" w:w="1077"/>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18, 19</w:t>
            </w:r>
          </w:p>
        </w:tc>
      </w:tr>
      <w:tr>
        <w:tc>
          <w:tcPr>
            <w:tcW w:type="dxa" w:w="1644"/>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25 February 2025</w:t>
            </w:r>
          </w:p>
        </w:tc>
        <w:tc>
          <w:tcPr>
            <w:tcW w:type="dxa" w:w="680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Bloomberg and Tetrate release Envoy AI Gateway 0.1: one reverse proxy and one API in front of generative-AI providers.</w:t>
            </w:r>
          </w:p>
        </w:tc>
        <w:tc>
          <w:tcPr>
            <w:tcW w:type="dxa" w:w="1077"/>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19, 20</w:t>
            </w:r>
          </w:p>
        </w:tc>
      </w:tr>
      <w:tr>
        <w:tc>
          <w:tcPr>
            <w:tcW w:type="dxa" w:w="1644"/>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9 April 2025</w:t>
            </w:r>
          </w:p>
        </w:tc>
        <w:tc>
          <w:tcPr>
            <w:tcW w:type="dxa" w:w="680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Google announces Agent2Agent: opaque agents publish capabilities and collaborate across vendors.</w:t>
            </w:r>
          </w:p>
        </w:tc>
        <w:tc>
          <w:tcPr>
            <w:tcW w:type="dxa" w:w="1077"/>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19</w:t>
            </w:r>
          </w:p>
        </w:tc>
      </w:tr>
      <w:tr>
        <w:tc>
          <w:tcPr>
            <w:tcW w:type="dxa" w:w="1644"/>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19 May 2025</w:t>
            </w:r>
          </w:p>
        </w:tc>
        <w:tc>
          <w:tcPr>
            <w:tcW w:type="dxa" w:w="680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GitHub’s Copilot coding agent opens a draft pull request from an assigned issue. Workflows wait for a person’s approval. From 4 June 2025 each model request is metered.</w:t>
            </w:r>
          </w:p>
        </w:tc>
        <w:tc>
          <w:tcPr>
            <w:tcW w:type="dxa" w:w="1077"/>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17, 20, 21</w:t>
            </w:r>
          </w:p>
        </w:tc>
      </w:tr>
      <w:tr>
        <w:tc>
          <w:tcPr>
            <w:tcW w:type="dxa" w:w="1644"/>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16 July 2025</w:t>
            </w:r>
          </w:p>
        </w:tc>
        <w:tc>
          <w:tcPr>
            <w:tcW w:type="dxa" w:w="680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AWS’s account of QRRA: an Event Storming workshop draws six bounded contexts; Amazon Q Developer is shown producing infrastructure-as-code in three days.</w:t>
            </w:r>
          </w:p>
        </w:tc>
        <w:tc>
          <w:tcPr>
            <w:tcW w:type="dxa" w:w="1077"/>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17, 18</w:t>
            </w:r>
          </w:p>
        </w:tc>
      </w:tr>
      <w:tr>
        <w:tc>
          <w:tcPr>
            <w:tcW w:type="dxa" w:w="1644"/>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26 August 2025</w:t>
            </w:r>
          </w:p>
        </w:tc>
        <w:tc>
          <w:tcPr>
            <w:tcW w:type="dxa" w:w="680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Shopify publishes Sidekick: one agent, just-in-time instructions, and a judge a model learned to game.</w:t>
            </w:r>
          </w:p>
        </w:tc>
        <w:tc>
          <w:tcPr>
            <w:tcW w:type="dxa" w:w="1077"/>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17, 21</w:t>
            </w:r>
          </w:p>
        </w:tc>
      </w:tr>
      <w:tr>
        <w:tc>
          <w:tcPr>
            <w:tcW w:type="dxa" w:w="1644"/>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1 May 2026</w:t>
            </w:r>
          </w:p>
        </w:tc>
        <w:tc>
          <w:tcPr>
            <w:tcW w:type="dxa" w:w="680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Netflix: Switchboard’s model router added ten to twenty milliseconds and a single point of failure; Lightbulb and Envoy take the payload off that path.</w:t>
            </w:r>
          </w:p>
        </w:tc>
        <w:tc>
          <w:tcPr>
            <w:tcW w:type="dxa" w:w="1077"/>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18, 19, 21</w:t>
            </w:r>
          </w:p>
        </w:tc>
      </w:tr>
      <w:tr>
        <w:tc>
          <w:tcPr>
            <w:tcW w:type="dxa" w:w="1644"/>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17 July 2026</w:t>
            </w:r>
          </w:p>
        </w:tc>
        <w:tc>
          <w:tcPr>
            <w:tcW w:type="dxa" w:w="680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Netflix: LLMs served in the existing platform, vLLM the paved path, constraints inside decoding, a JSON mode that had been silently dropped.</w:t>
            </w:r>
          </w:p>
        </w:tc>
        <w:tc>
          <w:tcPr>
            <w:tcW w:type="dxa" w:w="1077"/>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17, 20</w:t>
            </w:r>
          </w:p>
        </w:tc>
      </w:tr>
      <w:tr>
        <w:tc>
          <w:tcPr>
            <w:tcW w:type="dxa" w:w="1644"/>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29 September 2026</w:t>
            </w:r>
          </w:p>
        </w:tc>
        <w:tc>
          <w:tcPr>
            <w:tcW w:type="dxa" w:w="680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Answer 17 written. Netflix’s GenRec post, consulted the same day: a catalog-aware head, prefill-only serving, cost tracking context length.</w:t>
            </w:r>
          </w:p>
        </w:tc>
        <w:tc>
          <w:tcPr>
            <w:tcW w:type="dxa" w:w="1077"/>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17, 21</w:t>
            </w:r>
          </w:p>
        </w:tc>
      </w:tr>
    </w:tbl>
    <w:p/>
    <w:p>
      <w:pPr>
        <w:pStyle w:val="Heading2"/>
      </w:pPr>
      <w:r>
        <w:rPr>
          <w:rFonts w:ascii="Segoe UI Emoji" w:hAnsi="Segoe UI Emoji" w:eastAsia="Segoe UI Emoji" w:cs="Segoe UI Emoji"/>
        </w:rPr>
        <w:t xml:space="preserve">🏢 </w:t>
      </w:r>
      <w:r>
        <w:t>The cases the series argues from</w:t>
      </w:r>
    </w:p>
    <w:p>
      <w:r>
        <w:rPr>
          <w:rFonts w:ascii="Calibri" w:hAnsi="Calibri" w:eastAsia="Calibri"/>
          <w:b w:val="0"/>
          <w:i w:val="0"/>
          <w:sz w:val="22"/>
        </w:rPr>
        <w:t>The same systems recur across chapters, chosen on the rule of Chapter 6: the company or project wrote the decision down. This table is the who’s who, with what each case shows and where it is used.</w:t>
      </w:r>
    </w:p>
    <w:tbl>
      <w:tblPr>
        <w:tblW w:type="auto" w:w="0"/>
        <w:tblLayout w:type="autofit"/>
        <w:tblLook w:firstColumn="1" w:firstRow="1" w:lastColumn="0" w:lastRow="0" w:noHBand="0" w:noVBand="1" w:val="04A0"/>
      </w:tblPr>
      <w:tblGrid>
        <w:gridCol w:w="3173"/>
        <w:gridCol w:w="3173"/>
        <w:gridCol w:w="3173"/>
      </w:tblGrid>
      <w:tr>
        <w:tc>
          <w:tcPr>
            <w:tcW w:type="dxa" w:w="1928"/>
            <w:shd w:fill="1F4E79"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i w:val="0"/>
                <w:color w:val="FFFFFF"/>
                <w:sz w:val="20"/>
              </w:rPr>
              <w:t>Case</w:t>
            </w:r>
          </w:p>
        </w:tc>
        <w:tc>
          <w:tcPr>
            <w:tcW w:type="dxa" w:w="6350"/>
            <w:shd w:fill="1F4E79"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i w:val="0"/>
                <w:color w:val="FFFFFF"/>
                <w:sz w:val="20"/>
              </w:rPr>
              <w:t>What it shows</w:t>
            </w:r>
          </w:p>
        </w:tc>
        <w:tc>
          <w:tcPr>
            <w:tcW w:type="dxa" w:w="1247"/>
            <w:shd w:fill="1F4E79"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i w:val="0"/>
                <w:color w:val="FFFFFF"/>
                <w:sz w:val="20"/>
              </w:rPr>
              <w:t>Chapters</w:t>
            </w:r>
          </w:p>
        </w:tc>
      </w:tr>
      <w:tr>
        <w:tc>
          <w:tcPr>
            <w:tcW w:type="dxa" w:w="1928"/>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Amazon</w:t>
            </w:r>
          </w:p>
        </w:tc>
        <w:tc>
          <w:tcPr>
            <w:tcW w:type="dxa" w:w="6350"/>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The 1998 manifesto, the mandate around 2002, service teams that run what they build, AWS in 2006, the product page composed from more than a hundred services, the 2019 exit from Oracle.</w:t>
            </w:r>
          </w:p>
        </w:tc>
        <w:tc>
          <w:tcPr>
            <w:tcW w:type="dxa" w:w="1247"/>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3, 6</w:t>
            </w:r>
          </w:p>
        </w:tc>
      </w:tr>
      <w:tr>
        <w:tc>
          <w:tcPr>
            <w:tcW w:type="dxa" w:w="1928"/>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Netflix</w:t>
            </w:r>
          </w:p>
        </w:tc>
        <w:tc>
          <w:tcPr>
            <w:tcW w:type="dxa" w:w="6350"/>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The 2008 outage; the move to AWS completed in January 2016; Eureka, Hystrix, Zuul, Chaos Monkey; EVCache; the three-layer personalization architecture; Conductor; Spinnaker and Titus; Passport; Edgar; full-cycle developers.</w:t>
            </w:r>
          </w:p>
        </w:tc>
        <w:tc>
          <w:tcPr>
            <w:tcW w:type="dxa" w:w="1247"/>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3, 6</w:t>
            </w:r>
          </w:p>
        </w:tc>
      </w:tr>
      <w:tr>
        <w:tc>
          <w:tcPr>
            <w:tcW w:type="dxa" w:w="1928"/>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Uber</w:t>
            </w:r>
          </w:p>
        </w:tc>
        <w:tc>
          <w:tcPr>
            <w:tcW w:type="dxa" w:w="6350"/>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About 2,200 critical microservices by 2020 and the domain layer (DOMA) placed above them; Cadence; Jaeger; M3; the edge API gateway.</w:t>
            </w:r>
          </w:p>
        </w:tc>
        <w:tc>
          <w:tcPr>
            <w:tcW w:type="dxa" w:w="1247"/>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6</w:t>
            </w:r>
          </w:p>
        </w:tc>
      </w:tr>
      <w:tr>
        <w:tc>
          <w:tcPr>
            <w:tcW w:type="dxa" w:w="1928"/>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Airbnb</w:t>
            </w:r>
          </w:p>
        </w:tc>
        <w:tc>
          <w:tcPr>
            <w:tcW w:type="dxa" w:w="6350"/>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Monorail strangled from 2018; data services behind Thrift as an anti-corruption layer; SpinalTap change capture; SmartStack, a mesh before the term.</w:t>
            </w:r>
          </w:p>
        </w:tc>
        <w:tc>
          <w:tcPr>
            <w:tcW w:type="dxa" w:w="1247"/>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6</w:t>
            </w:r>
          </w:p>
        </w:tc>
      </w:tr>
      <w:tr>
        <w:tc>
          <w:tcPr>
            <w:tcW w:type="dxa" w:w="1928"/>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Shopify</w:t>
            </w:r>
          </w:p>
        </w:tc>
        <w:tc>
          <w:tcPr>
            <w:tcW w:type="dxa" w:w="6350"/>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The modular monolith and Packwerk (2020); pods as the unit of horizontal scale; Semian bulkheads; Toxiproxy.</w:t>
            </w:r>
          </w:p>
        </w:tc>
        <w:tc>
          <w:tcPr>
            <w:tcW w:type="dxa" w:w="1247"/>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6</w:t>
            </w:r>
          </w:p>
        </w:tc>
      </w:tr>
      <w:tr>
        <w:tc>
          <w:tcPr>
            <w:tcW w:type="dxa" w:w="1928"/>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Stripe</w:t>
            </w:r>
          </w:p>
        </w:tc>
        <w:tc>
          <w:tcPr>
            <w:tcW w:type="dxa" w:w="6350"/>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Events and webhooks as a domain-event feed sold as a product; idempotency keys; retrying delivery for three days.</w:t>
            </w:r>
          </w:p>
        </w:tc>
        <w:tc>
          <w:tcPr>
            <w:tcW w:type="dxa" w:w="1247"/>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6</w:t>
            </w:r>
          </w:p>
        </w:tc>
      </w:tr>
      <w:tr>
        <w:tc>
          <w:tcPr>
            <w:tcW w:type="dxa" w:w="1928"/>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LinkedIn</w:t>
            </w:r>
          </w:p>
        </w:tc>
        <w:tc>
          <w:tcPr>
            <w:tcW w:type="dxa" w:w="6350"/>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Kafka (2010) and Databus; Jay Kreps’s “The Log” as the argument for the event log as coordination medium.</w:t>
            </w:r>
          </w:p>
        </w:tc>
        <w:tc>
          <w:tcPr>
            <w:tcW w:type="dxa" w:w="1247"/>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6</w:t>
            </w:r>
          </w:p>
        </w:tc>
      </w:tr>
      <w:tr>
        <w:tc>
          <w:tcPr>
            <w:tcW w:type="dxa" w:w="1928"/>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Twitter</w:t>
            </w:r>
          </w:p>
        </w:tc>
        <w:tc>
          <w:tcPr>
            <w:tcW w:type="dxa" w:w="6350"/>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“Timelines at Scale” (2012) as the industrial CQRS case; Finagle; Zipkin; Diffy.</w:t>
            </w:r>
          </w:p>
        </w:tc>
        <w:tc>
          <w:tcPr>
            <w:tcW w:type="dxa" w:w="1247"/>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6</w:t>
            </w:r>
          </w:p>
        </w:tc>
      </w:tr>
      <w:tr>
        <w:tc>
          <w:tcPr>
            <w:tcW w:type="dxa" w:w="1928"/>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Google</w:t>
            </w:r>
          </w:p>
        </w:tc>
        <w:tc>
          <w:tcPr>
            <w:tcW w:type="dxa" w:w="6350"/>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Borg and the container lineage of Kubernetes; Stubby and gRPC; Dapper; the 2003 search cluster; hermetic servers; the SRE book’s retry budgets.</w:t>
            </w:r>
          </w:p>
        </w:tc>
        <w:tc>
          <w:tcPr>
            <w:tcW w:type="dxa" w:w="1247"/>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6, 10</w:t>
            </w:r>
          </w:p>
        </w:tc>
      </w:tr>
      <w:tr>
        <w:tc>
          <w:tcPr>
            <w:tcW w:type="dxa" w:w="1928"/>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Facebook</w:t>
            </w:r>
          </w:p>
        </w:tc>
        <w:tc>
          <w:tcPr>
            <w:tcW w:type="dxa" w:w="6350"/>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Thrift; Messenger over MQTT; BigPipe; Wormhole.</w:t>
            </w:r>
          </w:p>
        </w:tc>
        <w:tc>
          <w:tcPr>
            <w:tcW w:type="dxa" w:w="1247"/>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6</w:t>
            </w:r>
          </w:p>
        </w:tc>
      </w:tr>
      <w:tr>
        <w:tc>
          <w:tcPr>
            <w:tcW w:type="dxa" w:w="1928"/>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Spotify</w:t>
            </w:r>
          </w:p>
        </w:tc>
        <w:tc>
          <w:tcPr>
            <w:tcW w:type="dxa" w:w="6350"/>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Squads and tribes (2012); Helios; Backstage and the golden path; the desktop client composed from team-owned views.</w:t>
            </w:r>
          </w:p>
        </w:tc>
        <w:tc>
          <w:tcPr>
            <w:tcW w:type="dxa" w:w="1247"/>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6, 8</w:t>
            </w:r>
          </w:p>
        </w:tc>
      </w:tr>
      <w:tr>
        <w:tc>
          <w:tcPr>
            <w:tcW w:type="dxa" w:w="1928"/>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Monzo</w:t>
            </w:r>
          </w:p>
        </w:tc>
        <w:tc>
          <w:tcPr>
            <w:tcW w:type="dxa" w:w="6350"/>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 bank built on about 1,500 Go services from 2015, each owning a Cassandra keyspace, on Kubernetes since 2016; Typhon; network isolation between services.</w:t>
            </w:r>
          </w:p>
        </w:tc>
        <w:tc>
          <w:tcPr>
            <w:tcW w:type="dxa" w:w="1247"/>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6</w:t>
            </w:r>
          </w:p>
        </w:tc>
      </w:tr>
      <w:tr>
        <w:tc>
          <w:tcPr>
            <w:tcW w:type="dxa" w:w="1928"/>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Zalando</w:t>
            </w:r>
          </w:p>
        </w:tc>
        <w:tc>
          <w:tcPr>
            <w:tcW w:type="dxa" w:w="6350"/>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Nakadi, an event broker with a schema registry; Mosaic and Tailor for server-side page composition.</w:t>
            </w:r>
          </w:p>
        </w:tc>
        <w:tc>
          <w:tcPr>
            <w:tcW w:type="dxa" w:w="1247"/>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6</w:t>
            </w:r>
          </w:p>
        </w:tc>
      </w:tr>
      <w:tr>
        <w:tc>
          <w:tcPr>
            <w:tcW w:type="dxa" w:w="1928"/>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Microsoft eShopOnContainers</w:t>
            </w:r>
          </w:p>
        </w:tc>
        <w:tc>
          <w:tcPr>
            <w:tcW w:type="dxa" w:w="6350"/>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The .NET reference application: Catalog, Basket, Ordering, and Identity; integration events; the IntegrationEventLog outbox; Polly breakers; Envoy in front of web and mobile aggregators; DDD and CQRS in Ordering beside simpler services.</w:t>
            </w:r>
          </w:p>
        </w:tc>
        <w:tc>
          <w:tcPr>
            <w:tcW w:type="dxa" w:w="1247"/>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6, 7</w:t>
            </w:r>
          </w:p>
        </w:tc>
      </w:tr>
      <w:tr>
        <w:tc>
          <w:tcPr>
            <w:tcW w:type="dxa" w:w="1928"/>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Richardson’s FTGO</w:t>
            </w:r>
          </w:p>
        </w:tc>
        <w:tc>
          <w:tcPr>
            <w:tcW w:type="dxa" w:w="6350"/>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The Java example of Microservices Patterns: CreateOrderSaga, Eventuate Tram’s outbox and received-messages table, the hexagonal service shape.</w:t>
            </w:r>
          </w:p>
        </w:tc>
        <w:tc>
          <w:tcPr>
            <w:tcW w:type="dxa" w:w="1247"/>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6, 7</w:t>
            </w:r>
          </w:p>
        </w:tc>
      </w:tr>
      <w:tr>
        <w:tc>
          <w:tcPr>
            <w:tcW w:type="dxa" w:w="1928"/>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The drone-delivery estate</w:t>
            </w:r>
          </w:p>
        </w:tc>
        <w:tc>
          <w:tcPr>
            <w:tcW w:type="dxa" w:w="6350"/>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The Azure Architecture Center’s worked example: the Delivery aggregate and its pickup rule, Scheduler and Supervisor; reused as the running example for requirements, the life-cycle processes, and every AI-system pattern.</w:t>
            </w:r>
          </w:p>
        </w:tc>
        <w:tc>
          <w:tcPr>
            <w:tcW w:type="dxa" w:w="1247"/>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7, 14, 15, 16</w:t>
            </w:r>
          </w:p>
        </w:tc>
      </w:tr>
      <w:tr>
        <w:tc>
          <w:tcPr>
            <w:tcW w:type="dxa" w:w="1928"/>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Segment, Amazon Prime Video, Stack Overflow, Basecamp</w:t>
            </w:r>
          </w:p>
        </w:tc>
        <w:tc>
          <w:tcPr>
            <w:tcW w:type="dxa" w:w="6350"/>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The documented monoliths and the documented returns, each with the cost its authors gave.</w:t>
            </w:r>
          </w:p>
        </w:tc>
        <w:tc>
          <w:tcPr>
            <w:tcW w:type="dxa" w:w="1247"/>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6</w:t>
            </w:r>
          </w:p>
        </w:tc>
      </w:tr>
      <w:tr>
        <w:tc>
          <w:tcPr>
            <w:tcW w:type="dxa" w:w="1928"/>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Uber’s GenAI Gateway</w:t>
            </w:r>
          </w:p>
        </w:tc>
        <w:tc>
          <w:tcPr>
            <w:tcW w:type="dxa" w:w="6350"/>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The 11 July 2024 door in front of vendor and in-house models: one OpenAI-shaped interface, a security review, PII redacted before a third party.</w:t>
            </w:r>
          </w:p>
        </w:tc>
        <w:tc>
          <w:tcPr>
            <w:tcW w:type="dxa" w:w="1247"/>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19, 20</w:t>
            </w:r>
          </w:p>
        </w:tc>
      </w:tr>
      <w:tr>
        <w:tc>
          <w:tcPr>
            <w:tcW w:type="dxa" w:w="1928"/>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Netflix model serving</w:t>
            </w:r>
          </w:p>
        </w:tc>
        <w:tc>
          <w:tcPr>
            <w:tcW w:type="dxa" w:w="6350"/>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The central platform domain services call. Switchboard, then Lightbulb and Envoy (1 May 2026). In-house LLM serving on vLLM (17 July 2026). GenRec’s catalog-aware ranker.</w:t>
            </w:r>
          </w:p>
        </w:tc>
        <w:tc>
          <w:tcPr>
            <w:tcW w:type="dxa" w:w="1247"/>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18, 19, 20, 21</w:t>
            </w:r>
          </w:p>
        </w:tc>
      </w:tr>
      <w:tr>
        <w:tc>
          <w:tcPr>
            <w:tcW w:type="dxa" w:w="1928"/>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Shopify Sidekick</w:t>
            </w:r>
          </w:p>
        </w:tc>
        <w:tc>
          <w:tcPr>
            <w:tcW w:type="dxa" w:w="6350"/>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The admin agent published 26 August 2025: one loop, just-in-time instructions, a judge calibrated against people. The modular monolith is not redescribed.</w:t>
            </w:r>
          </w:p>
        </w:tc>
        <w:tc>
          <w:tcPr>
            <w:tcW w:type="dxa" w:w="1247"/>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17, 21</w:t>
            </w:r>
          </w:p>
        </w:tc>
      </w:tr>
      <w:tr>
        <w:tc>
          <w:tcPr>
            <w:tcW w:type="dxa" w:w="1928"/>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QRRA</w:t>
            </w:r>
          </w:p>
        </w:tc>
        <w:tc>
          <w:tcPr>
            <w:tcW w:type="dxa" w:w="6350"/>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The 16 July 2025 AWS account: six bounded contexts from an Event Storming workshop; Amazon Q Developer evidenced on infrastructure-as-code.</w:t>
            </w:r>
          </w:p>
        </w:tc>
        <w:tc>
          <w:tcPr>
            <w:tcW w:type="dxa" w:w="1247"/>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17, 18</w:t>
            </w:r>
          </w:p>
        </w:tc>
      </w:tr>
      <w:tr>
        <w:tc>
          <w:tcPr>
            <w:tcW w:type="dxa" w:w="1928"/>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GitHub Copilot coding agent</w:t>
            </w:r>
          </w:p>
        </w:tc>
        <w:tc>
          <w:tcPr>
            <w:tcW w:type="dxa" w:w="6350"/>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The 19 May 2025 agent that opens a draft pull request. The pipeline does not run until a person approves it.</w:t>
            </w:r>
          </w:p>
        </w:tc>
        <w:tc>
          <w:tcPr>
            <w:tcW w:type="dxa" w:w="1247"/>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17, 20</w:t>
            </w:r>
          </w:p>
        </w:tc>
      </w:tr>
    </w:tbl>
    <w:p/>
    <w:p>
      <w:pPr>
        <w:pStyle w:val="Heading2"/>
      </w:pPr>
      <w:r>
        <w:rPr>
          <w:rFonts w:ascii="Segoe UI Emoji" w:hAnsi="Segoe UI Emoji" w:eastAsia="Segoe UI Emoji" w:cs="Segoe UI Emoji"/>
        </w:rPr>
        <w:t xml:space="preserve">📖 </w:t>
      </w:r>
      <w:r>
        <w:t>Glossary and index of principal terms</w:t>
      </w:r>
    </w:p>
    <w:p>
      <w:r>
        <w:rPr>
          <w:rFonts w:ascii="Calibri" w:hAnsi="Calibri" w:eastAsia="Calibri"/>
          <w:b w:val="0"/>
          <w:i w:val="0"/>
          <w:sz w:val="22"/>
        </w:rPr>
        <w:t>Terms the series defines, with a one-line gloss and the chapters, in reading order, where each is defined and then used. The first chapter listed is where the definition sits.</w:t>
      </w:r>
    </w:p>
    <w:tbl>
      <w:tblPr>
        <w:tblW w:type="auto" w:w="0"/>
        <w:tblLayout w:type="autofit"/>
        <w:tblLook w:firstColumn="1" w:firstRow="1" w:lastColumn="0" w:lastRow="0" w:noHBand="0" w:noVBand="1" w:val="04A0"/>
      </w:tblPr>
      <w:tblGrid>
        <w:gridCol w:w="3173"/>
        <w:gridCol w:w="3173"/>
        <w:gridCol w:w="3173"/>
      </w:tblGrid>
      <w:tr>
        <w:tc>
          <w:tcPr>
            <w:tcW w:type="dxa" w:w="2268"/>
            <w:shd w:fill="1F4E79"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i w:val="0"/>
                <w:color w:val="FFFFFF"/>
                <w:sz w:val="20"/>
              </w:rPr>
              <w:t>Term</w:t>
            </w:r>
          </w:p>
        </w:tc>
        <w:tc>
          <w:tcPr>
            <w:tcW w:type="dxa" w:w="5896"/>
            <w:shd w:fill="1F4E79"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i w:val="0"/>
                <w:color w:val="FFFFFF"/>
                <w:sz w:val="20"/>
              </w:rPr>
              <w:t>Gloss</w:t>
            </w:r>
          </w:p>
        </w:tc>
        <w:tc>
          <w:tcPr>
            <w:tcW w:type="dxa" w:w="1361"/>
            <w:shd w:fill="1F4E79"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i w:val="0"/>
                <w:color w:val="FFFFFF"/>
                <w:sz w:val="20"/>
              </w:rPr>
              <w:t>Chapters</w:t>
            </w:r>
          </w:p>
        </w:tc>
      </w:tr>
      <w:tr>
        <w:tc>
          <w:tcPr>
            <w:tcW w:type="dxa" w:w="2268"/>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Access token</w:t>
            </w:r>
          </w:p>
        </w:tc>
        <w:tc>
          <w:tcPr>
            <w:tcW w:type="dxa" w:w="5896"/>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Carries the caller’s identity and claims from service to service; the identity service is called once. Distinct from workload identity.</w:t>
            </w:r>
          </w:p>
        </w:tc>
        <w:tc>
          <w:tcPr>
            <w:tcW w:type="dxa" w:w="1361"/>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4, 6, 10, 12</w:t>
            </w:r>
          </w:p>
        </w:tc>
      </w:tr>
      <w:tr>
        <w:tc>
          <w:tcPr>
            <w:tcW w:type="dxa" w:w="2268"/>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Aggregate; entity; value object</w:t>
            </w:r>
          </w:p>
        </w:tc>
        <w:tc>
          <w:tcPr>
            <w:tcW w:type="dxa" w:w="5896"/>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The consistency boundary of a domain model, saved in one local transaction, with one root; an object with a stable identity; an immutable value without one.</w:t>
            </w:r>
          </w:p>
        </w:tc>
        <w:tc>
          <w:tcPr>
            <w:tcW w:type="dxa" w:w="1361"/>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7</w:t>
            </w:r>
          </w:p>
        </w:tc>
      </w:tr>
      <w:tr>
        <w:tc>
          <w:tcPr>
            <w:tcW w:type="dxa" w:w="2268"/>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Anti-corruption layer</w:t>
            </w:r>
          </w:p>
        </w:tc>
        <w:tc>
          <w:tcPr>
            <w:tcW w:type="dxa" w:w="5896"/>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 translation layer that keeps a new model from being bent by a legacy or foreign one (Evans, 2003).</w:t>
            </w:r>
          </w:p>
        </w:tc>
        <w:tc>
          <w:tcPr>
            <w:tcW w:type="dxa" w:w="1361"/>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4, 6, 7</w:t>
            </w:r>
          </w:p>
        </w:tc>
      </w:tr>
      <w:tr>
        <w:tc>
          <w:tcPr>
            <w:tcW w:type="dxa" w:w="2268"/>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API composition</w:t>
            </w:r>
          </w:p>
        </w:tc>
        <w:tc>
          <w:tcPr>
            <w:tcW w:type="dxa" w:w="5896"/>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 query asks each service that owns part of the answer and joins the results in memory.</w:t>
            </w:r>
          </w:p>
        </w:tc>
        <w:tc>
          <w:tcPr>
            <w:tcW w:type="dxa" w:w="1361"/>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4, 6, 16</w:t>
            </w:r>
          </w:p>
        </w:tc>
      </w:tr>
      <w:tr>
        <w:tc>
          <w:tcPr>
            <w:tcW w:type="dxa" w:w="2268"/>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API gateway; backend for frontend</w:t>
            </w:r>
          </w:p>
        </w:tc>
        <w:tc>
          <w:tcPr>
            <w:tcW w:type="dxa" w:w="5896"/>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One front door that routes, authenticates, and aggregates; or one such backend per client experience, owned with that client.</w:t>
            </w:r>
          </w:p>
        </w:tc>
        <w:tc>
          <w:tcPr>
            <w:tcW w:type="dxa" w:w="1361"/>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4, 6, 10</w:t>
            </w:r>
          </w:p>
        </w:tc>
      </w:tr>
      <w:tr>
        <w:tc>
          <w:tcPr>
            <w:tcW w:type="dxa" w:w="2268"/>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Application plane; control plane (SaaS)</w:t>
            </w:r>
          </w:p>
        </w:tc>
        <w:tc>
          <w:tcPr>
            <w:tcW w:type="dxa" w:w="5896"/>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The product the tenants use, with a tenant context on every request; and how the provider onboards, identifies, tiers, meters, and operates tenants as one business.</w:t>
            </w:r>
          </w:p>
        </w:tc>
        <w:tc>
          <w:tcPr>
            <w:tcW w:type="dxa" w:w="1361"/>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12, 11</w:t>
            </w:r>
          </w:p>
        </w:tc>
      </w:tr>
      <w:tr>
        <w:tc>
          <w:tcPr>
            <w:tcW w:type="dxa" w:w="2268"/>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Assemblage; dark energy and dark matter</w:t>
            </w:r>
          </w:p>
        </w:tc>
        <w:tc>
          <w:tcPr>
            <w:tcW w:type="dxa" w:w="5896"/>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Richardson’s architecture-definition process (2023) and its ten forces: five that push subdomains apart, five that pull them together.</w:t>
            </w:r>
          </w:p>
        </w:tc>
        <w:tc>
          <w:tcPr>
            <w:tcW w:type="dxa" w:w="1361"/>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8, 14</w:t>
            </w:r>
          </w:p>
        </w:tc>
      </w:tr>
      <w:tr>
        <w:tc>
          <w:tcPr>
            <w:tcW w:type="dxa" w:w="2268"/>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Augmented LLM</w:t>
            </w:r>
          </w:p>
        </w:tc>
        <w:tc>
          <w:tcPr>
            <w:tcW w:type="dxa" w:w="5896"/>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One model that may retrieve, call tools, and remember, inside an iteration limit; Azure’s single agent with tools.</w:t>
            </w:r>
          </w:p>
        </w:tc>
        <w:tc>
          <w:tcPr>
            <w:tcW w:type="dxa" w:w="1361"/>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16</w:t>
            </w:r>
          </w:p>
        </w:tc>
      </w:tr>
      <w:tr>
        <w:tc>
          <w:tcPr>
            <w:tcW w:type="dxa" w:w="2268"/>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Autonomous agent</w:t>
            </w:r>
          </w:p>
        </w:tc>
        <w:tc>
          <w:tcPr>
            <w:tcW w:type="dxa" w:w="5896"/>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 model that directs its own process and tool use until the task ends, a person stops it, or a turn limit is reached.</w:t>
            </w:r>
          </w:p>
        </w:tc>
        <w:tc>
          <w:tcPr>
            <w:tcW w:type="dxa" w:w="1361"/>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16</w:t>
            </w:r>
          </w:p>
        </w:tc>
      </w:tr>
      <w:tr>
        <w:tc>
          <w:tcPr>
            <w:tcW w:type="dxa" w:w="2268"/>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Bounded context; ubiquitous language</w:t>
            </w:r>
          </w:p>
        </w:tc>
        <w:tc>
          <w:tcPr>
            <w:tcW w:type="dxa" w:w="5896"/>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The boundary inside which one model stays consistent, and the words the code, the API, and the team share; a candidate service.</w:t>
            </w:r>
          </w:p>
        </w:tc>
        <w:tc>
          <w:tcPr>
            <w:tcW w:type="dxa" w:w="1361"/>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7, 4, 8</w:t>
            </w:r>
          </w:p>
        </w:tc>
      </w:tr>
      <w:tr>
        <w:tc>
          <w:tcPr>
            <w:tcW w:type="dxa" w:w="2268"/>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Bulkhead</w:t>
            </w:r>
          </w:p>
        </w:tc>
        <w:tc>
          <w:tcPr>
            <w:tcW w:type="dxa" w:w="5896"/>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Isolated threads, connections, or pools per dependency, tenant, or partition, so exhaustion stays in one compartment (Nygard, 2007).</w:t>
            </w:r>
          </w:p>
        </w:tc>
        <w:tc>
          <w:tcPr>
            <w:tcW w:type="dxa" w:w="1361"/>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5, 6, 10, 12, 16</w:t>
            </w:r>
          </w:p>
        </w:tc>
      </w:tr>
      <w:tr>
        <w:tc>
          <w:tcPr>
            <w:tcW w:type="dxa" w:w="2268"/>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Business capability</w:t>
            </w:r>
          </w:p>
        </w:tc>
        <w:tc>
          <w:tcPr>
            <w:tcW w:type="dxa" w:w="5896"/>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Something the business does to produce value; a slow-changing name and therefore a good place for a boundary.</w:t>
            </w:r>
          </w:p>
        </w:tc>
        <w:tc>
          <w:tcPr>
            <w:tcW w:type="dxa" w:w="1361"/>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4, 6, 8</w:t>
            </w:r>
          </w:p>
        </w:tc>
      </w:tr>
      <w:tr>
        <w:tc>
          <w:tcPr>
            <w:tcW w:type="dxa" w:w="2268"/>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Circuit breaker</w:t>
            </w:r>
          </w:p>
        </w:tc>
        <w:tc>
          <w:tcPr>
            <w:tcW w:type="dxa" w:w="5896"/>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 proxy that fails calls immediately once a dependency’s failure rate crosses a threshold, then admits trial calls (Nygard, 2007; Hystrix, 2012).</w:t>
            </w:r>
          </w:p>
        </w:tc>
        <w:tc>
          <w:tcPr>
            <w:tcW w:type="dxa" w:w="1361"/>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4, 5, 6, 16</w:t>
            </w:r>
          </w:p>
        </w:tc>
      </w:tr>
      <w:tr>
        <w:tc>
          <w:tcPr>
            <w:tcW w:type="dxa" w:w="2268"/>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Cloud native</w:t>
            </w:r>
          </w:p>
        </w:tc>
        <w:tc>
          <w:tcPr>
            <w:tcW w:type="dxa" w:w="5896"/>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The CNCF’s 2024 definition: loosely coupled systems, deployed programmatically, in public, private, or hybrid clouds; microservices one technology among several.</w:t>
            </w:r>
          </w:p>
        </w:tc>
        <w:tc>
          <w:tcPr>
            <w:tcW w:type="dxa" w:w="1361"/>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9</w:t>
            </w:r>
          </w:p>
        </w:tc>
      </w:tr>
      <w:tr>
        <w:tc>
          <w:tcPr>
            <w:tcW w:type="dxa" w:w="2268"/>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Command-side replica</w:t>
            </w:r>
          </w:p>
        </w:tc>
        <w:tc>
          <w:tcPr>
            <w:tcW w:type="dxa" w:w="5896"/>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 read-only local copy of another service’s data, kept current by its events, so a command does not call across the network.</w:t>
            </w:r>
          </w:p>
        </w:tc>
        <w:tc>
          <w:tcPr>
            <w:tcW w:type="dxa" w:w="1361"/>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4, 6, 7, 16</w:t>
            </w:r>
          </w:p>
        </w:tc>
      </w:tr>
      <w:tr>
        <w:tc>
          <w:tcPr>
            <w:tcW w:type="dxa" w:w="2268"/>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Consumer-driven contract test</w:t>
            </w:r>
          </w:p>
        </w:tc>
        <w:tc>
          <w:tcPr>
            <w:tcW w:type="dxa" w:w="5896"/>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Each consumer writes the interactions it depends on as an executable contract; the provider’s build runs them (Robinson, 2006; Pact, 2013).</w:t>
            </w:r>
          </w:p>
        </w:tc>
        <w:tc>
          <w:tcPr>
            <w:tcW w:type="dxa" w:w="1361"/>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5, 6</w:t>
            </w:r>
          </w:p>
        </w:tc>
      </w:tr>
      <w:tr>
        <w:tc>
          <w:tcPr>
            <w:tcW w:type="dxa" w:w="2268"/>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CQRS</w:t>
            </w:r>
          </w:p>
        </w:tc>
        <w:tc>
          <w:tcPr>
            <w:tcW w:type="dxa" w:w="5896"/>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Commands go through the domain model; queries read a separate view maintained from the events commands produce.</w:t>
            </w:r>
          </w:p>
        </w:tc>
        <w:tc>
          <w:tcPr>
            <w:tcW w:type="dxa" w:w="1361"/>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4, 6, 7, 16</w:t>
            </w:r>
          </w:p>
        </w:tc>
      </w:tr>
      <w:tr>
        <w:tc>
          <w:tcPr>
            <w:tcW w:type="dxa" w:w="2268"/>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Database per service; shared database</w:t>
            </w:r>
          </w:p>
        </w:tc>
        <w:tc>
          <w:tcPr>
            <w:tcW w:type="dxa" w:w="5896"/>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Each service owns a private store reached only through its API or events; against several services writing one schema.</w:t>
            </w:r>
          </w:p>
        </w:tc>
        <w:tc>
          <w:tcPr>
            <w:tcW w:type="dxa" w:w="1361"/>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4, 6, 12, 16</w:t>
            </w:r>
          </w:p>
        </w:tc>
      </w:tr>
      <w:tr>
        <w:tc>
          <w:tcPr>
            <w:tcW w:type="dxa" w:w="2268"/>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Decentralized governance</w:t>
            </w:r>
          </w:p>
        </w:tc>
        <w:tc>
          <w:tcPr>
            <w:tcW w:type="dxa" w:w="5896"/>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Each service may choose its language and libraries; one of the nine characteristics.</w:t>
            </w:r>
          </w:p>
        </w:tc>
        <w:tc>
          <w:tcPr>
            <w:tcW w:type="dxa" w:w="1361"/>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3</w:t>
            </w:r>
          </w:p>
        </w:tc>
      </w:tr>
      <w:tr>
        <w:tc>
          <w:tcPr>
            <w:tcW w:type="dxa" w:w="2268"/>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Deployment models (NIST)</w:t>
            </w:r>
          </w:p>
        </w:tc>
        <w:tc>
          <w:tcPr>
            <w:tcW w:type="dxa" w:w="5896"/>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Public, private, community, hybrid: where a cloud runs, not what kind of product it is.</w:t>
            </w:r>
          </w:p>
        </w:tc>
        <w:tc>
          <w:tcPr>
            <w:tcW w:type="dxa" w:w="1361"/>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13</w:t>
            </w:r>
          </w:p>
        </w:tc>
      </w:tr>
      <w:tr>
        <w:tc>
          <w:tcPr>
            <w:tcW w:type="dxa" w:w="2268"/>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Distributed monolith</w:t>
            </w:r>
          </w:p>
        </w:tc>
        <w:tc>
          <w:tcPr>
            <w:tcW w:type="dxa" w:w="5896"/>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Services that share a database and a release train: the costs of both styles.</w:t>
            </w:r>
          </w:p>
        </w:tc>
        <w:tc>
          <w:tcPr>
            <w:tcW w:type="dxa" w:w="1361"/>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3, 10, 11</w:t>
            </w:r>
          </w:p>
        </w:tc>
      </w:tr>
      <w:tr>
        <w:tc>
          <w:tcPr>
            <w:tcW w:type="dxa" w:w="2268"/>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Domain event; integration event</w:t>
            </w:r>
          </w:p>
        </w:tc>
        <w:tc>
          <w:tcPr>
            <w:tcW w:type="dxa" w:w="5896"/>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 meaningful change inside a context, handled in-process; and the version that leaves the service on the bus. Two events, two audiences.</w:t>
            </w:r>
          </w:p>
        </w:tc>
        <w:tc>
          <w:tcPr>
            <w:tcW w:type="dxa" w:w="1361"/>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7, 6</w:t>
            </w:r>
          </w:p>
        </w:tc>
      </w:tr>
      <w:tr>
        <w:tc>
          <w:tcPr>
            <w:tcW w:type="dxa" w:w="2268"/>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Dyno; Procfile; buildpack; add-on</w:t>
            </w:r>
          </w:p>
        </w:tc>
        <w:tc>
          <w:tcPr>
            <w:tcW w:type="dxa" w:w="5896"/>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Heroku’s vocabulary for the PaaS contract: the running copy, the process types, the build, the bound backing service.</w:t>
            </w:r>
          </w:p>
        </w:tc>
        <w:tc>
          <w:tcPr>
            <w:tcW w:type="dxa" w:w="1361"/>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11</w:t>
            </w:r>
          </w:p>
        </w:tc>
      </w:tr>
      <w:tr>
        <w:tc>
          <w:tcPr>
            <w:tcW w:type="dxa" w:w="2268"/>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Evaluator-optimizer; maker-checker</w:t>
            </w:r>
          </w:p>
        </w:tc>
        <w:tc>
          <w:tcPr>
            <w:tcW w:type="dxa" w:w="5896"/>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One model drafts, another critiques against explicit criteria, until the criteria pass or a cap is reached.</w:t>
            </w:r>
          </w:p>
        </w:tc>
        <w:tc>
          <w:tcPr>
            <w:tcW w:type="dxa" w:w="1361"/>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16</w:t>
            </w:r>
          </w:p>
        </w:tc>
      </w:tr>
      <w:tr>
        <w:tc>
          <w:tcPr>
            <w:tcW w:type="dxa" w:w="2268"/>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Event sourcing</w:t>
            </w:r>
          </w:p>
        </w:tc>
        <w:tc>
          <w:tcPr>
            <w:tcW w:type="dxa" w:w="5896"/>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The aggregate stored as the sequence of events that produced it; current state rebuilt by replay, shortened by snapshots.</w:t>
            </w:r>
          </w:p>
        </w:tc>
        <w:tc>
          <w:tcPr>
            <w:tcW w:type="dxa" w:w="1361"/>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4, 6, 8</w:t>
            </w:r>
          </w:p>
        </w:tc>
      </w:tr>
      <w:tr>
        <w:tc>
          <w:tcPr>
            <w:tcW w:type="dxa" w:w="2268"/>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EventStorming</w:t>
            </w:r>
          </w:p>
        </w:tc>
        <w:tc>
          <w:tcPr>
            <w:tcW w:type="dxa" w:w="5896"/>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Brandolini’s workshop (2013): domain events on a timeline, built by business and engineering together; big-picture then design-level.</w:t>
            </w:r>
          </w:p>
        </w:tc>
        <w:tc>
          <w:tcPr>
            <w:tcW w:type="dxa" w:w="1361"/>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8, 14</w:t>
            </w:r>
          </w:p>
        </w:tc>
      </w:tr>
      <w:tr>
        <w:tc>
          <w:tcPr>
            <w:tcW w:type="dxa" w:w="2268"/>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Functional requirement; non-functional requirement</w:t>
            </w:r>
          </w:p>
        </w:tc>
        <w:tc>
          <w:tcPr>
            <w:tcW w:type="dxa" w:w="5896"/>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What the system does in response to a situation; a quality of that behavior or a constraint on the system that provides it.</w:t>
            </w:r>
          </w:p>
        </w:tc>
        <w:tc>
          <w:tcPr>
            <w:tcW w:type="dxa" w:w="1361"/>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14</w:t>
            </w:r>
          </w:p>
        </w:tc>
      </w:tr>
      <w:tr>
        <w:tc>
          <w:tcPr>
            <w:tcW w:type="dxa" w:w="2268"/>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Group chat</w:t>
            </w:r>
          </w:p>
        </w:tc>
        <w:tc>
          <w:tcPr>
            <w:tcW w:type="dxa" w:w="5896"/>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Several agents in one thread under a chat manager who decides who speaks next; typically read-only participants.</w:t>
            </w:r>
          </w:p>
        </w:tc>
        <w:tc>
          <w:tcPr>
            <w:tcW w:type="dxa" w:w="1361"/>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16</w:t>
            </w:r>
          </w:p>
        </w:tc>
      </w:tr>
      <w:tr>
        <w:tc>
          <w:tcPr>
            <w:tcW w:type="dxa" w:w="2268"/>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Handoff; routing</w:t>
            </w:r>
          </w:p>
        </w:tc>
        <w:tc>
          <w:tcPr>
            <w:tcW w:type="dxa" w:w="5896"/>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Control of a whole task transferred when an agent meets a limit; against classification once, at the front, from the input.</w:t>
            </w:r>
          </w:p>
        </w:tc>
        <w:tc>
          <w:tcPr>
            <w:tcW w:type="dxa" w:w="1361"/>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16</w:t>
            </w:r>
          </w:p>
        </w:tc>
      </w:tr>
      <w:tr>
        <w:tc>
          <w:tcPr>
            <w:tcW w:type="dxa" w:w="2268"/>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Hexagonal architecture</w:t>
            </w:r>
          </w:p>
        </w:tc>
        <w:tc>
          <w:tcPr>
            <w:tcW w:type="dxa" w:w="5896"/>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Ports and adapters (Cockburn, 2005): the domain in the middle; inbound and outbound adapters at the edge; the domain imports neither the web framework nor the database driver.</w:t>
            </w:r>
          </w:p>
        </w:tc>
        <w:tc>
          <w:tcPr>
            <w:tcW w:type="dxa" w:w="1361"/>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7, 8</w:t>
            </w:r>
          </w:p>
        </w:tc>
      </w:tr>
      <w:tr>
        <w:tc>
          <w:tcPr>
            <w:tcW w:type="dxa" w:w="2268"/>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Human checkpoint</w:t>
            </w:r>
          </w:p>
        </w:tc>
        <w:tc>
          <w:tcPr>
            <w:tcW w:type="dxa" w:w="5896"/>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 designed stop at which a person supplies a judgment and the system resumes from stored state; scoped to a draft or to one sensitive tool.</w:t>
            </w:r>
          </w:p>
        </w:tc>
        <w:tc>
          <w:tcPr>
            <w:tcW w:type="dxa" w:w="1361"/>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16, 15</w:t>
            </w:r>
          </w:p>
        </w:tc>
      </w:tr>
      <w:tr>
        <w:tc>
          <w:tcPr>
            <w:tcW w:type="dxa" w:w="2268"/>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Idempotent consumer</w:t>
            </w:r>
          </w:p>
        </w:tc>
        <w:tc>
          <w:tcPr>
            <w:tcW w:type="dxa" w:w="5896"/>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 handler that can receive the same message more than once and produce one effect.</w:t>
            </w:r>
          </w:p>
        </w:tc>
        <w:tc>
          <w:tcPr>
            <w:tcW w:type="dxa" w:w="1361"/>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4, 5, 6, 16</w:t>
            </w:r>
          </w:p>
        </w:tc>
      </w:tr>
      <w:tr>
        <w:tc>
          <w:tcPr>
            <w:tcW w:type="dxa" w:w="2268"/>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Knowledge areas (SWEBOK)</w:t>
            </w:r>
          </w:p>
        </w:tc>
        <w:tc>
          <w:tcPr>
            <w:tcW w:type="dxa" w:w="5896"/>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The eighteen areas of the Guide, version 4.0 and 4.0a; architecture, security, and operations new as areas.</w:t>
            </w:r>
          </w:p>
        </w:tc>
        <w:tc>
          <w:tcPr>
            <w:tcW w:type="dxa" w:w="1361"/>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15</w:t>
            </w:r>
          </w:p>
        </w:tc>
      </w:tr>
      <w:tr>
        <w:tc>
          <w:tcPr>
            <w:tcW w:type="dxa" w:w="2268"/>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Life-cycle processes (ISO/IEC/IEEE 12207:2017)</w:t>
            </w:r>
          </w:p>
        </w:tc>
        <w:tc>
          <w:tcPr>
            <w:tcW w:type="dxa" w:w="5896"/>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Thirty processes in four groups — agreement, organizational project-enabling, technical management, technical — with no life-cycle model prescribed.</w:t>
            </w:r>
          </w:p>
        </w:tc>
        <w:tc>
          <w:tcPr>
            <w:tcW w:type="dxa" w:w="1361"/>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15</w:t>
            </w:r>
          </w:p>
        </w:tc>
      </w:tr>
      <w:tr>
        <w:tc>
          <w:tcPr>
            <w:tcW w:type="dxa" w:w="2268"/>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Magentic orchestration; task ledger</w:t>
            </w:r>
          </w:p>
        </w:tc>
        <w:tc>
          <w:tcPr>
            <w:tcW w:type="dxa" w:w="5896"/>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 manager keeps a ledger of goals and subgoals, replans when progress stalls, and sends workers at external systems (Magentic-One, 2024).</w:t>
            </w:r>
          </w:p>
        </w:tc>
        <w:tc>
          <w:tcPr>
            <w:tcW w:type="dxa" w:w="1361"/>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16</w:t>
            </w:r>
          </w:p>
        </w:tc>
      </w:tr>
      <w:tr>
        <w:tc>
          <w:tcPr>
            <w:tcW w:type="dxa" w:w="2268"/>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Maintenance categories</w:t>
            </w:r>
          </w:p>
        </w:tc>
        <w:tc>
          <w:tcPr>
            <w:tcW w:type="dxa" w:w="5896"/>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Corrective, preventive, adaptive, additive, perfective, emergency (ISO/IEC/IEEE 14764).</w:t>
            </w:r>
          </w:p>
        </w:tc>
        <w:tc>
          <w:tcPr>
            <w:tcW w:type="dxa" w:w="1361"/>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15</w:t>
            </w:r>
          </w:p>
        </w:tc>
      </w:tr>
      <w:tr>
        <w:tc>
          <w:tcPr>
            <w:tcW w:type="dxa" w:w="2268"/>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Microservice chassis; sidecar; service mesh</w:t>
            </w:r>
          </w:p>
        </w:tc>
        <w:tc>
          <w:tcPr>
            <w:tcW w:type="dxa" w:w="5896"/>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Cross-cutting concerns in a library every service compiles in; in a process beside the service; in a data plane of proxies configured by a control plane.</w:t>
            </w:r>
          </w:p>
        </w:tc>
        <w:tc>
          <w:tcPr>
            <w:tcW w:type="dxa" w:w="1361"/>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4, 5, 6, 10, 11</w:t>
            </w:r>
          </w:p>
        </w:tc>
      </w:tr>
      <w:tr>
        <w:tc>
          <w:tcPr>
            <w:tcW w:type="dxa" w:w="2268"/>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Microservice premium</w:t>
            </w:r>
          </w:p>
        </w:tc>
        <w:tc>
          <w:tcPr>
            <w:tcW w:type="dxa" w:w="5896"/>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Fowler, 13 May 2015: distribution adds complexity and risk that a team should not pay before it needs to.</w:t>
            </w:r>
          </w:p>
        </w:tc>
        <w:tc>
          <w:tcPr>
            <w:tcW w:type="dxa" w:w="1361"/>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3, 9</w:t>
            </w:r>
          </w:p>
        </w:tc>
      </w:tr>
      <w:tr>
        <w:tc>
          <w:tcPr>
            <w:tcW w:type="dxa" w:w="2268"/>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Modular monolith</w:t>
            </w:r>
          </w:p>
        </w:tc>
        <w:tc>
          <w:tcPr>
            <w:tcW w:type="dxa" w:w="5896"/>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One deployable unit with internal boundaries enforced in the code (Shopify’s Packwerk).</w:t>
            </w:r>
          </w:p>
        </w:tc>
        <w:tc>
          <w:tcPr>
            <w:tcW w:type="dxa" w:w="1361"/>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2, 3, 6</w:t>
            </w:r>
          </w:p>
        </w:tc>
      </w:tr>
      <w:tr>
        <w:tc>
          <w:tcPr>
            <w:tcW w:type="dxa" w:w="2268"/>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Multi-tenancy; silo, pool, bridge</w:t>
            </w:r>
          </w:p>
        </w:tc>
        <w:tc>
          <w:tcPr>
            <w:tcW w:type="dxa" w:w="5896"/>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Many customer organizations in one product; dedicated, shared, or mixed placement of a tenant’s resources.</w:t>
            </w:r>
          </w:p>
        </w:tc>
        <w:tc>
          <w:tcPr>
            <w:tcW w:type="dxa" w:w="1361"/>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12</w:t>
            </w:r>
          </w:p>
        </w:tc>
      </w:tr>
      <w:tr>
        <w:tc>
          <w:tcPr>
            <w:tcW w:type="dxa" w:w="2268"/>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Nine characteristics</w:t>
            </w:r>
          </w:p>
        </w:tc>
        <w:tc>
          <w:tcPr>
            <w:tcW w:type="dxa" w:w="5896"/>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Lewis and Fowler’s 2014 list; the baseline this research tests AI against.</w:t>
            </w:r>
          </w:p>
        </w:tc>
        <w:tc>
          <w:tcPr>
            <w:tcW w:type="dxa" w:w="1361"/>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3</w:t>
            </w:r>
          </w:p>
        </w:tc>
      </w:tr>
      <w:tr>
        <w:tc>
          <w:tcPr>
            <w:tcW w:type="dxa" w:w="2268"/>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Noisy neighbor</w:t>
            </w:r>
          </w:p>
        </w:tc>
        <w:tc>
          <w:tcPr>
            <w:tcW w:type="dxa" w:w="5896"/>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 pooled tenant’s spike degrading the others; quotas and rate limits as the tenant-grain bulkhead.</w:t>
            </w:r>
          </w:p>
        </w:tc>
        <w:tc>
          <w:tcPr>
            <w:tcW w:type="dxa" w:w="1361"/>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12, 14</w:t>
            </w:r>
          </w:p>
        </w:tc>
      </w:tr>
      <w:tr>
        <w:tc>
          <w:tcPr>
            <w:tcW w:type="dxa" w:w="2268"/>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Orchestrator-workers</w:t>
            </w:r>
          </w:p>
        </w:tc>
        <w:tc>
          <w:tcPr>
            <w:tcW w:type="dxa" w:w="5896"/>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 central model invents the subtasks at runtime, delegates them, and synthesizes; saga orchestration whose steps are proposed per input.</w:t>
            </w:r>
          </w:p>
        </w:tc>
        <w:tc>
          <w:tcPr>
            <w:tcW w:type="dxa" w:w="1361"/>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16</w:t>
            </w:r>
          </w:p>
        </w:tc>
      </w:tr>
      <w:tr>
        <w:tc>
          <w:tcPr>
            <w:tcW w:type="dxa" w:w="2268"/>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Parallelization</w:t>
            </w:r>
          </w:p>
        </w:tc>
        <w:tc>
          <w:tcPr>
            <w:tcW w:type="dxa" w:w="5896"/>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Independent model calls run together and joined — sectioning or voting; API composition of judgments rather than facts.</w:t>
            </w:r>
          </w:p>
        </w:tc>
        <w:tc>
          <w:tcPr>
            <w:tcW w:type="dxa" w:w="1361"/>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16</w:t>
            </w:r>
          </w:p>
        </w:tc>
      </w:tr>
      <w:tr>
        <w:tc>
          <w:tcPr>
            <w:tcW w:type="dxa" w:w="2268"/>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Pod; Deployment; Service; probe</w:t>
            </w:r>
          </w:p>
        </w:tc>
        <w:tc>
          <w:tcPr>
            <w:tcW w:type="dxa" w:w="5896"/>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Kubernetes objects: the scheduled unit, the desired set of copies, the stable name, and the liveness, readiness, and startup checks.</w:t>
            </w:r>
          </w:p>
        </w:tc>
        <w:tc>
          <w:tcPr>
            <w:tcW w:type="dxa" w:w="1361"/>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10, 6</w:t>
            </w:r>
          </w:p>
        </w:tc>
      </w:tr>
      <w:tr>
        <w:tc>
          <w:tcPr>
            <w:tcW w:type="dxa" w:w="2268"/>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Pressman’s categories</w:t>
            </w:r>
          </w:p>
        </w:tc>
        <w:tc>
          <w:tcPr>
            <w:tcW w:type="dxa" w:w="5896"/>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Seven kinds of software by the problem solved, including web applications and artificial-intelligence software.</w:t>
            </w:r>
          </w:p>
        </w:tc>
        <w:tc>
          <w:tcPr>
            <w:tcW w:type="dxa" w:w="1361"/>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2, 15</w:t>
            </w:r>
          </w:p>
        </w:tc>
      </w:tr>
      <w:tr>
        <w:tc>
          <w:tcPr>
            <w:tcW w:type="dxa" w:w="2268"/>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Prompt chaining</w:t>
            </w:r>
          </w:p>
        </w:tc>
        <w:tc>
          <w:tcPr>
            <w:tcW w:type="dxa" w:w="5896"/>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 fixed sequence of model calls, each taking the previous output, with programmatic gates between steps; a pipeline, not a saga.</w:t>
            </w:r>
          </w:p>
        </w:tc>
        <w:tc>
          <w:tcPr>
            <w:tcW w:type="dxa" w:w="1361"/>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16</w:t>
            </w:r>
          </w:p>
        </w:tc>
      </w:tr>
      <w:tr>
        <w:tc>
          <w:tcPr>
            <w:tcW w:type="dxa" w:w="2268"/>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Quality-attribute scenario</w:t>
            </w:r>
          </w:p>
        </w:tc>
        <w:tc>
          <w:tcPr>
            <w:tcW w:type="dxa" w:w="5896"/>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Bass, Clements, and Kazman’s six-part testable form: source, stimulus, artifact, environment, response, measure.</w:t>
            </w:r>
          </w:p>
        </w:tc>
        <w:tc>
          <w:tcPr>
            <w:tcW w:type="dxa" w:w="1361"/>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14, 15</w:t>
            </w:r>
          </w:p>
        </w:tc>
      </w:tr>
      <w:tr>
        <w:tc>
          <w:tcPr>
            <w:tcW w:type="dxa" w:w="2268"/>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Retrieval-augmented generation</w:t>
            </w:r>
          </w:p>
        </w:tc>
        <w:tc>
          <w:tcPr>
            <w:tcW w:type="dxa" w:w="5896"/>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 retriever fetches passages and a generator writes the answer conditioned on them (Lewis et al., 2020); the index as a read model.</w:t>
            </w:r>
          </w:p>
        </w:tc>
        <w:tc>
          <w:tcPr>
            <w:tcW w:type="dxa" w:w="1361"/>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16</w:t>
            </w:r>
          </w:p>
        </w:tc>
      </w:tr>
      <w:tr>
        <w:tc>
          <w:tcPr>
            <w:tcW w:type="dxa" w:w="2268"/>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Saga; choreography; orchestration</w:t>
            </w:r>
          </w:p>
        </w:tc>
        <w:tc>
          <w:tcPr>
            <w:tcW w:type="dxa" w:w="5896"/>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 business action as a sequence of local transactions with compensations (1987); coordinated by each service reacting to events, or by one coordinator.</w:t>
            </w:r>
          </w:p>
        </w:tc>
        <w:tc>
          <w:tcPr>
            <w:tcW w:type="dxa" w:w="1361"/>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4, 6, 7, 16</w:t>
            </w:r>
          </w:p>
        </w:tc>
      </w:tr>
      <w:tr>
        <w:tc>
          <w:tcPr>
            <w:tcW w:type="dxa" w:w="2268"/>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Scale cube</w:t>
            </w:r>
          </w:p>
        </w:tc>
        <w:tc>
          <w:tcPr>
            <w:tcW w:type="dxa" w:w="5896"/>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Abbott and Fisher: X runs more copies, Y splits by function, Z partitions data.</w:t>
            </w:r>
          </w:p>
        </w:tc>
        <w:tc>
          <w:tcPr>
            <w:tcW w:type="dxa" w:w="1361"/>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8, 10, 11</w:t>
            </w:r>
          </w:p>
        </w:tc>
      </w:tr>
      <w:tr>
        <w:tc>
          <w:tcPr>
            <w:tcW w:type="dxa" w:w="2268"/>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Self-contained service; self-contained system</w:t>
            </w:r>
          </w:p>
        </w:tc>
        <w:tc>
          <w:tcPr>
            <w:tcW w:type="dxa" w:w="5896"/>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Richardson’s service that answers a synchronous request without calling another; INNOQ’s team-owned vertical slice with its own UI, logic, and data.</w:t>
            </w:r>
          </w:p>
        </w:tc>
        <w:tc>
          <w:tcPr>
            <w:tcW w:type="dxa" w:w="1361"/>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4, 6, 8, 2</w:t>
            </w:r>
          </w:p>
        </w:tc>
      </w:tr>
      <w:tr>
        <w:tc>
          <w:tcPr>
            <w:tcW w:type="dxa" w:w="2268"/>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Service models (NIST)</w:t>
            </w:r>
          </w:p>
        </w:tc>
        <w:tc>
          <w:tcPr>
            <w:tcW w:type="dxa" w:w="5896"/>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IaaS, PaaS, SaaS, sorted by what is provided and the primary customer; no fourth model.</w:t>
            </w:r>
          </w:p>
        </w:tc>
        <w:tc>
          <w:tcPr>
            <w:tcW w:type="dxa" w:w="1361"/>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13, 2, 9</w:t>
            </w:r>
          </w:p>
        </w:tc>
      </w:tr>
      <w:tr>
        <w:tc>
          <w:tcPr>
            <w:tcW w:type="dxa" w:w="2268"/>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Service per team</w:t>
            </w:r>
          </w:p>
        </w:tc>
        <w:tc>
          <w:tcPr>
            <w:tcW w:type="dxa" w:w="5896"/>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The boundary follows the team: two-pizza teams, squads, full-cycle developers, stream-aligned teams.</w:t>
            </w:r>
          </w:p>
        </w:tc>
        <w:tc>
          <w:tcPr>
            <w:tcW w:type="dxa" w:w="1361"/>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4, 6, 8</w:t>
            </w:r>
          </w:p>
        </w:tc>
      </w:tr>
      <w:tr>
        <w:tc>
          <w:tcPr>
            <w:tcW w:type="dxa" w:w="2268"/>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Smart endpoints, dumb pipes</w:t>
            </w:r>
          </w:p>
        </w:tc>
        <w:tc>
          <w:tcPr>
            <w:tcW w:type="dxa" w:w="5896"/>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Routing and business rules in the services, not in the bus; the 2014 rejection of the enterprise service bus.</w:t>
            </w:r>
          </w:p>
        </w:tc>
        <w:tc>
          <w:tcPr>
            <w:tcW w:type="dxa" w:w="1361"/>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3, 4, 6, 16</w:t>
            </w:r>
          </w:p>
        </w:tc>
      </w:tr>
      <w:tr>
        <w:tc>
          <w:tcPr>
            <w:tcW w:type="dxa" w:w="2268"/>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Strangler application</w:t>
            </w:r>
          </w:p>
        </w:tc>
        <w:tc>
          <w:tcPr>
            <w:tcW w:type="dxa" w:w="5896"/>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The new system grows around the old behind a facade that routes each request, until the old can be retired (Fowler, 2004).</w:t>
            </w:r>
          </w:p>
        </w:tc>
        <w:tc>
          <w:tcPr>
            <w:tcW w:type="dxa" w:w="1361"/>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4, 6</w:t>
            </w:r>
          </w:p>
        </w:tc>
      </w:tr>
      <w:tr>
        <w:tc>
          <w:tcPr>
            <w:tcW w:type="dxa" w:w="2268"/>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Team Topologies</w:t>
            </w:r>
          </w:p>
        </w:tc>
        <w:tc>
          <w:tcPr>
            <w:tcW w:type="dxa" w:w="5896"/>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Stream-aligned, enabling, complicated-subsystem, and platform teams; collaboration, X-as-a-service, and facilitating (Skelton and Pais, 2019).</w:t>
            </w:r>
          </w:p>
        </w:tc>
        <w:tc>
          <w:tcPr>
            <w:tcW w:type="dxa" w:w="1361"/>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8, 9, 10, 11, 12</w:t>
            </w:r>
          </w:p>
        </w:tc>
      </w:tr>
      <w:tr>
        <w:tc>
          <w:tcPr>
            <w:tcW w:type="dxa" w:w="2268"/>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Transactional outbox; log tailing; polling publisher</w:t>
            </w:r>
          </w:p>
        </w:tc>
        <w:tc>
          <w:tcPr>
            <w:tcW w:type="dxa" w:w="5896"/>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The business row and the message leave together: an outbox row in the same transaction, published by tailing the database log or by polling.</w:t>
            </w:r>
          </w:p>
        </w:tc>
        <w:tc>
          <w:tcPr>
            <w:tcW w:type="dxa" w:w="1361"/>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4, 6, 7</w:t>
            </w:r>
          </w:p>
        </w:tc>
      </w:tr>
      <w:tr>
        <w:tc>
          <w:tcPr>
            <w:tcW w:type="dxa" w:w="2268"/>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Transaction script</w:t>
            </w:r>
          </w:p>
        </w:tc>
        <w:tc>
          <w:tcPr>
            <w:tcW w:type="dxa" w:w="5896"/>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The endpoint checks a few fields and writes a row; no aggregate. The right interior for thin rules.</w:t>
            </w:r>
          </w:p>
        </w:tc>
        <w:tc>
          <w:tcPr>
            <w:tcW w:type="dxa" w:w="1361"/>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7, 16</w:t>
            </w:r>
          </w:p>
        </w:tc>
      </w:tr>
      <w:tr>
        <w:tc>
          <w:tcPr>
            <w:tcW w:type="dxa" w:w="2268"/>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Twelve-Factor App</w:t>
            </w:r>
          </w:p>
        </w:tc>
        <w:tc>
          <w:tcPr>
            <w:tcW w:type="dxa" w:w="5896"/>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Heroku, 2011: the contract between an application and a platform — config in the environment, backing services attached, disposable processes, logs as streams.</w:t>
            </w:r>
          </w:p>
        </w:tc>
        <w:tc>
          <w:tcPr>
            <w:tcW w:type="dxa" w:w="1361"/>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3, 9, 10, 11, 6</w:t>
            </w:r>
          </w:p>
        </w:tc>
      </w:tr>
      <w:tr>
        <w:tc>
          <w:tcPr>
            <w:tcW w:type="dxa" w:w="2268"/>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Two control loops</w:t>
            </w:r>
          </w:p>
        </w:tc>
        <w:tc>
          <w:tcPr>
            <w:tcW w:type="dxa" w:w="5896"/>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The platform reconciles declared state over instances; the domain enforces business invariants. They do not share a subject.</w:t>
            </w:r>
          </w:p>
        </w:tc>
        <w:tc>
          <w:tcPr>
            <w:tcW w:type="dxa" w:w="1361"/>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10, 9</w:t>
            </w:r>
          </w:p>
        </w:tc>
      </w:tr>
      <w:tr>
        <w:tc>
          <w:tcPr>
            <w:tcW w:type="dxa" w:w="2268"/>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Verification; validation</w:t>
            </w:r>
          </w:p>
        </w:tc>
        <w:tc>
          <w:tcPr>
            <w:tcW w:type="dxa" w:w="5896"/>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Meets the specified requirement; serves the intended use. Both are checks and they answer different questions.</w:t>
            </w:r>
          </w:p>
        </w:tc>
        <w:tc>
          <w:tcPr>
            <w:tcW w:type="dxa" w:w="1361"/>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15</w:t>
            </w:r>
          </w:p>
        </w:tc>
      </w:tr>
      <w:tr>
        <w:tc>
          <w:tcPr>
            <w:tcW w:type="dxa" w:w="2268"/>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Workload identity</w:t>
            </w:r>
          </w:p>
        </w:tc>
        <w:tc>
          <w:tcPr>
            <w:tcW w:type="dxa" w:w="5896"/>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Who the pod is allowed to be toward the platform API or a cloud service; distinct from the access token that names the actor.</w:t>
            </w:r>
          </w:p>
        </w:tc>
        <w:tc>
          <w:tcPr>
            <w:tcW w:type="dxa" w:w="1361"/>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10</w:t>
            </w:r>
          </w:p>
        </w:tc>
      </w:tr>
      <w:tr>
        <w:tc>
          <w:tcPr>
            <w:tcW w:type="dxa" w:w="2268"/>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Agent2Agent</w:t>
            </w:r>
          </w:p>
        </w:tc>
        <w:tc>
          <w:tcPr>
            <w:tcW w:type="dxa" w:w="5896"/>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Google’s April 2025 protocol by which opaque agents publish capabilities and collaborate. A pipe, not yet a saga.</w:t>
            </w:r>
          </w:p>
        </w:tc>
        <w:tc>
          <w:tcPr>
            <w:tcW w:type="dxa" w:w="1361"/>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19</w:t>
            </w:r>
          </w:p>
        </w:tc>
      </w:tr>
      <w:tr>
        <w:tc>
          <w:tcPr>
            <w:tcW w:type="dxa" w:w="2268"/>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Constrained decoding</w:t>
            </w:r>
          </w:p>
        </w:tc>
        <w:tc>
          <w:tcPr>
            <w:tcW w:type="dxa" w:w="5896"/>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 mask inside the model’s token loop so an output that would break a stated shape is not chosen.</w:t>
            </w:r>
          </w:p>
        </w:tc>
        <w:tc>
          <w:tcPr>
            <w:tcW w:type="dxa" w:w="1361"/>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17, 20</w:t>
            </w:r>
          </w:p>
        </w:tc>
      </w:tr>
      <w:tr>
        <w:tc>
          <w:tcPr>
            <w:tcW w:type="dxa" w:w="2268"/>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GenAI gateway</w:t>
            </w:r>
          </w:p>
        </w:tc>
        <w:tc>
          <w:tcPr>
            <w:tcW w:type="dxa" w:w="5896"/>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One service or proxy in front of model providers: authentication, a meter, and often a privacy transform. A backing-service door.</w:t>
            </w:r>
          </w:p>
        </w:tc>
        <w:tc>
          <w:tcPr>
            <w:tcW w:type="dxa" w:w="1361"/>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19, 20</w:t>
            </w:r>
          </w:p>
        </w:tc>
      </w:tr>
      <w:tr>
        <w:tc>
          <w:tcPr>
            <w:tcW w:type="dxa" w:w="2268"/>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Model Context Protocol</w:t>
            </w:r>
          </w:p>
        </w:tc>
        <w:tc>
          <w:tcPr>
            <w:tcW w:type="dxa" w:w="5896"/>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Anthropic’s November 2024 protocol for attaching tools to a host. Consent before a tool runs. It does not decide which data the tool may write.</w:t>
            </w:r>
          </w:p>
        </w:tc>
        <w:tc>
          <w:tcPr>
            <w:tcW w:type="dxa" w:w="1361"/>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18, 19</w:t>
            </w:r>
          </w:p>
        </w:tc>
      </w:tr>
    </w:tbl>
    <w:p/>
    <w:p>
      <w:pPr>
        <w:pStyle w:val="Heading2"/>
      </w:pPr>
      <w:r>
        <w:rPr>
          <w:rFonts w:ascii="Segoe UI Emoji" w:hAnsi="Segoe UI Emoji" w:eastAsia="Segoe UI Emoji" w:cs="Segoe UI Emoji"/>
        </w:rPr>
        <w:t xml:space="preserve">✍️ </w:t>
      </w:r>
      <w:r>
        <w:t>What is not yet written</w:t>
      </w:r>
    </w:p>
    <w:p>
      <w:pPr>
        <w:pStyle w:val="ListBullet"/>
        <w:spacing w:after="80"/>
        <w:ind w:left="709"/>
      </w:pPr>
      <w:r>
        <w:rPr>
          <w:rFonts w:ascii="Calibri" w:hAnsi="Calibri" w:eastAsia="Calibri"/>
          <w:b w:val="0"/>
          <w:i w:val="0"/>
          <w:sz w:val="22"/>
        </w:rPr>
        <w:t>Chapters of their own for the knowledge areas Chapter 15 marked as named rather than treated: software testing as a discipline, software security, and software engineering management. Construction and configuration management are practiced in Chapters 17 and 20 — infrastructure-as-code, a gated pull request — and are not yet chapters of their own.</w:t>
      </w:r>
    </w:p>
    <w:p>
      <w:pPr>
        <w:pStyle w:val="ListBullet"/>
        <w:spacing w:after="80"/>
        <w:ind w:left="709"/>
      </w:pPr>
      <w:r>
        <w:rPr>
          <w:rFonts w:ascii="Calibri" w:hAnsi="Calibri" w:eastAsia="Calibri"/>
          <w:b w:val="0"/>
          <w:i w:val="0"/>
          <w:sz w:val="22"/>
        </w:rPr>
        <w:t>The article itself, which the aim describes as written from the evidence gathered, and for which this arrangement is the plan of the work.</w:t>
      </w:r>
    </w:p>
    <w:p>
      <w:pPr>
        <w:spacing w:before="40" w:after="200"/>
      </w:pPr>
      <w:r>
        <w:rPr>
          <w:rFonts w:ascii="Calibri" w:hAnsi="Calibri" w:eastAsia="Calibri"/>
          <w:b w:val="0"/>
          <w:i/>
          <w:color w:val="5A626E"/>
          <w:sz w:val="19"/>
        </w:rPr>
        <w:t>Sources: the answers of the working series, dated 29 September 2026. The rules, the concordance, the timeline, the cases, and the glossary are compiled from those chapters and add no claim that is not made in one of them.</w:t>
      </w:r>
    </w:p>
    <w:tbl>
      <w:tblPr>
        <w:tblW w:type="auto" w:w="0"/>
        <w:jc w:val="center"/>
        <w:tblLayout w:type="fixed"/>
        <w:tblLook w:firstColumn="1" w:firstRow="1" w:lastColumn="0" w:lastRow="0" w:noHBand="0" w:noVBand="1" w:val="04A0"/>
      </w:tblPr>
      <w:tblGrid>
        <w:gridCol w:w="9518"/>
      </w:tblGrid>
      <w:tr>
        <w:tc>
          <w:tcPr>
            <w:tcW w:type="dxa" w:w="9411"/>
            <w:shd w:fill="EAF7EE" w:val="clear"/>
            <w:tcBorders>
              <w:top w:val="nil"/>
              <w:left w:val="single" w:sz="28" w:space="0" w:color="1E7A46"/>
              <w:bottom w:val="nil"/>
              <w:right w:val="nil"/>
            </w:tcBorders>
            <w:tcMar>
              <w:top w:w="80" w:type="dxa"/>
              <w:left w:w="160" w:type="dxa"/>
              <w:bottom w:w="80" w:type="dxa"/>
              <w:right w:w="160" w:type="dxa"/>
            </w:tcMar>
          </w:tcPr>
          <w:p>
            <w:pPr>
              <w:spacing w:after="60"/>
            </w:pPr>
            <w:r>
              <w:rPr>
                <w:rFonts w:ascii="Segoe UI Emoji" w:hAnsi="Segoe UI Emoji" w:eastAsia="Segoe UI Emoji" w:cs="Segoe UI Emoji"/>
                <w:b w:val="0"/>
                <w:i w:val="0"/>
                <w:sz w:val="24"/>
              </w:rPr>
              <w:t xml:space="preserve">🔁  </w:t>
            </w:r>
            <w:r>
              <w:rPr>
                <w:b/>
                <w:i w:val="0"/>
                <w:color w:val="1E7A46"/>
                <w:sz w:val="22"/>
              </w:rPr>
              <w:t>Read it again: three things to carry away</w:t>
            </w:r>
          </w:p>
          <w:p>
            <w:pPr>
              <w:spacing w:after="60"/>
            </w:pPr>
            <w:r>
              <w:rPr>
                <w:b/>
                <w:i w:val="0"/>
                <w:color w:val="1E7A46"/>
                <w:sz w:val="21"/>
              </w:rPr>
              <w:t xml:space="preserve">1.  </w:t>
            </w:r>
            <w:r>
              <w:rPr>
                <w:b w:val="0"/>
                <w:i w:val="0"/>
                <w:sz w:val="21"/>
              </w:rPr>
              <w:t>Read in chapter order: question, baseline, inside, platform, yardstick, AI system, then what changed.</w:t>
            </w:r>
          </w:p>
          <w:p>
            <w:pPr>
              <w:spacing w:after="60"/>
            </w:pPr>
            <w:r>
              <w:rPr>
                <w:b/>
                <w:i w:val="0"/>
                <w:color w:val="1E7A46"/>
                <w:sz w:val="21"/>
              </w:rPr>
              <w:t xml:space="preserve">2.  </w:t>
            </w:r>
            <w:r>
              <w:rPr>
                <w:b w:val="0"/>
                <w:i w:val="0"/>
                <w:sz w:val="21"/>
              </w:rPr>
              <w:t>The spine: a claim must name the decision it changed.</w:t>
            </w:r>
          </w:p>
          <w:p>
            <w:pPr>
              <w:spacing w:after="0"/>
            </w:pPr>
            <w:r>
              <w:rPr>
                <w:b/>
                <w:i w:val="0"/>
                <w:color w:val="1E7A46"/>
                <w:sz w:val="21"/>
              </w:rPr>
              <w:t xml:space="preserve">3.  </w:t>
            </w:r>
            <w:r>
              <w:rPr>
                <w:b w:val="0"/>
                <w:i w:val="0"/>
                <w:sz w:val="21"/>
              </w:rPr>
              <w:t>What moved is the call to the model. The business boundary, the owner of the fact, and the acceptance of a change stayed put.</w:t>
            </w:r>
          </w:p>
        </w:tc>
      </w:tr>
    </w:tbl>
    <w:p>
      <w:pPr>
        <w:spacing w:after="0" w:before="0"/>
      </w:pPr>
      <w:r>
        <w:rPr>
          <w:sz w:val="8"/>
        </w:rPr>
        <w:t xml:space="preserve"> </w:t>
      </w:r>
    </w:p>
    <w:sectPr w:rsidR="00FC693F" w:rsidRPr="0006063C" w:rsidSect="00034616">
      <w:headerReference w:type="default" r:id="rId9"/>
      <w:footerReference w:type="default" r:id="rId10"/>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eastAsia="Calibri"/>
        <w:b w:val="0"/>
        <w:i w:val="0"/>
        <w:color w:val="5A626E"/>
        <w:sz w:val="18"/>
      </w:rPr>
      <w:t xml:space="preserve">Research draft  ·  AI and microservice architecture  ·  </w:t>
    </w:r>
    <w:r>
      <w:rPr>
        <w:rFonts w:ascii="Calibri" w:hAnsi="Calibri" w:eastAsia="Calibri"/>
        <w:b w:val="0"/>
        <w:i w:val="0"/>
        <w:color w:val="5A626E"/>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Calibri"/>
        <w:b/>
        <w:i w:val="0"/>
        <w:color w:val="1F4E79"/>
        <w:sz w:val="18"/>
      </w:rPr>
      <w:t>AI AND MICROSERVICE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before="0" w:lineRule="auto" w:line="269"/>
    </w:pPr>
    <w:rPr>
      <w:rFonts w:ascii="Calibri" w:hAnsi="Calibri"/>
      <w:color w:val="1E21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line="259" w:lineRule="auto"/>
      <w:outlineLvl w:val="0"/>
    </w:pPr>
    <w:rPr>
      <w:rFonts w:asciiTheme="majorHAnsi" w:eastAsiaTheme="majorEastAsia" w:hAnsiTheme="majorHAnsi" w:cstheme="majorBidi" w:ascii="Calibri" w:hAnsi="Calibri"/>
      <w:b/>
      <w:bCs/>
      <w:color w:val="142846"/>
      <w:sz w:val="44"/>
      <w:szCs w:val="28"/>
    </w:rPr>
  </w:style>
  <w:style w:type="paragraph" w:styleId="Heading2">
    <w:name w:val="heading 2"/>
    <w:basedOn w:val="Normal"/>
    <w:next w:val="Normal"/>
    <w:link w:val="Heading2Char"/>
    <w:uiPriority w:val="9"/>
    <w:unhideWhenUsed/>
    <w:qFormat/>
    <w:rsid w:val="00FC693F"/>
    <w:pPr>
      <w:keepNext/>
      <w:keepLines/>
      <w:spacing w:before="320" w:after="120" w:line="259" w:lineRule="auto"/>
      <w:outlineLvl w:val="1"/>
    </w:pPr>
    <w:rPr>
      <w:rFonts w:asciiTheme="majorHAnsi" w:eastAsiaTheme="majorEastAsia" w:hAnsiTheme="majorHAnsi" w:cstheme="majorBidi" w:ascii="Calibri" w:hAnsi="Calibri"/>
      <w:b/>
      <w:bCs/>
      <w:color w:val="1F4E79"/>
      <w:sz w:val="32"/>
      <w:szCs w:val="26"/>
    </w:rPr>
  </w:style>
  <w:style w:type="paragraph" w:styleId="Heading3">
    <w:name w:val="heading 3"/>
    <w:basedOn w:val="Normal"/>
    <w:next w:val="Normal"/>
    <w:link w:val="Heading3Char"/>
    <w:uiPriority w:val="9"/>
    <w:unhideWhenUsed/>
    <w:qFormat/>
    <w:rsid w:val="00FC693F"/>
    <w:pPr>
      <w:keepNext/>
      <w:keepLines/>
      <w:spacing w:before="240" w:after="80" w:line="259" w:lineRule="auto"/>
      <w:outlineLvl w:val="2"/>
    </w:pPr>
    <w:rPr>
      <w:rFonts w:asciiTheme="majorHAnsi" w:eastAsiaTheme="majorEastAsia" w:hAnsiTheme="majorHAnsi" w:cstheme="majorBidi" w:ascii="Calibri" w:hAnsi="Calibri"/>
      <w:b/>
      <w:bCs/>
      <w:color w:val="28374B"/>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Arrangement of the research</dc:title>
  <dc:subject>The plan of the work: parts, chapters, and the rules of evidence — reading edition</dc:subject>
  <dc:creator>python-docx</dc:creator>
  <cp:keywords/>
  <dc:description>Working research notes for an article on how AI has influenced the architecture of microservices. Draft of 29 September 2026.</dc:description>
  <cp:lastModifiedBy/>
  <cp:revision>1</cp:revision>
  <dcterms:created xsi:type="dcterms:W3CDTF">2013-12-23T23:15:00Z</dcterms:created>
  <dcterms:modified xsi:type="dcterms:W3CDTF">2013-12-23T23:15:00Z</dcterms:modified>
  <cp:category>Research draft</cp:category>
</cp:coreProperties>
</file>