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 Emoji" w:hAnsi="Segoe UI Emoji" w:eastAsia="Segoe UI Emoji" w:cs="Segoe UI Emoji"/>
        </w:rPr>
        <w:t xml:space="preserve">🏢 </w:t>
      </w:r>
      <w:r>
        <w:t>Requirements of a SaaS system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Answer 9 of the working series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29 September 2026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464E5A"/>
          <w:sz w:val="21"/>
        </w:rPr>
        <w:t>SaaS here is Software as a Service. The spelling SAS in the question is read as that cloud model, not as the SAS analytics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4F7FB" w:val="clear"/>
            <w:tcBorders>
              <w:top w:val="nil"/>
              <w:left w:val="single" w:sz="28" w:space="0" w:color="1F4E79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🔑  </w:t>
            </w:r>
            <w:r>
              <w:rPr>
                <w:b/>
                <w:i w:val="0"/>
                <w:color w:val="1F4E79"/>
                <w:sz w:val="22"/>
              </w:rPr>
              <w:t>How to read this edition</w:t>
            </w:r>
          </w:p>
          <w:p>
            <w:pPr>
              <w:spacing w:after="40"/>
            </w:pPr>
            <w:r>
              <w:rPr>
                <w:b/>
                <w:i w:val="0"/>
                <w:color w:val="142846"/>
                <w:sz w:val="21"/>
                <w:shd w:val="clear" w:color="auto" w:fill="FFF1B8"/>
              </w:rPr>
              <w:t>The central idea of the chapter</w:t>
            </w:r>
            <w:r>
              <w:rPr>
                <w:b w:val="0"/>
                <w:i w:val="0"/>
                <w:sz w:val="21"/>
              </w:rPr>
              <w:t xml:space="preserve"> — bold, on a yellow marker.</w:t>
            </w:r>
          </w:p>
          <w:p>
            <w:pPr>
              <w:spacing w:after="40"/>
            </w:pPr>
            <w:r>
              <w:rPr>
                <w:b w:val="0"/>
                <w:i w:val="0"/>
                <w:color w:val="1B5E9E"/>
                <w:sz w:val="21"/>
                <w:u w:val="single"/>
              </w:rPr>
              <w:t>An important sentence</w:t>
            </w:r>
            <w:r>
              <w:rPr>
                <w:b w:val="0"/>
                <w:i w:val="0"/>
                <w:sz w:val="21"/>
              </w:rPr>
              <w:t xml:space="preserve"> — blue and underlined, in the text itself.</w:t>
            </w:r>
          </w:p>
          <w:p>
            <w:pPr>
              <w:spacing w:after="40"/>
            </w:pPr>
            <w:r>
              <w:rPr>
                <w:b w:val="0"/>
                <w:i w:val="0"/>
                <w:color w:val="6B2D8B"/>
                <w:sz w:val="21"/>
                <w:u w:val="dotted"/>
              </w:rPr>
              <w:t>A technical term</w:t>
            </w:r>
            <w:r>
              <w:rPr>
                <w:b w:val="0"/>
                <w:i w:val="0"/>
                <w:sz w:val="21"/>
              </w:rPr>
              <w:t xml:space="preserve"> — plum with a dotted line; its meaning is in “Words to know”.</w:t>
            </w:r>
          </w:p>
          <w:p>
            <w:pPr>
              <w:spacing w:after="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💬</w:t>
            </w:r>
            <w:r>
              <w:rPr>
                <w:b w:val="0"/>
                <w:i w:val="0"/>
                <w:sz w:val="21"/>
              </w:rPr>
              <w:t xml:space="preserve"> In plain words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🧭</w:t>
            </w:r>
            <w:r>
              <w:rPr>
                <w:b w:val="0"/>
                <w:i w:val="0"/>
                <w:sz w:val="21"/>
              </w:rPr>
              <w:t xml:space="preserve"> The chapter as a map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📖</w:t>
            </w:r>
            <w:r>
              <w:rPr>
                <w:b w:val="0"/>
                <w:i w:val="0"/>
                <w:sz w:val="21"/>
              </w:rPr>
              <w:t xml:space="preserve"> Words to know   </w:t>
            </w:r>
            <w:r>
              <w:rPr>
                <w:rFonts w:ascii="Segoe UI Emoji" w:hAnsi="Segoe UI Emoji" w:eastAsia="Segoe UI Emoji" w:cs="Segoe UI Emoji"/>
                <w:b w:val="0"/>
                <w:i w:val="0"/>
                <w:sz w:val="21"/>
              </w:rPr>
              <w:t>🔁</w:t>
            </w:r>
            <w:r>
              <w:rPr>
                <w:b w:val="0"/>
                <w:i w:val="0"/>
                <w:sz w:val="21"/>
              </w:rPr>
              <w:t xml:space="preserve"> Read it again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FFF7DD" w:val="clear"/>
            <w:tcBorders>
              <w:top w:val="nil"/>
              <w:left w:val="single" w:sz="28" w:space="0" w:color="B4540A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⭐  </w:t>
            </w:r>
            <w:r>
              <w:rPr>
                <w:b/>
                <w:i w:val="0"/>
                <w:color w:val="B4540A"/>
                <w:sz w:val="22"/>
              </w:rPr>
              <w:t>In one sentence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846"/>
                <w:sz w:val="23"/>
              </w:rPr>
              <w:t>Software as a service means one product run by the provider for many tenants — so multi-tenancy is the architectural consequence, and every request, message, row, and log line must know its tenant.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4FB" w:val="clear"/>
            <w:tcBorders>
              <w:top w:val="nil"/>
              <w:left w:val="single" w:sz="28" w:space="0" w:color="0F6E8C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💬  </w:t>
            </w:r>
            <w:r>
              <w:rPr>
                <w:b/>
                <w:i w:val="0"/>
                <w:color w:val="0F6E8C"/>
                <w:sz w:val="22"/>
              </w:rPr>
              <w:t>In plain words</w:t>
            </w:r>
          </w:p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Software as a service means one product, run by the provider, used by many customer organizations (tenants) at once. Multi-tenancy is the consequence: every request must carry which tenant it belongs to, every row must be attributable to a tenant, and the provider needs a control plane — the back office that onboards tenants, meters their use, and applies their tier. Microservices do not change these obligations; they multiply the places where each must be honored.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 w:before="80"/>
      </w:pPr>
      <w:r>
        <w:rPr>
          <w:rFonts w:ascii="Segoe UI Emoji" w:hAnsi="Segoe UI Emoji" w:eastAsia="Segoe UI Emoji" w:cs="Segoe UI Emoji"/>
          <w:b w:val="0"/>
          <w:i w:val="0"/>
          <w:sz w:val="24"/>
        </w:rPr>
        <w:t xml:space="preserve">📖  </w:t>
      </w:r>
      <w:r>
        <w:rPr>
          <w:b/>
          <w:i w:val="0"/>
          <w:color w:val="6B2D8B"/>
          <w:sz w:val="22"/>
        </w:rPr>
        <w:t>Words to know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SaaS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Software as a service: the provider runs the application; customers use it through a browser or an API.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tenant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One customer organization inside a shared product.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Multi-tenancy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Many tenants served by one product, with their data and settings kept apart.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control plane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provider’s back office: onboarding, the tenant record, identity into a tenant, tiers, metering, one place to operate the estate.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application plane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product the tenants actually use, with a tenant context on every request.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Silo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tenant gets dedicated resources, such as its own database or stack.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Pool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Tenants share resources; the tenant is enforced in the application and the data access.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Bridge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mix: one service siloed, another pooled.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Noisy-neighbor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tenant whose spike degrades the shared service for the others.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tier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product level that may buy a silo, a higher quota, or a stricter recovery objective.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meters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Measures what each tenant consumed, for billing and fair throttling.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Offboarding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Exporting or deleting a tenant’s data and withdrawing its identity when it leaves.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tenant context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The tenant identifier carried on every request, message, log line, and query.</w:t>
            </w:r>
          </w:p>
        </w:tc>
      </w:tr>
      <w:tr>
        <w:tc>
          <w:tcPr>
            <w:tcW w:type="dxa" w:w="2608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managed service</w:t>
            </w:r>
          </w:p>
        </w:tc>
        <w:tc>
          <w:tcPr>
            <w:tcW w:type="dxa" w:w="6803"/>
            <w:shd w:fill="F9F6FC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 per-customer install run by the provider — which fails NIST’s SaaS test.</w:t>
            </w:r>
          </w:p>
        </w:tc>
      </w:tr>
      <w:tr>
        <w:tc>
          <w:tcPr>
            <w:tcW w:type="dxa" w:w="2608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6B2D8B"/>
                <w:sz w:val="20"/>
              </w:rPr>
              <w:t>Well-Architected SaaS Lens</w:t>
            </w:r>
          </w:p>
        </w:tc>
        <w:tc>
          <w:tcPr>
            <w:tcW w:type="dxa" w:w="6803"/>
            <w:shd w:fill="F3EEF8" w:val="clear"/>
            <w:tcBorders>
              <w:top w:val="single" w:sz="4" w:space="0" w:color="E1D7EA"/>
              <w:left w:val="single" w:sz="4" w:space="0" w:color="E1D7EA"/>
              <w:bottom w:val="single" w:sz="4" w:space="0" w:color="E1D7EA"/>
              <w:right w:val="single" w:sz="4" w:space="0" w:color="E1D7EA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Amazon’s review checklist for SaaS systems, with ten areas of concern.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68800" cy="619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3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61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The chapter as a map: its sections and what each one holds.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SaaS</w:t>
      </w:r>
      <w:r>
        <w:rPr>
          <w:rFonts w:ascii="Calibri" w:hAnsi="Calibri" w:eastAsia="Calibri"/>
          <w:b w:val="0"/>
          <w:i w:val="0"/>
          <w:sz w:val="22"/>
        </w:rPr>
        <w:t xml:space="preserve"> system is a software application the provider runs, and that many customers use, without those customers operating the servers, the database, or a private install. NIST’s cloud definition, Special Publication 800-145, September 2011, states the customer-facing bar. The application is reached through a browser or through a program interface. The customer does not manage the network, the servers, the operating system, the storage, or the individual application capabilities. The exception NIST allows is limited user-specific configuration. The five cloud properties still apply: the customer can sign up on demand, over the network, onto a pooled service that can grow, and the use of that service is measured.</w:t>
      </w:r>
    </w:p>
    <w:p>
      <w:r>
        <w:rPr>
          <w:rFonts w:ascii="Calibri" w:hAnsi="Calibri" w:eastAsia="Calibri"/>
          <w:b/>
          <w:i w:val="0"/>
          <w:color w:val="142846"/>
          <w:sz w:val="22"/>
          <w:shd w:val="clear" w:color="auto" w:fill="FFF1B8"/>
        </w:rPr>
        <w:t xml:space="preserve">Multi-tenancy is the architectural consequence.</w:t>
      </w:r>
      <w:r>
        <w:rPr>
          <w:rFonts w:ascii="Calibri" w:hAnsi="Calibri" w:eastAsia="Calibri"/>
          <w:b w:val="0"/>
          <w:i w:val="0"/>
          <w:sz w:val="22"/>
        </w:rPr>
        <w:t xml:space="preserve">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tenant</w:t>
      </w:r>
      <w:r>
        <w:rPr>
          <w:rFonts w:ascii="Calibri" w:hAnsi="Calibri" w:eastAsia="Calibri"/>
          <w:b w:val="0"/>
          <w:i w:val="0"/>
          <w:sz w:val="22"/>
        </w:rPr>
        <w:t xml:space="preserve"> is one customer organization inside that shared product. A separate copy of the product, installed and operated per customer, can run in a cloud and still fail this test. Amazon’s SaaS guidance calls that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managed service</w:t>
      </w:r>
      <w:r>
        <w:rPr>
          <w:rFonts w:ascii="Calibri" w:hAnsi="Calibri" w:eastAsia="Calibri"/>
          <w:b w:val="0"/>
          <w:i w:val="0"/>
          <w:sz w:val="22"/>
        </w:rPr>
        <w:t xml:space="preserve">. SaaS, even when a tenant is given some dedicated resources, still has one onboarding path, one identity experience, and one operational life for every tenant.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🎛️ </w:t>
      </w:r>
      <w:r>
        <w:t>Two planes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78680" cy="264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1-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Two planes. Both are required; neither is the microservice architecture.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SaaS Architecture Fundamentals whitepaper divides the system into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control plane</w:t>
      </w:r>
      <w:r>
        <w:rPr>
          <w:rFonts w:ascii="Calibri" w:hAnsi="Calibri" w:eastAsia="Calibri"/>
          <w:b w:val="0"/>
          <w:i w:val="0"/>
          <w:sz w:val="22"/>
        </w:rPr>
        <w:t xml:space="preserve"> and an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application plane</w:t>
      </w:r>
      <w:r>
        <w:rPr>
          <w:rFonts w:ascii="Calibri" w:hAnsi="Calibri" w:eastAsia="Calibri"/>
          <w:b w:val="0"/>
          <w:i w:val="0"/>
          <w:sz w:val="22"/>
        </w:rPr>
        <w:t xml:space="preserve">. Both are required. They are not two names for the microservice architecture.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control plane is how the provider runs the tenants as one business. It onboards a tenant, holds the tenant record, authenticates users into a tenant, applies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tier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meters</w:t>
      </w:r>
      <w:r>
        <w:rPr>
          <w:rFonts w:ascii="Calibri" w:hAnsi="Calibri" w:eastAsia="Calibri"/>
          <w:b w:val="0"/>
          <w:i w:val="0"/>
          <w:sz w:val="22"/>
        </w:rPr>
        <w:t xml:space="preserve"> consumption, and gives the provider one place to operate the estate. Those services are global. They are not themselves a copy per tenant.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If the control plane is missing, each tenant has become a private install, whatever the marketing says.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application plane is the product the tenant actually uses: the screens or the API, and the backend that performs the business. This plane is multi-tenant. Every request carries a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tenant context</w:t>
      </w:r>
      <w:r>
        <w:rPr>
          <w:rFonts w:ascii="Calibri" w:hAnsi="Calibri" w:eastAsia="Calibri"/>
          <w:b w:val="0"/>
          <w:i w:val="0"/>
          <w:sz w:val="22"/>
        </w:rPr>
        <w:t xml:space="preserve">, and every read and write is constrained by it. The backend may be one modular application or a set of microservices.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The packaging is a separate decision. The tenant context is not.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✅ </w:t>
      </w:r>
      <w:r>
        <w:t>What the system has to guarantee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20920" cy="109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2-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26E"/>
          <w:sz w:val="18"/>
        </w:rPr>
        <w:t>Three placement models. The system needs a chosen one, not an accident of how each team stored a tenant id.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AWS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Well-Architected SaaS Lens</w:t>
      </w:r>
      <w:r>
        <w:rPr>
          <w:rFonts w:ascii="Calibri" w:hAnsi="Calibri" w:eastAsia="Calibri"/>
          <w:b w:val="0"/>
          <w:i w:val="0"/>
          <w:sz w:val="22"/>
        </w:rPr>
        <w:t xml:space="preserve"> groups the extra concerns of this model into ten areas: tenant, silo pool and bridge, identity, tenant isolation, data partitioning, noisy neighbor, onboarding, tiers, activity and consumption, and tenant-aware operations. The requirements below are those concerns stated as obligations of the system.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4759"/>
            <w:shd w:fill="1F4E79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the system must do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tenant identity distinct from a user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Users belong to a tenant. The tenant is the unit of data, policy, billing, and offboarding. A user token that names only a person is not enough.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Tenant context on every request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application plane receives the tenant on the way in and passes it through every service, query, and message. A log line, a trace, and a metric that cannot be tied to a tenant hide both abuse and cost.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Isolation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One tenant must not read or change another tenant’s data, exhaust another tenant’s capacity, or see another tenant’s configuration. Isolation is a security property and a performance property.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An explicit placement model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Silo gives a tenant dedicated resources, such as its own database or its own stack. Pool shares resources and enforces the tenant in the application and the data access. Bridge mixes them: one service siloed, another pooled. The system needs a chosen model, not an accident of how each team stored a tenant id.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partitioning that matches the model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Pooled tables carry a tenant key and refuse queries that lack it. Siloed stores are named and reached only for that tenant. A backup, a restore, and a deletion must be possible for one tenant.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Automated onboarding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new tenant is created by the control plane: record, identity, configuration, and any dedicated resources, without an engineer performing a custom install.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Tiers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tier is a product and a placement decision. A higher tier may buy a silo, a higher quota, or a stricter recovery objective. The application has to enforce the tier the control plane assigned.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Noisy-neighbor control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pooled tenant with a spike must not take the shared service down for the others. Quotas, rate limits, and per-tenant resource limits are the bulkhead at tenant grain.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Measured use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provider can say what a tenant consumed. Billing, fair throttling, and cost allocation all depend on that measurement. This is NIST’s measured service, scoped to the tenant.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Tenant-aware operations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Deploys, alarms, support, and capacity are run for a multi-tenant estate. An operator can find one tenant’s errors without dumping every tenant’s data into the ticket. A release updates the product the tenants share, including siloed resources the control plane still owns.</w:t>
            </w:r>
          </w:p>
        </w:tc>
      </w:tr>
      <w:tr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Limited configuration, not a fork</w:t>
            </w:r>
          </w:p>
        </w:tc>
        <w:tc>
          <w:tcPr>
            <w:tcW w:type="dxa" w:w="4759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tenant may set the options NIST called user-specific configuration, and may receive features its tier includes. The provider does not maintain a separate codebase per tenant.</w:t>
            </w:r>
          </w:p>
        </w:tc>
      </w:tr>
      <w:tr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way to leave</w:t>
            </w:r>
          </w:p>
        </w:tc>
        <w:tc>
          <w:tcPr>
            <w:tcW w:type="dxa" w:w="4759"/>
            <w:shd w:fill="F4F7FB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Offboarding exports or deletes that tenant’s data and withdraws its identity. A pooled table that cannot name one tenant’s rows cannot do this.</w:t>
            </w:r>
          </w:p>
        </w:tc>
      </w:tr>
    </w:tbl>
    <w:p/>
    <w:p>
      <w:pPr>
        <w:pStyle w:val="Heading2"/>
      </w:pPr>
      <w:r>
        <w:rPr>
          <w:rFonts w:ascii="Segoe UI Emoji" w:hAnsi="Segoe UI Emoji" w:eastAsia="Segoe UI Emoji" w:cs="Segoe UI Emoji"/>
        </w:rPr>
        <w:t xml:space="preserve">🤝 </w:t>
      </w:r>
      <w:r>
        <w:t>How this meets microservices</w:t>
      </w:r>
    </w:p>
    <w:p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SaaS does not require microservices.</w:t>
      </w:r>
      <w:r>
        <w:rPr>
          <w:rFonts w:ascii="Calibri" w:hAnsi="Calibri" w:eastAsia="Calibri"/>
          <w:b w:val="0"/>
          <w:i w:val="0"/>
          <w:sz w:val="22"/>
        </w:rPr>
        <w:t xml:space="preserve"> A single deployable application can meet every requirement above, and many SaaS products are built that way.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Microservices change where the requirements have to be repeated.</w:t>
      </w:r>
    </w:p>
    <w:p>
      <w:r>
        <w:rPr>
          <w:rFonts w:ascii="Calibri" w:hAnsi="Calibri" w:eastAsia="Calibri"/>
          <w:b w:val="0"/>
          <w:i w:val="0"/>
          <w:sz w:val="22"/>
        </w:rPr>
        <w:t>The access-token pattern already carried the caller’s identity from service to service. SaaS adds the tenant to that token, and every service has to believe the control plane rather than a tenant id supplied by the client alone. A message on the broker needs the same tenant context, or the consumer will write an event into the wrong partition. Database-per-service still holds: each service owns its schema. Inside that schema the tenant model is a second cut. One service may pool all tenants in one database. Another, holding regulated data, may silo a database per tenant. That mix is the bridge model, and it is a legal microservice design. It is also easy to get wrong, because each team can pick a different convention and the control plane will not notice until a deletion or a restore.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control plane behaves like the platform in Team Topologies. It is X-as-a-service toward the product teams: onboarding, tier, and metering are not reimplemented inside every bounded context. The stream-aligned team still owns the business rule and must apply the tenant constraint inside the aggregate.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An aggregate that checks “may this delivery be cancelled?” and never checks “does this delivery belong to the tenant on the token?” has enforced the domain and missed the SaaS requirement.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Kubernetes and the cloud sit underneath both planes. They can silo a tenant by namespace, cluster, or account, and they can pool tenants on one Deployment. They do not put the tenant on the request, and they do not partition the rows. </w:t>
      </w:r>
      <w:r>
        <w:rPr>
          <w:rFonts w:ascii="Calibri" w:hAnsi="Calibri" w:eastAsia="Calibri"/>
          <w:b w:val="0"/>
          <w:i w:val="0"/>
          <w:color w:val="1B5E9E"/>
          <w:sz w:val="22"/>
          <w:u w:val="single"/>
        </w:rPr>
        <w:t xml:space="preserve">A network policy can separate siloed namespaces. It cannot separate two tenants that share a table.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6B2D8B"/>
          <w:sz w:val="22"/>
          <w:u w:val="dotted"/>
        </w:rPr>
        <w:t xml:space="preserve">Noisy-neighbor</w:t>
      </w:r>
      <w:r>
        <w:rPr>
          <w:rFonts w:ascii="Calibri" w:hAnsi="Calibri" w:eastAsia="Calibri"/>
          <w:b w:val="0"/>
          <w:i w:val="0"/>
          <w:sz w:val="22"/>
        </w:rPr>
        <w:t xml:space="preserve"> limits on CPU are the pod bulkhead from the Kubernetes chapter. Tenant quotas are a further bulkhead inside the shared process.</w:t>
      </w:r>
    </w:p>
    <w:p>
      <w:pPr>
        <w:pStyle w:val="Heading2"/>
      </w:pPr>
      <w:r>
        <w:rPr>
          <w:rFonts w:ascii="Segoe UI Emoji" w:hAnsi="Segoe UI Emoji" w:eastAsia="Segoe UI Emoji" w:cs="Segoe UI Emoji"/>
        </w:rPr>
        <w:t xml:space="preserve">🎯 </w:t>
      </w:r>
      <w:r>
        <w:t>What this fixes for the AI chapter</w:t>
      </w:r>
    </w:p>
    <w:p>
      <w:r>
        <w:rPr>
          <w:rFonts w:ascii="Calibri" w:hAnsi="Calibri" w:eastAsia="Calibri"/>
          <w:b w:val="0"/>
          <w:i w:val="0"/>
          <w:sz w:val="22"/>
        </w:rPr>
        <w:t>A generated service that stores orders and exposes an API can look complete and still be a single-tenant program. The SaaS obligations are visible in a few places: a tenant on the token, a tenant predicate on every query, a control-plane record that can create and delete that tenant, a meter, and a stated silo or pool choice. An AI claim about a SaaS system has to show those. An AI claim about microservices still has to show the bounded context and the private schema. A system can satisfy one and miss the other.</w:t>
      </w:r>
    </w:p>
    <w:p>
      <w:pPr>
        <w:spacing w:before="40" w:after="200"/>
      </w:pPr>
      <w:r>
        <w:rPr>
          <w:rFonts w:ascii="Calibri" w:hAnsi="Calibri" w:eastAsia="Calibri"/>
          <w:b w:val="0"/>
          <w:i/>
          <w:color w:val="5A626E"/>
          <w:sz w:val="19"/>
        </w:rPr>
        <w:t>Sources: Peter Mell and Timothy Grance, The NIST Definition of Cloud Computing, Special Publication 800-145, September 2011, the Software as a Service model. NIST, Evaluation of Cloud Computing Services Based on NIST SP 800-145. Amazon Web Services, SaaS Architecture Fundamentals, “Control plane vs. application plane.” Amazon Web Services, Well-Architected SaaS Lens: tenant, silo, pool, and bridge, identity, isolation, data partitioning, noisy neighbor, onboarding, tiers, activity and consumption, and tenant-aware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411"/>
            <w:shd w:fill="EAF7EE" w:val="clear"/>
            <w:tcBorders>
              <w:top w:val="nil"/>
              <w:left w:val="single" w:sz="28" w:space="0" w:color="1E7A46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 Emoji" w:hAnsi="Segoe UI Emoji" w:eastAsia="Segoe UI Emoji" w:cs="Segoe UI Emoji"/>
                <w:b w:val="0"/>
                <w:i w:val="0"/>
                <w:sz w:val="24"/>
              </w:rPr>
              <w:t xml:space="preserve">🔁  </w:t>
            </w:r>
            <w:r>
              <w:rPr>
                <w:b/>
                <w:i w:val="0"/>
                <w:color w:val="1E7A46"/>
                <w:sz w:val="22"/>
              </w:rPr>
              <w:t>Read it again: three things to carry away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1.  </w:t>
            </w:r>
            <w:r>
              <w:rPr>
                <w:b w:val="0"/>
                <w:i w:val="0"/>
                <w:sz w:val="21"/>
              </w:rPr>
              <w:t>SaaS means one product for many tenants — with a control plane that onboards, tiers, and meters them.</w:t>
            </w:r>
          </w:p>
          <w:p>
            <w:pPr>
              <w:spacing w:after="60"/>
            </w:pPr>
            <w:r>
              <w:rPr>
                <w:b/>
                <w:i w:val="0"/>
                <w:color w:val="1E7A46"/>
                <w:sz w:val="21"/>
              </w:rPr>
              <w:t xml:space="preserve">2.  </w:t>
            </w:r>
            <w:r>
              <w:rPr>
                <w:b w:val="0"/>
                <w:i w:val="0"/>
                <w:sz w:val="21"/>
              </w:rPr>
              <w:t>Tenant context rides on every request, message, log line, and query.</w:t>
            </w:r>
          </w:p>
          <w:p>
            <w:pPr>
              <w:spacing w:after="0"/>
            </w:pPr>
            <w:r>
              <w:rPr>
                <w:b/>
                <w:i w:val="0"/>
                <w:color w:val="1E7A46"/>
                <w:sz w:val="21"/>
              </w:rPr>
              <w:t xml:space="preserve">3.  </w:t>
            </w:r>
            <w:r>
              <w:rPr>
                <w:b w:val="0"/>
                <w:i w:val="0"/>
                <w:sz w:val="21"/>
              </w:rPr>
              <w:t>Microservices repeat the tenant obligations in every service; the platform cannot supply them.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5A626E"/>
        <w:sz w:val="18"/>
      </w:rPr>
      <w:t xml:space="preserve">Research draft  ·  AI and microservice architecture  ·  </w:t>
    </w:r>
    <w:r>
      <w:rPr>
        <w:rFonts w:ascii="Calibri" w:hAnsi="Calibri" w:eastAsia="Calibri"/>
        <w:b w:val="0"/>
        <w:i w:val="0"/>
        <w:color w:val="5A62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F4E79"/>
        <w:sz w:val="18"/>
      </w:rPr>
      <w:t>AI AND MICROSERVICE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69"/>
    </w:pPr>
    <w:rPr>
      <w:rFonts w:ascii="Calibri" w:hAnsi="Calibri"/>
      <w:color w:val="1E21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428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374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of a SaaS system</dc:title>
  <dc:subject>Software as a Service: tenancy, control plane, and isolation — reading edition</dc:subject>
  <dc:creator>python-docx</dc:creator>
  <cp:keywords/>
  <dc:description>Working research notes for an article on how AI has influenced the architecture of microservices. Draft of 29 September 2026.</dc:description>
  <cp:lastModifiedBy/>
  <cp:revision>1</cp:revision>
  <dcterms:created xsi:type="dcterms:W3CDTF">2013-12-23T23:15:00Z</dcterms:created>
  <dcterms:modified xsi:type="dcterms:W3CDTF">2013-12-23T23:15:00Z</dcterms:modified>
  <cp:category>Research draft</cp:category>
</cp:coreProperties>
</file>