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Segoe UI Emoji" w:hAnsi="Segoe UI Emoji" w:eastAsia="Segoe UI Emoji" w:cs="Segoe UI Emoji"/>
        </w:rPr>
        <w:t xml:space="preserve">🧩 </w:t>
      </w:r>
      <w:r>
        <w:t>Types of software</w:t>
      </w:r>
    </w:p>
    <w:p>
      <w:pPr>
        <w:spacing w:after="40"/>
      </w:pPr>
      <w:r>
        <w:rPr>
          <w:rFonts w:ascii="Calibri" w:hAnsi="Calibri" w:eastAsia="Calibri"/>
          <w:b w:val="0"/>
          <w:i/>
          <w:color w:val="464E5A"/>
          <w:sz w:val="21"/>
        </w:rPr>
        <w:t>Answer 11 of the working series</w:t>
      </w:r>
    </w:p>
    <w:p>
      <w:pPr>
        <w:spacing w:after="40"/>
      </w:pPr>
      <w:r>
        <w:rPr>
          <w:rFonts w:ascii="Calibri" w:hAnsi="Calibri" w:eastAsia="Calibri"/>
          <w:b w:val="0"/>
          <w:i/>
          <w:color w:val="464E5A"/>
          <w:sz w:val="21"/>
        </w:rPr>
        <w:t>29 September 2026</w:t>
      </w:r>
    </w:p>
    <w:p>
      <w:pPr>
        <w:spacing w:after="40"/>
      </w:pPr>
      <w:r>
        <w:rPr>
          <w:rFonts w:ascii="Calibri" w:hAnsi="Calibri" w:eastAsia="Calibri"/>
          <w:b w:val="0"/>
          <w:i/>
          <w:color w:val="464E5A"/>
          <w:sz w:val="21"/>
        </w:rPr>
        <w:t>Four cuts. A program can sit in one cell of each cut at the same time.</w:t>
      </w:r>
    </w:p>
    <w:tbl>
      <w:tblPr>
        <w:tblW w:type="auto" w:w="0"/>
        <w:jc w:val="center"/>
        <w:tblLayout w:type="fixed"/>
        <w:tblLook w:firstColumn="1" w:firstRow="1" w:lastColumn="0" w:lastRow="0" w:noHBand="0" w:noVBand="1" w:val="04A0"/>
      </w:tblPr>
      <w:tblGrid>
        <w:gridCol w:w="9518"/>
      </w:tblGrid>
      <w:tr>
        <w:tc>
          <w:tcPr>
            <w:tcW w:type="dxa" w:w="9411"/>
            <w:shd w:fill="F4F7FB" w:val="clear"/>
            <w:tcBorders>
              <w:top w:val="nil"/>
              <w:left w:val="single" w:sz="28" w:space="0" w:color="1F4E79"/>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1F4E79"/>
                <w:sz w:val="22"/>
              </w:rPr>
              <w:t>How to read this edition</w:t>
            </w:r>
          </w:p>
          <w:p>
            <w:pPr>
              <w:spacing w:after="40"/>
            </w:pPr>
            <w:r>
              <w:rPr>
                <w:b/>
                <w:i w:val="0"/>
                <w:color w:val="142846"/>
                <w:sz w:val="21"/>
                <w:shd w:val="clear" w:color="auto" w:fill="FFF1B8"/>
              </w:rPr>
              <w:t>The central idea of the chapter</w:t>
            </w:r>
            <w:r>
              <w:rPr>
                <w:b w:val="0"/>
                <w:i w:val="0"/>
                <w:sz w:val="21"/>
              </w:rPr>
              <w:t xml:space="preserve"> — bold, on a yellow marker.</w:t>
            </w:r>
          </w:p>
          <w:p>
            <w:pPr>
              <w:spacing w:after="40"/>
            </w:pPr>
            <w:r>
              <w:rPr>
                <w:b w:val="0"/>
                <w:i w:val="0"/>
                <w:color w:val="1B5E9E"/>
                <w:sz w:val="21"/>
                <w:u w:val="single"/>
              </w:rPr>
              <w:t>An important sentence</w:t>
            </w:r>
            <w:r>
              <w:rPr>
                <w:b w:val="0"/>
                <w:i w:val="0"/>
                <w:sz w:val="21"/>
              </w:rPr>
              <w:t xml:space="preserve"> — blue and underlined, in the text itself.</w:t>
            </w:r>
          </w:p>
          <w:p>
            <w:pPr>
              <w:spacing w:after="40"/>
            </w:pPr>
            <w:r>
              <w:rPr>
                <w:b w:val="0"/>
                <w:i w:val="0"/>
                <w:color w:val="6B2D8B"/>
                <w:sz w:val="21"/>
                <w:u w:val="dotted"/>
              </w:rPr>
              <w:t>A technical term</w:t>
            </w:r>
            <w:r>
              <w:rPr>
                <w:b w:val="0"/>
                <w:i w:val="0"/>
                <w:sz w:val="21"/>
              </w:rPr>
              <w:t xml:space="preserve"> — plum with a dotted line; its meaning is in “Words to know”.</w:t>
            </w:r>
          </w:p>
          <w:p>
            <w:pPr>
              <w:spacing w:after="0"/>
            </w:pPr>
            <w:r>
              <w:rPr>
                <w:rFonts w:ascii="Segoe UI Emoji" w:hAnsi="Segoe UI Emoji" w:eastAsia="Segoe UI Emoji" w:cs="Segoe UI Emoji"/>
                <w:b w:val="0"/>
                <w:i w:val="0"/>
                <w:sz w:val="21"/>
              </w:rPr>
              <w:t>💬</w:t>
            </w:r>
            <w:r>
              <w:rPr>
                <w:b w:val="0"/>
                <w:i w:val="0"/>
                <w:sz w:val="21"/>
              </w:rPr>
              <w:t xml:space="preserve"> In plain words   </w:t>
            </w:r>
            <w:r>
              <w:rPr>
                <w:rFonts w:ascii="Segoe UI Emoji" w:hAnsi="Segoe UI Emoji" w:eastAsia="Segoe UI Emoji" w:cs="Segoe UI Emoji"/>
                <w:b w:val="0"/>
                <w:i w:val="0"/>
                <w:sz w:val="21"/>
              </w:rPr>
              <w:t>🧭</w:t>
            </w:r>
            <w:r>
              <w:rPr>
                <w:b w:val="0"/>
                <w:i w:val="0"/>
                <w:sz w:val="21"/>
              </w:rPr>
              <w:t xml:space="preserve"> The chapter as a map   </w:t>
            </w:r>
            <w:r>
              <w:rPr>
                <w:rFonts w:ascii="Segoe UI Emoji" w:hAnsi="Segoe UI Emoji" w:eastAsia="Segoe UI Emoji" w:cs="Segoe UI Emoji"/>
                <w:b w:val="0"/>
                <w:i w:val="0"/>
                <w:sz w:val="21"/>
              </w:rPr>
              <w:t>📖</w:t>
            </w:r>
            <w:r>
              <w:rPr>
                <w:b w:val="0"/>
                <w:i w:val="0"/>
                <w:sz w:val="21"/>
              </w:rPr>
              <w:t xml:space="preserve"> Words to know   </w:t>
            </w:r>
            <w:r>
              <w:rPr>
                <w:rFonts w:ascii="Segoe UI Emoji" w:hAnsi="Segoe UI Emoji" w:eastAsia="Segoe UI Emoji" w:cs="Segoe UI Emoji"/>
                <w:b w:val="0"/>
                <w:i w:val="0"/>
                <w:sz w:val="21"/>
              </w:rPr>
              <w:t>🔁</w:t>
            </w:r>
            <w:r>
              <w:rPr>
                <w:b w:val="0"/>
                <w:i w:val="0"/>
                <w:sz w:val="21"/>
              </w:rPr>
              <w:t xml:space="preserve"> Read it again</w:t>
            </w:r>
          </w:p>
        </w:tc>
      </w:tr>
    </w:tbl>
    <w:p>
      <w:pPr>
        <w:spacing w:after="0" w:before="0"/>
      </w:pPr>
      <w:r>
        <w:rPr>
          <w:sz w:val="8"/>
        </w:rPr>
        <w:t xml:space="preserve"> </w:t>
      </w:r>
    </w:p>
    <w:tbl>
      <w:tblPr>
        <w:tblW w:type="auto" w:w="0"/>
        <w:jc w:val="center"/>
        <w:tblLayout w:type="fixed"/>
        <w:tblLook w:firstColumn="1" w:firstRow="1" w:lastColumn="0" w:lastRow="0" w:noHBand="0" w:noVBand="1" w:val="04A0"/>
      </w:tblPr>
      <w:tblGrid>
        <w:gridCol w:w="9518"/>
      </w:tblGrid>
      <w:tr>
        <w:tc>
          <w:tcPr>
            <w:tcW w:type="dxa" w:w="9411"/>
            <w:shd w:fill="FFF7DD" w:val="clear"/>
            <w:tcBorders>
              <w:top w:val="nil"/>
              <w:left w:val="single" w:sz="28" w:space="0" w:color="B4540A"/>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B4540A"/>
                <w:sz w:val="22"/>
              </w:rPr>
              <w:t>In one sentence</w:t>
            </w:r>
          </w:p>
          <w:p>
            <w:pPr>
              <w:spacing w:after="0"/>
            </w:pPr>
            <w:r>
              <w:rPr>
                <w:rFonts w:ascii="Calibri" w:hAnsi="Calibri"/>
                <w:b/>
                <w:i w:val="0"/>
                <w:color w:val="142846"/>
                <w:sz w:val="23"/>
              </w:rPr>
              <w:t>There is no single list of software types — four cuts answer four different questions, one program sits in one cell of each, and the research question lives on the structure cut.</w:t>
            </w:r>
          </w:p>
        </w:tc>
      </w:tr>
    </w:tbl>
    <w:p>
      <w:pPr>
        <w:spacing w:after="0" w:before="0"/>
      </w:pPr>
      <w:r>
        <w:rPr>
          <w:sz w:val="8"/>
        </w:rPr>
        <w:t xml:space="preserve"> </w:t>
      </w:r>
    </w:p>
    <w:tbl>
      <w:tblPr>
        <w:tblW w:type="auto" w:w="0"/>
        <w:jc w:val="center"/>
        <w:tblLayout w:type="fixed"/>
        <w:tblLook w:firstColumn="1" w:firstRow="1" w:lastColumn="0" w:lastRow="0" w:noHBand="0" w:noVBand="1" w:val="04A0"/>
      </w:tblPr>
      <w:tblGrid>
        <w:gridCol w:w="9518"/>
      </w:tblGrid>
      <w:tr>
        <w:tc>
          <w:tcPr>
            <w:tcW w:type="dxa" w:w="9411"/>
            <w:shd w:fill="EAF4FB" w:val="clear"/>
            <w:tcBorders>
              <w:top w:val="nil"/>
              <w:left w:val="single" w:sz="28" w:space="0" w:color="0F6E8C"/>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0F6E8C"/>
                <w:sz w:val="22"/>
              </w:rPr>
              <w:t>In plain words</w:t>
            </w:r>
          </w:p>
          <w:p>
            <w:pPr>
              <w:spacing w:after="0"/>
            </w:pPr>
            <w:r>
              <w:rPr>
                <w:b w:val="0"/>
                <w:i w:val="0"/>
                <w:sz w:val="21"/>
              </w:rPr>
              <w:t>Ask ‘what kind of software is this?’ and you get different answers depending on the question behind it: what job does it do beside the hardware; what problem does it solve; how does the customer receive it; how is it structured. A single program sits in one cell of each cut. Keeping the cuts apart stops the research from confusing an AI feature inside an application with an AI tool that redraws the architecture.</w:t>
            </w:r>
          </w:p>
        </w:tc>
      </w:tr>
    </w:tbl>
    <w:p>
      <w:pPr>
        <w:spacing w:after="0" w:before="0"/>
      </w:pPr>
      <w:r>
        <w:rPr>
          <w:sz w:val="8"/>
        </w:rPr>
        <w:t xml:space="preserve"> </w:t>
      </w:r>
    </w:p>
    <w:p>
      <w:pPr>
        <w:spacing w:after="60" w:before="80"/>
      </w:pPr>
      <w:r>
        <w:rPr>
          <w:rFonts w:ascii="Segoe UI Emoji" w:hAnsi="Segoe UI Emoji" w:eastAsia="Segoe UI Emoji" w:cs="Segoe UI Emoji"/>
          <w:b w:val="0"/>
          <w:i w:val="0"/>
          <w:sz w:val="24"/>
        </w:rPr>
        <w:t xml:space="preserve">📖  </w:t>
      </w:r>
      <w:r>
        <w:rPr>
          <w:b/>
          <w:i w:val="0"/>
          <w:color w:val="6B2D8B"/>
          <w:sz w:val="22"/>
        </w:rPr>
        <w:t>Words to know</w:t>
      </w:r>
    </w:p>
    <w:tbl>
      <w:tblPr>
        <w:tblW w:type="auto" w:w="0"/>
        <w:jc w:val="center"/>
        <w:tblLayout w:type="fixed"/>
        <w:tblLook w:firstColumn="1" w:firstRow="1" w:lastColumn="0" w:lastRow="0" w:noHBand="0" w:noVBand="1" w:val="04A0"/>
      </w:tblPr>
      <w:tblGrid>
        <w:gridCol w:w="4759"/>
        <w:gridCol w:w="4759"/>
      </w:tblGrid>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System software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Operates the machine for other programs: operating systems, runtimes, database engines, Kubernetes.</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Middleware</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Sits between system and application software, carrying messages, requests, and identity between programs.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Application software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Does a job a person or another business system asked for.</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Development software</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Builds, tests, and releases the other three kinds.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Pressman</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Roger Pressman, author of the standard textbook Software Engineering: A Practitioner’s Approach, and of its seven categories.</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Embedded software</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Lives inside a device with fixed memory and real-time limits.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Product-line software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family of related products built from one shared base.</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on-premises</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Installed and run on the customer’s own machines.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Infrastructure as a service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Machines, storage, and network from a provider; you install everything else.</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Platform as a service</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place to run your application without managing the machines.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Software as a service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finished product the provider runs and the customer logs into.</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Modular monolith</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One deployable unit with enforced internal boundaries.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Self-contained systems</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Team-owned web applications, each with its own interface, data, and logic.</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Serverless functions</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Code the platform runs on demand; a function may be smaller than a bounded context.</w:t>
            </w:r>
          </w:p>
        </w:tc>
      </w:tr>
    </w:tbl>
    <w:p>
      <w:pPr>
        <w:spacing w:after="0" w:before="0"/>
      </w:pPr>
      <w:r>
        <w:rPr>
          <w:sz w:val="8"/>
        </w:rPr>
        <w:t xml:space="preserve"> </w:t>
      </w:r>
    </w:p>
    <w:p>
      <w:pPr>
        <w:spacing w:after="40" w:before="120"/>
        <w:jc w:val="center"/>
      </w:pPr>
      <w:r>
        <w:drawing>
          <wp:inline xmlns:a="http://schemas.openxmlformats.org/drawingml/2006/main" xmlns:pic="http://schemas.openxmlformats.org/drawingml/2006/picture">
            <wp:extent cx="4368800" cy="6197600"/>
            <wp:docPr id="2" name="Picture 2"/>
            <wp:cNvGraphicFramePr>
              <a:graphicFrameLocks noChangeAspect="1"/>
            </wp:cNvGraphicFramePr>
            <a:graphic>
              <a:graphicData uri="http://schemas.openxmlformats.org/drawingml/2006/picture">
                <pic:pic>
                  <pic:nvPicPr>
                    <pic:cNvPr id="0" name="11-02-map.png"/>
                    <pic:cNvPicPr/>
                  </pic:nvPicPr>
                  <pic:blipFill>
                    <a:blip r:embed="rId12"/>
                    <a:stretch>
                      <a:fillRect/>
                    </a:stretch>
                  </pic:blipFill>
                  <pic:spPr>
                    <a:xfrm>
                      <a:off x="0" y="0"/>
                      <a:ext cx="4368800" cy="6197600"/>
                    </a:xfrm>
                    <a:prstGeom prst="rect"/>
                  </pic:spPr>
                </pic:pic>
              </a:graphicData>
            </a:graphic>
          </wp:inline>
        </w:drawing>
      </w:r>
    </w:p>
    <w:p>
      <w:pPr>
        <w:spacing w:after="200"/>
        <w:jc w:val="center"/>
      </w:pPr>
      <w:r>
        <w:rPr>
          <w:b w:val="0"/>
          <w:i/>
          <w:color w:val="5A626E"/>
          <w:sz w:val="18"/>
        </w:rPr>
        <w:t>The chapter as a map: its sections and what each one holds.</w:t>
      </w:r>
    </w:p>
    <w:p>
      <w:r>
        <w:rPr>
          <w:rFonts w:ascii="Calibri" w:hAnsi="Calibri" w:eastAsia="Calibri"/>
          <w:b w:val="0"/>
          <w:i w:val="0"/>
          <w:color w:val="1B5E9E"/>
          <w:sz w:val="22"/>
          <w:u w:val="single"/>
        </w:rPr>
        <w:t xml:space="preserve">There is no single list of software types. A useful classification says which question it is answering.</w:t>
      </w:r>
      <w:r>
        <w:rPr>
          <w:rFonts w:ascii="Calibri" w:hAnsi="Calibri" w:eastAsia="Calibri"/>
          <w:b w:val="0"/>
          <w:i w:val="0"/>
          <w:sz w:val="22"/>
        </w:rPr>
        <w:t xml:space="preserve"> Four questions cover the ground this research needs: what job the program does beside the hardware, what kind of problem it is built to solve, how a customer receives it, and how a business application is structured. </w:t>
      </w:r>
      <w:r>
        <w:rPr>
          <w:rFonts w:ascii="Calibri" w:hAnsi="Calibri" w:eastAsia="Calibri"/>
          <w:b/>
          <w:i w:val="0"/>
          <w:color w:val="142846"/>
          <w:sz w:val="22"/>
          <w:shd w:val="clear" w:color="auto" w:fill="FFF1B8"/>
        </w:rPr>
        <w:t xml:space="preserve">One program occupies one place on each cut.</w:t>
      </w:r>
      <w:r>
        <w:rPr>
          <w:rFonts w:ascii="Calibri" w:hAnsi="Calibri" w:eastAsia="Calibri"/>
          <w:b w:val="0"/>
          <w:i w:val="0"/>
          <w:sz w:val="22"/>
        </w:rPr>
        <w:t xml:space="preserve"> </w:t>
      </w:r>
      <w:r>
        <w:rPr>
          <w:rFonts w:ascii="Calibri" w:hAnsi="Calibri" w:eastAsia="Calibri"/>
          <w:b w:val="0"/>
          <w:i w:val="0"/>
          <w:color w:val="1B5E9E"/>
          <w:sz w:val="22"/>
          <w:u w:val="single"/>
        </w:rPr>
        <w:t xml:space="preserve">Kubernetes is system software, delivered as a platform, and it is not itself a microservice.</w:t>
      </w:r>
      <w:r>
        <w:rPr>
          <w:rFonts w:ascii="Calibri" w:hAnsi="Calibri" w:eastAsia="Calibri"/>
          <w:b w:val="0"/>
          <w:i w:val="0"/>
          <w:sz w:val="22"/>
        </w:rPr>
        <w:t xml:space="preserve"> An order service is </w:t>
      </w:r>
      <w:r>
        <w:rPr>
          <w:rFonts w:ascii="Calibri" w:hAnsi="Calibri" w:eastAsia="Calibri"/>
          <w:b w:val="0"/>
          <w:i w:val="0"/>
          <w:color w:val="6B2D8B"/>
          <w:sz w:val="22"/>
          <w:u w:val="dotted"/>
        </w:rPr>
        <w:t xml:space="preserve">application software</w:t>
      </w:r>
      <w:r>
        <w:rPr>
          <w:rFonts w:ascii="Calibri" w:hAnsi="Calibri" w:eastAsia="Calibri"/>
          <w:b w:val="0"/>
          <w:i w:val="0"/>
          <w:sz w:val="22"/>
        </w:rPr>
        <w:t xml:space="preserve">, often a web application, delivered on a PaaS or on infrastructure, and structured as one service in a suite.</w:t>
      </w:r>
    </w:p>
    <w:p>
      <w:pPr>
        <w:pStyle w:val="Heading2"/>
      </w:pPr>
      <w:r>
        <w:rPr>
          <w:rFonts w:ascii="Segoe UI Emoji" w:hAnsi="Segoe UI Emoji" w:eastAsia="Segoe UI Emoji" w:cs="Segoe UI Emoji"/>
        </w:rPr>
        <w:t xml:space="preserve">🖥️ </w:t>
      </w:r>
      <w:r>
        <w:t>By the job beside the hardware</w:t>
      </w:r>
    </w:p>
    <w:p>
      <w:r>
        <w:rPr>
          <w:rFonts w:ascii="Calibri" w:hAnsi="Calibri" w:eastAsia="Calibri"/>
          <w:b w:val="0"/>
          <w:i w:val="0"/>
          <w:sz w:val="22"/>
        </w:rPr>
        <w:t>This is the everyday cut.</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Type</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The job</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Examples in this series</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System software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Operates the machine and makes it usable by other programs. It schedules processes, stores bytes, and moves packets.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An operating system. A container runtime. Kubernetes, as the deployment platform. A database engine.</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Middleware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Sits between system software and the application, and carries messages, requests, and identity from one program to another.</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message broker. An API gateway. A service mesh. The PaaS router.</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Application software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Does a job a person or another business system asked for.</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order service, the delivery service, the SaaS product the tenant uses.</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Development software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Builds, tests, and releases the other three.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Compilers, buildpacks, pipelines, test runners, contract-test tools.</w:t>
            </w:r>
          </w:p>
        </w:tc>
      </w:tr>
    </w:tbl>
    <w:p/>
    <w:p>
      <w:pPr>
        <w:pStyle w:val="Heading2"/>
      </w:pPr>
      <w:r>
        <w:rPr>
          <w:rFonts w:ascii="Segoe UI Emoji" w:hAnsi="Segoe UI Emoji" w:eastAsia="Segoe UI Emoji" w:cs="Segoe UI Emoji"/>
        </w:rPr>
        <w:t xml:space="preserve">🧩 </w:t>
      </w:r>
      <w:r>
        <w:t>By the kind of problem</w:t>
      </w:r>
    </w:p>
    <w:p>
      <w:r>
        <w:rPr>
          <w:rFonts w:ascii="Calibri" w:hAnsi="Calibri" w:eastAsia="Calibri"/>
          <w:b w:val="0"/>
          <w:i w:val="0"/>
          <w:sz w:val="22"/>
        </w:rPr>
        <w:t xml:space="preserve">Roger </w:t>
      </w:r>
      <w:r>
        <w:rPr>
          <w:rFonts w:ascii="Calibri" w:hAnsi="Calibri" w:eastAsia="Calibri"/>
          <w:b w:val="0"/>
          <w:i w:val="0"/>
          <w:color w:val="6B2D8B"/>
          <w:sz w:val="22"/>
          <w:u w:val="dotted"/>
        </w:rPr>
        <w:t xml:space="preserve">Pressman</w:t>
      </w:r>
      <w:r>
        <w:rPr>
          <w:rFonts w:ascii="Calibri" w:hAnsi="Calibri" w:eastAsia="Calibri"/>
          <w:b w:val="0"/>
          <w:i w:val="0"/>
          <w:sz w:val="22"/>
        </w:rPr>
        <w:t xml:space="preserve">’s software-engineering text groups programs by the problem they are written to solve. The list below is that grouping. Later editions place mobile applications with web applications. The categories overlap in practice: a web application can also be a product line, and an AI component can sit inside an application.</w:t>
      </w:r>
    </w:p>
    <w:tbl>
      <w:tblPr>
        <w:tblW w:type="auto" w:w="0"/>
        <w:tblLayout w:type="autofit"/>
        <w:tblLook w:firstColumn="1" w:firstRow="1" w:lastColumn="0" w:lastRow="0" w:noHBand="0" w:noVBand="1" w:val="04A0"/>
      </w:tblPr>
      <w:tblGrid>
        <w:gridCol w:w="4759"/>
        <w:gridCol w:w="4759"/>
      </w:tblGrid>
      <w:tr>
        <w:tc>
          <w:tcPr>
            <w:tcW w:type="dxa" w:w="4759"/>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Pressman’s category</w:t>
            </w:r>
          </w:p>
        </w:tc>
        <w:tc>
          <w:tcPr>
            <w:tcW w:type="dxa" w:w="4759"/>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is distinctive about it</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System software</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Heavy interaction with hardware, concurrency, sharing, and scheduling. Deterministic services other programs depend on.</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Application software</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business or personal task. The emphasis is the user’s work: records, decisions, reports, workflows.</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Engineering and scientific software</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Numerical models. The result has to be accurate under a stated method, from simulation to analysis.</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Embedded software</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Lives inside a device and runs its functions, often with fixed memory and a real-time bound. A braking controller, a meter, a machine.</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Product-line software</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family of related products from a shared base, configured for different customers rather than rewritten for each.</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Web applications</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Reached over the network through a browser or an HTTP API. They integrate data and business rules and are the usual face of the services in this series.</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Artificial intelligence software</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Non-numerical methods for problems that do not have a single direct calculation: recognition, search, learning, expert judgment.</w:t>
            </w:r>
          </w:p>
        </w:tc>
      </w:tr>
    </w:tbl>
    <w:p/>
    <w:p>
      <w:pPr>
        <w:spacing w:before="40" w:after="200"/>
      </w:pPr>
      <w:r>
        <w:rPr>
          <w:rFonts w:ascii="Calibri" w:hAnsi="Calibri" w:eastAsia="Calibri"/>
          <w:b w:val="0"/>
          <w:i/>
          <w:color w:val="5A626E"/>
          <w:sz w:val="19"/>
        </w:rPr>
        <w:t>Source: Roger S. Pressman, Software Engineering: A Practitioner’s Approach. The seven categories are the standard list from that book; mobile applications are grouped with web applications in later editions.</w:t>
      </w:r>
    </w:p>
    <w:p>
      <w:pPr>
        <w:pStyle w:val="Heading2"/>
      </w:pPr>
      <w:r>
        <w:rPr>
          <w:rFonts w:ascii="Segoe UI Emoji" w:hAnsi="Segoe UI Emoji" w:eastAsia="Segoe UI Emoji" w:cs="Segoe UI Emoji"/>
        </w:rPr>
        <w:t xml:space="preserve">📦 </w:t>
      </w:r>
      <w:r>
        <w:t>By how the customer receives it</w:t>
      </w:r>
    </w:p>
    <w:p>
      <w:r>
        <w:rPr>
          <w:rFonts w:ascii="Calibri" w:hAnsi="Calibri" w:eastAsia="Calibri"/>
          <w:b w:val="0"/>
          <w:i w:val="0"/>
          <w:sz w:val="22"/>
        </w:rPr>
        <w:t>This is the cut NIST made for cloud computing, plus the older packaged form that NIST was distinguishing from the cloud. It answers a commercial and operational question, not a problem-domain question.</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Delivery</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the customer holds</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the provider holds</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Packaged or on-premises software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copy they install and operate on machines they manage.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release, and often a license. After installation, the customer’s operators run it.</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Infrastructure as a service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Machines, and the software they themselves install, including a whole microservice suite.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pool of compute, storage, and network.</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Platform as a service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application they wrote, its configuration, and its bindings.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runtime, the router, the build, and the machines underneath.</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Software as a service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login, a configuration, and the tenant’s own data.</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entire product, its control plane, and the estate of tenants.</w:t>
            </w:r>
          </w:p>
        </w:tc>
      </w:tr>
    </w:tbl>
    <w:p/>
    <w:p>
      <w:r>
        <w:rPr>
          <w:rFonts w:ascii="Calibri" w:hAnsi="Calibri" w:eastAsia="Calibri"/>
          <w:b w:val="0"/>
          <w:i w:val="0"/>
          <w:sz w:val="22"/>
        </w:rPr>
        <w:t xml:space="preserve">A SaaS product is still application software under the first cut, and usually a web application under Pressman’s cut. </w:t>
      </w:r>
      <w:r>
        <w:rPr>
          <w:rFonts w:ascii="Calibri" w:hAnsi="Calibri" w:eastAsia="Calibri"/>
          <w:b w:val="0"/>
          <w:i w:val="0"/>
          <w:color w:val="1B5E9E"/>
          <w:sz w:val="22"/>
          <w:u w:val="single"/>
        </w:rPr>
        <w:t xml:space="preserve">The delivery type does not change the problem type. It changes who patches the servers and who onboards the next customer.</w:t>
      </w:r>
      <w:r>
        <w:rPr>
          <w:rFonts w:ascii="Calibri" w:hAnsi="Calibri" w:eastAsia="Calibri"/>
          <w:b w:val="0"/>
          <w:i w:val="0"/>
          <w:sz w:val="22"/>
        </w:rPr>
        <w:t xml:space="preserve"> A PaaS is </w:t>
      </w:r>
      <w:r>
        <w:rPr>
          <w:rFonts w:ascii="Calibri" w:hAnsi="Calibri" w:eastAsia="Calibri"/>
          <w:b w:val="0"/>
          <w:i w:val="0"/>
          <w:color w:val="6B2D8B"/>
          <w:sz w:val="22"/>
          <w:u w:val="dotted"/>
        </w:rPr>
        <w:t xml:space="preserve">system software</w:t>
      </w:r>
      <w:r>
        <w:rPr>
          <w:rFonts w:ascii="Calibri" w:hAnsi="Calibri" w:eastAsia="Calibri"/>
          <w:b w:val="0"/>
          <w:i w:val="0"/>
          <w:sz w:val="22"/>
        </w:rPr>
        <w:t xml:space="preserve"> and middleware from the provider’s side, and a home for application software from the team’s side.</w:t>
      </w:r>
    </w:p>
    <w:p>
      <w:pPr>
        <w:pStyle w:val="Heading2"/>
      </w:pPr>
      <w:r>
        <w:rPr>
          <w:rFonts w:ascii="Segoe UI Emoji" w:hAnsi="Segoe UI Emoji" w:eastAsia="Segoe UI Emoji" w:cs="Segoe UI Emoji"/>
        </w:rPr>
        <w:t xml:space="preserve">🏗️ </w:t>
      </w:r>
      <w:r>
        <w:t>By how a business application is structured</w:t>
      </w:r>
    </w:p>
    <w:p>
      <w:pPr>
        <w:spacing w:after="40" w:before="120"/>
        <w:jc w:val="center"/>
      </w:pPr>
      <w:r>
        <w:drawing>
          <wp:inline xmlns:a="http://schemas.openxmlformats.org/drawingml/2006/main" xmlns:pic="http://schemas.openxmlformats.org/drawingml/2006/picture">
            <wp:extent cx="5212080" cy="2433320"/>
            <wp:docPr id="1" name="Picture 1"/>
            <wp:cNvGraphicFramePr>
              <a:graphicFrameLocks noChangeAspect="1"/>
            </wp:cNvGraphicFramePr>
            <a:graphic>
              <a:graphicData uri="http://schemas.openxmlformats.org/drawingml/2006/picture">
                <pic:pic>
                  <pic:nvPicPr>
                    <pic:cNvPr id="0" name="11-01-grid.png"/>
                    <pic:cNvPicPr/>
                  </pic:nvPicPr>
                  <pic:blipFill>
                    <a:blip r:embed="rId11"/>
                    <a:stretch>
                      <a:fillRect/>
                    </a:stretch>
                  </pic:blipFill>
                  <pic:spPr>
                    <a:xfrm>
                      <a:off x="0" y="0"/>
                      <a:ext cx="5212080" cy="2433320"/>
                    </a:xfrm>
                    <a:prstGeom prst="rect"/>
                  </pic:spPr>
                </pic:pic>
              </a:graphicData>
            </a:graphic>
          </wp:inline>
        </w:drawing>
      </w:r>
    </w:p>
    <w:p>
      <w:pPr>
        <w:spacing w:after="200"/>
        <w:jc w:val="center"/>
      </w:pPr>
      <w:r>
        <w:rPr>
          <w:b w:val="0"/>
          <w:i/>
          <w:color w:val="5A626E"/>
          <w:sz w:val="18"/>
        </w:rPr>
        <w:t>The two cuts that are easiest to confuse. Every cell is a real combination: a monolith can be SaaS; a microservice suite can be installed on your own machines.</w:t>
      </w:r>
    </w:p>
    <w:p>
      <w:r>
        <w:rPr>
          <w:rFonts w:ascii="Calibri" w:hAnsi="Calibri" w:eastAsia="Calibri"/>
          <w:b w:val="0"/>
          <w:i w:val="0"/>
          <w:sz w:val="22"/>
        </w:rPr>
        <w:t>This cut is the subject of the series so far. It applies mostly to application software and to web applications. It is not a fifth Pressman category.</w:t>
      </w:r>
    </w:p>
    <w:tbl>
      <w:tblPr>
        <w:tblW w:type="auto" w:w="0"/>
        <w:tblLayout w:type="autofit"/>
        <w:tblLook w:firstColumn="1" w:firstRow="1" w:lastColumn="0" w:lastRow="0" w:noHBand="0" w:noVBand="1" w:val="04A0"/>
      </w:tblPr>
      <w:tblGrid>
        <w:gridCol w:w="4759"/>
        <w:gridCol w:w="4759"/>
      </w:tblGrid>
      <w:tr>
        <w:tc>
          <w:tcPr>
            <w:tcW w:type="dxa" w:w="4759"/>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Structure</w:t>
            </w:r>
          </w:p>
        </w:tc>
        <w:tc>
          <w:tcPr>
            <w:tcW w:type="dxa" w:w="4759"/>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The shape</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Monolith</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One deployable unit holds the interface, the rules, and the database access.</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Modular monolith</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One deployable unit, with internal boundaries that are enforced in the code and can later become services.</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Microservices</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suite of independently deployable services, each owning its data and collaborating by calls, events, or sagas.</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Self-contained systems</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Each slice is a team-owned web application with its own interface, data, and logic.</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Serverless functions</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platform runs a unit of code on demand. The function may be one service, or a fragment too small to be a bounded context.</w:t>
            </w:r>
          </w:p>
        </w:tc>
      </w:tr>
    </w:tbl>
    <w:p/>
    <w:p>
      <w:r>
        <w:rPr>
          <w:rFonts w:ascii="Calibri" w:hAnsi="Calibri" w:eastAsia="Calibri"/>
          <w:b w:val="0"/>
          <w:i w:val="0"/>
          <w:sz w:val="22"/>
        </w:rPr>
        <w:t xml:space="preserve">These structures can be delivered in any of the ways in the previous table. </w:t>
      </w:r>
      <w:r>
        <w:rPr>
          <w:rFonts w:ascii="Calibri" w:hAnsi="Calibri" w:eastAsia="Calibri"/>
          <w:b w:val="0"/>
          <w:i w:val="0"/>
          <w:color w:val="1B5E9E"/>
          <w:sz w:val="22"/>
          <w:u w:val="single"/>
        </w:rPr>
        <w:t xml:space="preserve">A monolith can be SaaS. A microservice suite can be packaged and run on a company’s own machines.</w:t>
      </w:r>
      <w:r>
        <w:rPr>
          <w:rFonts w:ascii="Calibri" w:hAnsi="Calibri" w:eastAsia="Calibri"/>
          <w:b w:val="0"/>
          <w:i w:val="0"/>
          <w:sz w:val="22"/>
        </w:rPr>
        <w:t xml:space="preserve"> Kubernetes and a PaaS are system software used to run whichever structure the team chose. </w:t>
      </w:r>
      <w:r>
        <w:rPr>
          <w:rFonts w:ascii="Calibri" w:hAnsi="Calibri" w:eastAsia="Calibri"/>
          <w:b w:val="0"/>
          <w:i w:val="0"/>
          <w:color w:val="1B5E9E"/>
          <w:sz w:val="22"/>
          <w:u w:val="single"/>
        </w:rPr>
        <w:t xml:space="preserve">They are not themselves one of these structures.</w:t>
      </w:r>
    </w:p>
    <w:p>
      <w:pPr>
        <w:pStyle w:val="Heading2"/>
      </w:pPr>
      <w:r>
        <w:rPr>
          <w:rFonts w:ascii="Segoe UI Emoji" w:hAnsi="Segoe UI Emoji" w:eastAsia="Segoe UI Emoji" w:cs="Segoe UI Emoji"/>
        </w:rPr>
        <w:t xml:space="preserve">🎯 </w:t>
      </w:r>
      <w:r>
        <w:t>Where the later AI question lands</w:t>
      </w:r>
    </w:p>
    <w:p>
      <w:r>
        <w:rPr>
          <w:rFonts w:ascii="Calibri" w:hAnsi="Calibri" w:eastAsia="Calibri"/>
          <w:b w:val="0"/>
          <w:i w:val="0"/>
          <w:sz w:val="22"/>
        </w:rPr>
        <w:t xml:space="preserve">Pressman’s artificial-intelligence category is software whose job is recognition, search, or learned judgment. The research question of this series is different and easy to blur with that category. It asks how AI changes the architecture of microservices, which are a structure of application software, usually web applications, usually delivered on a platform or as SaaS. An AI feature inside the order service is Pressman’s seventh category living inside an application. An AI tool that proposes service boundaries is </w:t>
      </w:r>
      <w:r>
        <w:rPr>
          <w:rFonts w:ascii="Calibri" w:hAnsi="Calibri" w:eastAsia="Calibri"/>
          <w:b w:val="0"/>
          <w:i w:val="0"/>
          <w:color w:val="6B2D8B"/>
          <w:sz w:val="22"/>
          <w:u w:val="dotted"/>
        </w:rPr>
        <w:t xml:space="preserve">development software</w:t>
      </w:r>
      <w:r>
        <w:rPr>
          <w:rFonts w:ascii="Calibri" w:hAnsi="Calibri" w:eastAsia="Calibri"/>
          <w:b w:val="0"/>
          <w:i w:val="0"/>
          <w:sz w:val="22"/>
        </w:rPr>
        <w:t xml:space="preserve"> acting on the structure cut. </w:t>
      </w:r>
      <w:r>
        <w:rPr>
          <w:rFonts w:ascii="Calibri" w:hAnsi="Calibri" w:eastAsia="Calibri"/>
          <w:b w:val="0"/>
          <w:i w:val="0"/>
          <w:color w:val="1B5E9E"/>
          <w:sz w:val="22"/>
          <w:u w:val="single"/>
        </w:rPr>
        <w:t xml:space="preserve">Naming which cut moved is the discipline of the later chapter.</w:t>
      </w:r>
    </w:p>
    <w:p>
      <w:pPr>
        <w:spacing w:before="40" w:after="200"/>
      </w:pPr>
      <w:r>
        <w:rPr>
          <w:rFonts w:ascii="Calibri" w:hAnsi="Calibri" w:eastAsia="Calibri"/>
          <w:b w:val="0"/>
          <w:i/>
          <w:color w:val="5A626E"/>
          <w:sz w:val="19"/>
        </w:rPr>
        <w:t>The delivery cut follows Peter Mell and Timothy Grance, NIST Special Publication 800-145, September 2011. The structure cut follows the earlier chapters of this series: Lewis and Fowler, Richardson, the CNCF definition, and the SaaS and PaaS chapters.</w:t>
      </w:r>
    </w:p>
    <w:tbl>
      <w:tblPr>
        <w:tblW w:type="auto" w:w="0"/>
        <w:jc w:val="center"/>
        <w:tblLayout w:type="fixed"/>
        <w:tblLook w:firstColumn="1" w:firstRow="1" w:lastColumn="0" w:lastRow="0" w:noHBand="0" w:noVBand="1" w:val="04A0"/>
      </w:tblPr>
      <w:tblGrid>
        <w:gridCol w:w="9518"/>
      </w:tblGrid>
      <w:tr>
        <w:tc>
          <w:tcPr>
            <w:tcW w:type="dxa" w:w="9411"/>
            <w:shd w:fill="EAF7EE" w:val="clear"/>
            <w:tcBorders>
              <w:top w:val="nil"/>
              <w:left w:val="single" w:sz="28" w:space="0" w:color="1E7A46"/>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1E7A46"/>
                <w:sz w:val="22"/>
              </w:rPr>
              <w:t>Read it again: three things to carry away</w:t>
            </w:r>
          </w:p>
          <w:p>
            <w:pPr>
              <w:spacing w:after="60"/>
            </w:pPr>
            <w:r>
              <w:rPr>
                <w:b/>
                <w:i w:val="0"/>
                <w:color w:val="1E7A46"/>
                <w:sz w:val="21"/>
              </w:rPr>
              <w:t xml:space="preserve">1.  </w:t>
            </w:r>
            <w:r>
              <w:rPr>
                <w:b w:val="0"/>
                <w:i w:val="0"/>
                <w:sz w:val="21"/>
              </w:rPr>
              <w:t>Four cuts, four questions; one program sits in one cell of each.</w:t>
            </w:r>
          </w:p>
          <w:p>
            <w:pPr>
              <w:spacing w:after="60"/>
            </w:pPr>
            <w:r>
              <w:rPr>
                <w:b/>
                <w:i w:val="0"/>
                <w:color w:val="1E7A46"/>
                <w:sz w:val="21"/>
              </w:rPr>
              <w:t xml:space="preserve">2.  </w:t>
            </w:r>
            <w:r>
              <w:rPr>
                <w:b w:val="0"/>
                <w:i w:val="0"/>
                <w:sz w:val="21"/>
              </w:rPr>
              <w:t>Kubernetes and a PaaS are system software that hosts a structure; they are not a structure.</w:t>
            </w:r>
          </w:p>
          <w:p>
            <w:pPr>
              <w:spacing w:after="0"/>
            </w:pPr>
            <w:r>
              <w:rPr>
                <w:b/>
                <w:i w:val="0"/>
                <w:color w:val="1E7A46"/>
                <w:sz w:val="21"/>
              </w:rPr>
              <w:t xml:space="preserve">3.  </w:t>
            </w:r>
            <w:r>
              <w:rPr>
                <w:b w:val="0"/>
                <w:i w:val="0"/>
                <w:sz w:val="21"/>
              </w:rPr>
              <w:t>The research is about the structure cut — not about Pressman’s artificial-intelligence category.</w:t>
            </w:r>
          </w:p>
        </w:tc>
      </w:tr>
    </w:tbl>
    <w:p>
      <w:pPr>
        <w:spacing w:after="0" w:before="0"/>
      </w:pPr>
      <w:r>
        <w:rPr>
          <w:sz w:val="8"/>
        </w:rPr>
        <w:t xml:space="preserve"> </w:t>
      </w:r>
    </w:p>
    <w:sectPr w:rsidR="00FC693F" w:rsidRPr="0006063C" w:rsidSect="00034616">
      <w:headerReference w:type="default" r:id="rId9"/>
      <w:footerReference w:type="default" r:id="rId10"/>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5A626E"/>
        <w:sz w:val="18"/>
      </w:rPr>
      <w:t xml:space="preserve">Research draft  ·  AI and microservice architecture  ·  </w:t>
    </w:r>
    <w:r>
      <w:rPr>
        <w:rFonts w:ascii="Calibri" w:hAnsi="Calibri" w:eastAsia="Calibri"/>
        <w:b w:val="0"/>
        <w:i w:val="0"/>
        <w:color w:val="5A626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1F4E79"/>
        <w:sz w:val="18"/>
      </w:rPr>
      <w:t>AI AND MICROSERVICE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69"/>
    </w:pPr>
    <w:rPr>
      <w:rFonts w:ascii="Calibri" w:hAnsi="Calibri"/>
      <w:color w:val="1E21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59" w:lineRule="auto"/>
      <w:outlineLvl w:val="0"/>
    </w:pPr>
    <w:rPr>
      <w:rFonts w:asciiTheme="majorHAnsi" w:eastAsiaTheme="majorEastAsia" w:hAnsiTheme="majorHAnsi" w:cstheme="majorBidi" w:ascii="Calibri" w:hAnsi="Calibri"/>
      <w:b/>
      <w:bCs/>
      <w:color w:val="142846"/>
      <w:sz w:val="44"/>
      <w:szCs w:val="28"/>
    </w:rPr>
  </w:style>
  <w:style w:type="paragraph" w:styleId="Heading2">
    <w:name w:val="heading 2"/>
    <w:basedOn w:val="Normal"/>
    <w:next w:val="Normal"/>
    <w:link w:val="Heading2Char"/>
    <w:uiPriority w:val="9"/>
    <w:unhideWhenUsed/>
    <w:qFormat/>
    <w:rsid w:val="00FC693F"/>
    <w:pPr>
      <w:keepNext/>
      <w:keepLines/>
      <w:spacing w:before="320" w:after="120" w:line="259" w:lineRule="auto"/>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40" w:after="80" w:line="259" w:lineRule="auto"/>
      <w:outlineLvl w:val="2"/>
    </w:pPr>
    <w:rPr>
      <w:rFonts w:asciiTheme="majorHAnsi" w:eastAsiaTheme="majorEastAsia" w:hAnsiTheme="majorHAnsi" w:cstheme="majorBidi" w:ascii="Calibri" w:hAnsi="Calibri"/>
      <w:b/>
      <w:bCs/>
      <w:color w:val="28374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Types of software</dc:title>
  <dc:subject>Role, problem category, delivery, and structure — reading edition</dc:subject>
  <dc:creator>python-docx</dc:creator>
  <cp:keywords/>
  <dc:description>Working research notes for an article on how AI has influenced the architecture of microservices. Draft of 29 September 2026.</dc:description>
  <cp:lastModifiedBy/>
  <cp:revision>1</cp:revision>
  <dcterms:created xsi:type="dcterms:W3CDTF">2013-12-23T23:15:00Z</dcterms:created>
  <dcterms:modified xsi:type="dcterms:W3CDTF">2013-12-23T23:15:00Z</dcterms:modified>
  <cp:category>Research draft</cp:category>
</cp:coreProperties>
</file>