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egoe UI Emoji" w:hAnsi="Segoe UI Emoji" w:eastAsia="Segoe UI Emoji" w:cs="Segoe UI Emoji"/>
        </w:rPr>
        <w:t xml:space="preserve">🏷️ </w:t>
      </w:r>
      <w:r>
        <w:t>What sits beside SaaS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464E5A"/>
          <w:sz w:val="21"/>
        </w:rPr>
        <w:t>Answer 12 of the working series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464E5A"/>
          <w:sz w:val="21"/>
        </w:rPr>
        <w:t>29 September 2026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464E5A"/>
          <w:sz w:val="21"/>
        </w:rPr>
        <w:t>NIST names three service models. PaaS and SaaS already have chapters. This chapter adds IaaS and the narrower names the industry hangs on the three.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411"/>
            <w:shd w:fill="F4F7FB" w:val="clear"/>
            <w:tcBorders>
              <w:top w:val="nil"/>
              <w:left w:val="single" w:sz="28" w:space="0" w:color="1F4E79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 Emoji" w:hAnsi="Segoe UI Emoji" w:eastAsia="Segoe UI Emoji" w:cs="Segoe UI Emoji"/>
                <w:b w:val="0"/>
                <w:i w:val="0"/>
                <w:sz w:val="24"/>
              </w:rPr>
              <w:t xml:space="preserve">🔑  </w:t>
            </w:r>
            <w:r>
              <w:rPr>
                <w:b/>
                <w:i w:val="0"/>
                <w:color w:val="1F4E79"/>
                <w:sz w:val="22"/>
              </w:rPr>
              <w:t>How to read this edition</w:t>
            </w:r>
          </w:p>
          <w:p>
            <w:pPr>
              <w:spacing w:after="40"/>
            </w:pPr>
            <w:r>
              <w:rPr>
                <w:b/>
                <w:i w:val="0"/>
                <w:color w:val="142846"/>
                <w:sz w:val="21"/>
                <w:shd w:val="clear" w:color="auto" w:fill="FFF1B8"/>
              </w:rPr>
              <w:t>The central idea of the chapter</w:t>
            </w:r>
            <w:r>
              <w:rPr>
                <w:b w:val="0"/>
                <w:i w:val="0"/>
                <w:sz w:val="21"/>
              </w:rPr>
              <w:t xml:space="preserve"> — bold, on a yellow marker.</w:t>
            </w:r>
          </w:p>
          <w:p>
            <w:pPr>
              <w:spacing w:after="40"/>
            </w:pPr>
            <w:r>
              <w:rPr>
                <w:b w:val="0"/>
                <w:i w:val="0"/>
                <w:color w:val="1B5E9E"/>
                <w:sz w:val="21"/>
                <w:u w:val="single"/>
              </w:rPr>
              <w:t>An important sentence</w:t>
            </w:r>
            <w:r>
              <w:rPr>
                <w:b w:val="0"/>
                <w:i w:val="0"/>
                <w:sz w:val="21"/>
              </w:rPr>
              <w:t xml:space="preserve"> — blue and underlined, in the text itself.</w:t>
            </w:r>
          </w:p>
          <w:p>
            <w:pPr>
              <w:spacing w:after="40"/>
            </w:pPr>
            <w:r>
              <w:rPr>
                <w:b w:val="0"/>
                <w:i w:val="0"/>
                <w:color w:val="6B2D8B"/>
                <w:sz w:val="21"/>
                <w:u w:val="dotted"/>
              </w:rPr>
              <w:t>A technical term</w:t>
            </w:r>
            <w:r>
              <w:rPr>
                <w:b w:val="0"/>
                <w:i w:val="0"/>
                <w:sz w:val="21"/>
              </w:rPr>
              <w:t xml:space="preserve"> — plum with a dotted line; its meaning is in “Words to know”.</w:t>
            </w:r>
          </w:p>
          <w:p>
            <w:pPr>
              <w:spacing w:after="0"/>
            </w:pPr>
            <w:r>
              <w:rPr>
                <w:rFonts w:ascii="Segoe UI Emoji" w:hAnsi="Segoe UI Emoji" w:eastAsia="Segoe UI Emoji" w:cs="Segoe UI Emoji"/>
                <w:b w:val="0"/>
                <w:i w:val="0"/>
                <w:sz w:val="21"/>
              </w:rPr>
              <w:t>💬</w:t>
            </w:r>
            <w:r>
              <w:rPr>
                <w:b w:val="0"/>
                <w:i w:val="0"/>
                <w:sz w:val="21"/>
              </w:rPr>
              <w:t xml:space="preserve"> In plain words   </w:t>
            </w:r>
            <w:r>
              <w:rPr>
                <w:rFonts w:ascii="Segoe UI Emoji" w:hAnsi="Segoe UI Emoji" w:eastAsia="Segoe UI Emoji" w:cs="Segoe UI Emoji"/>
                <w:b w:val="0"/>
                <w:i w:val="0"/>
                <w:sz w:val="21"/>
              </w:rPr>
              <w:t>🧭</w:t>
            </w:r>
            <w:r>
              <w:rPr>
                <w:b w:val="0"/>
                <w:i w:val="0"/>
                <w:sz w:val="21"/>
              </w:rPr>
              <w:t xml:space="preserve"> The chapter as a map   </w:t>
            </w:r>
            <w:r>
              <w:rPr>
                <w:rFonts w:ascii="Segoe UI Emoji" w:hAnsi="Segoe UI Emoji" w:eastAsia="Segoe UI Emoji" w:cs="Segoe UI Emoji"/>
                <w:b w:val="0"/>
                <w:i w:val="0"/>
                <w:sz w:val="21"/>
              </w:rPr>
              <w:t>📖</w:t>
            </w:r>
            <w:r>
              <w:rPr>
                <w:b w:val="0"/>
                <w:i w:val="0"/>
                <w:sz w:val="21"/>
              </w:rPr>
              <w:t xml:space="preserve"> Words to know   </w:t>
            </w:r>
            <w:r>
              <w:rPr>
                <w:rFonts w:ascii="Segoe UI Emoji" w:hAnsi="Segoe UI Emoji" w:eastAsia="Segoe UI Emoji" w:cs="Segoe UI Emoji"/>
                <w:b w:val="0"/>
                <w:i w:val="0"/>
                <w:sz w:val="21"/>
              </w:rPr>
              <w:t>🔁</w:t>
            </w:r>
            <w:r>
              <w:rPr>
                <w:b w:val="0"/>
                <w:i w:val="0"/>
                <w:sz w:val="21"/>
              </w:rPr>
              <w:t xml:space="preserve"> Read it again</w:t>
            </w:r>
          </w:p>
        </w:tc>
      </w:tr>
    </w:tbl>
    <w:p>
      <w:pPr>
        <w:spacing w:after="0" w:before="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411"/>
            <w:shd w:fill="FFF7DD" w:val="clear"/>
            <w:tcBorders>
              <w:top w:val="nil"/>
              <w:left w:val="single" w:sz="28" w:space="0" w:color="B4540A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 Emoji" w:hAnsi="Segoe UI Emoji" w:eastAsia="Segoe UI Emoji" w:cs="Segoe UI Emoji"/>
                <w:b w:val="0"/>
                <w:i w:val="0"/>
                <w:sz w:val="24"/>
              </w:rPr>
              <w:t xml:space="preserve">⭐  </w:t>
            </w:r>
            <w:r>
              <w:rPr>
                <w:b/>
                <w:i w:val="0"/>
                <w:color w:val="B4540A"/>
                <w:sz w:val="22"/>
              </w:rPr>
              <w:t>In one sentence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2846"/>
                <w:sz w:val="23"/>
              </w:rPr>
              <w:t>There are exactly three official ‘as a service’ models — infrastructure, platform, software — sorted by who the customer is; every newer name lands under one of them.</w:t>
            </w:r>
          </w:p>
        </w:tc>
      </w:tr>
    </w:tbl>
    <w:p>
      <w:pPr>
        <w:spacing w:after="0" w:before="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411"/>
            <w:shd w:fill="EAF4FB" w:val="clear"/>
            <w:tcBorders>
              <w:top w:val="nil"/>
              <w:left w:val="single" w:sz="28" w:space="0" w:color="0F6E8C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 Emoji" w:hAnsi="Segoe UI Emoji" w:eastAsia="Segoe UI Emoji" w:cs="Segoe UI Emoji"/>
                <w:b w:val="0"/>
                <w:i w:val="0"/>
                <w:sz w:val="24"/>
              </w:rPr>
              <w:t xml:space="preserve">💬  </w:t>
            </w:r>
            <w:r>
              <w:rPr>
                <w:b/>
                <w:i w:val="0"/>
                <w:color w:val="0F6E8C"/>
                <w:sz w:val="22"/>
              </w:rPr>
              <w:t>In plain words</w:t>
            </w:r>
          </w:p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There are exactly three official ‘as a service’ models — infrastructure, platform, software — sorted by who the customer is: an operator, a developer, or an end user. Every newer label (function-, container-, database-, identity-as-a-service, and so on) is a narrower product that still lands under one of the three. And ‘public, private, hybrid’ is a different question altogether: where the cloud runs.</w:t>
            </w:r>
          </w:p>
        </w:tc>
      </w:tr>
    </w:tbl>
    <w:p>
      <w:pPr>
        <w:spacing w:after="0" w:before="0"/>
      </w:pPr>
      <w:r>
        <w:rPr>
          <w:sz w:val="8"/>
        </w:rPr>
        <w:t xml:space="preserve"> </w:t>
      </w:r>
    </w:p>
    <w:p>
      <w:pPr>
        <w:spacing w:after="60" w:before="80"/>
      </w:pPr>
      <w:r>
        <w:rPr>
          <w:rFonts w:ascii="Segoe UI Emoji" w:hAnsi="Segoe UI Emoji" w:eastAsia="Segoe UI Emoji" w:cs="Segoe UI Emoji"/>
          <w:b w:val="0"/>
          <w:i w:val="0"/>
          <w:sz w:val="24"/>
        </w:rPr>
        <w:t xml:space="preserve">📖  </w:t>
      </w:r>
      <w:r>
        <w:rPr>
          <w:b/>
          <w:i w:val="0"/>
          <w:color w:val="6B2D8B"/>
          <w:sz w:val="22"/>
        </w:rPr>
        <w:t>Words to know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608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NIST Special Publication 500-322</w:t>
            </w:r>
          </w:p>
        </w:tc>
        <w:tc>
          <w:tcPr>
            <w:tcW w:type="dxa" w:w="6803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The evaluation guide that sorts a cloud offering by what is provided and who the primary customer is.</w:t>
            </w:r>
          </w:p>
        </w:tc>
      </w:tr>
      <w:tr>
        <w:tc>
          <w:tcPr>
            <w:tcW w:type="dxa" w:w="2608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Function as a service</w:t>
            </w:r>
          </w:p>
        </w:tc>
        <w:tc>
          <w:tcPr>
            <w:tcW w:type="dxa" w:w="6803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FaaS: a unit of code run on demand and scaled to zero — Richardson’s serverless deployment.</w:t>
            </w:r>
          </w:p>
        </w:tc>
      </w:tr>
      <w:tr>
        <w:tc>
          <w:tcPr>
            <w:tcW w:type="dxa" w:w="2608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Containers as a service</w:t>
            </w:r>
          </w:p>
        </w:tc>
        <w:tc>
          <w:tcPr>
            <w:tcW w:type="dxa" w:w="6803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CaaS: a place to run containers, often a managed Kubernetes control plane.</w:t>
            </w:r>
          </w:p>
        </w:tc>
      </w:tr>
      <w:tr>
        <w:tc>
          <w:tcPr>
            <w:tcW w:type="dxa" w:w="2608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Database as a service</w:t>
            </w:r>
          </w:p>
        </w:tc>
        <w:tc>
          <w:tcPr>
            <w:tcW w:type="dxa" w:w="6803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DBaaS: a managed database engine — backups, patching, and scaling done by the provider.</w:t>
            </w:r>
          </w:p>
        </w:tc>
      </w:tr>
      <w:tr>
        <w:tc>
          <w:tcPr>
            <w:tcW w:type="dxa" w:w="2608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Identity as a service</w:t>
            </w:r>
          </w:p>
        </w:tc>
        <w:tc>
          <w:tcPr>
            <w:tcW w:type="dxa" w:w="6803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IDaaS: a directory, sign-in, and tokens, bought rather than built.</w:t>
            </w:r>
          </w:p>
        </w:tc>
      </w:tr>
      <w:tr>
        <w:tc>
          <w:tcPr>
            <w:tcW w:type="dxa" w:w="2608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Integration platform as a service</w:t>
            </w:r>
          </w:p>
        </w:tc>
        <w:tc>
          <w:tcPr>
            <w:tcW w:type="dxa" w:w="6803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iPaaS: hosted connectors, routing, and transformation between applications.</w:t>
            </w:r>
          </w:p>
        </w:tc>
      </w:tr>
      <w:tr>
        <w:tc>
          <w:tcPr>
            <w:tcW w:type="dxa" w:w="2608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Backend as a service</w:t>
            </w:r>
          </w:p>
        </w:tc>
        <w:tc>
          <w:tcPr>
            <w:tcW w:type="dxa" w:w="6803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BaaS: a ready-made backend — identity, data, push — for mobile and web clients.</w:t>
            </w:r>
          </w:p>
        </w:tc>
      </w:tr>
      <w:tr>
        <w:tc>
          <w:tcPr>
            <w:tcW w:type="dxa" w:w="2608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Network as a service</w:t>
            </w:r>
          </w:p>
        </w:tc>
        <w:tc>
          <w:tcPr>
            <w:tcW w:type="dxa" w:w="6803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NaaS: connectivity and network functions consumed as a service.</w:t>
            </w:r>
          </w:p>
        </w:tc>
      </w:tr>
      <w:tr>
        <w:tc>
          <w:tcPr>
            <w:tcW w:type="dxa" w:w="2608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Security as a service</w:t>
            </w:r>
          </w:p>
        </w:tc>
        <w:tc>
          <w:tcPr>
            <w:tcW w:type="dxa" w:w="6803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SECaaS: detection, protection, or compliance functions run by a provider.</w:t>
            </w:r>
          </w:p>
        </w:tc>
      </w:tr>
      <w:tr>
        <w:tc>
          <w:tcPr>
            <w:tcW w:type="dxa" w:w="2608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DaaS</w:t>
            </w:r>
          </w:p>
        </w:tc>
        <w:tc>
          <w:tcPr>
            <w:tcW w:type="dxa" w:w="6803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Desktop as a service — or data as a service; the abbreviation collides.</w:t>
            </w:r>
          </w:p>
        </w:tc>
      </w:tr>
      <w:tr>
        <w:tc>
          <w:tcPr>
            <w:tcW w:type="dxa" w:w="2608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backing service</w:t>
            </w:r>
          </w:p>
        </w:tc>
        <w:tc>
          <w:tcPr>
            <w:tcW w:type="dxa" w:w="6803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Any service an application consumes over the network: a database, a queue, a hosted model.</w:t>
            </w:r>
          </w:p>
        </w:tc>
      </w:tr>
      <w:tr>
        <w:tc>
          <w:tcPr>
            <w:tcW w:type="dxa" w:w="2608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deployment models</w:t>
            </w:r>
          </w:p>
        </w:tc>
        <w:tc>
          <w:tcPr>
            <w:tcW w:type="dxa" w:w="6803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NIST’s four: public, private, community, hybrid — where a cloud runs, not what kind of product it is.</w:t>
            </w:r>
          </w:p>
        </w:tc>
      </w:tr>
      <w:tr>
        <w:tc>
          <w:tcPr>
            <w:tcW w:type="dxa" w:w="2608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data product</w:t>
            </w:r>
          </w:p>
        </w:tc>
        <w:tc>
          <w:tcPr>
            <w:tcW w:type="dxa" w:w="6803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A dataset a domain publishes for others to analyze — the Data Mesh idea.</w:t>
            </w:r>
          </w:p>
        </w:tc>
      </w:tr>
      <w:tr>
        <w:tc>
          <w:tcPr>
            <w:tcW w:type="dxa" w:w="2608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Managed Kubernetes</w:t>
            </w:r>
          </w:p>
        </w:tc>
        <w:tc>
          <w:tcPr>
            <w:tcW w:type="dxa" w:w="6803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A cluster whose control plane the provider runs; the team runs the workloads.</w:t>
            </w:r>
          </w:p>
        </w:tc>
      </w:tr>
    </w:tbl>
    <w:p>
      <w:pPr>
        <w:spacing w:after="0" w:before="0"/>
      </w:pPr>
      <w:r>
        <w:rPr>
          <w:sz w:val="8"/>
        </w:rPr>
        <w:t xml:space="preserve"> </w:t>
      </w:r>
    </w:p>
    <w:p>
      <w:pPr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68800" cy="5989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02-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598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A626E"/>
          <w:sz w:val="18"/>
        </w:rPr>
        <w:t>The chapter as a map: its sections and what each one holds.</w:t>
      </w:r>
    </w:p>
    <w:p>
      <w:r>
        <w:rPr>
          <w:rFonts w:ascii="Calibri" w:hAnsi="Calibri" w:eastAsia="Calibri"/>
          <w:b w:val="0"/>
          <w:i w:val="0"/>
          <w:color w:val="1B5E9E"/>
          <w:sz w:val="22"/>
          <w:u w:val="single"/>
        </w:rPr>
        <w:t xml:space="preserve">The official set is three.</w:t>
      </w:r>
      <w:r>
        <w:rPr>
          <w:rFonts w:ascii="Calibri" w:hAnsi="Calibri" w:eastAsia="Calibri"/>
          <w:b w:val="0"/>
          <w:i w:val="0"/>
          <w:sz w:val="22"/>
        </w:rPr>
        <w:t xml:space="preserve"> In September 2011, NIST Special Publication 800-145 defined Software as a Service, Platform as a Service, and Infrastructure as a Service. The later evaluation guide, </w:t>
      </w:r>
      <w:r>
        <w:rPr>
          <w:rFonts w:ascii="Calibri" w:hAnsi="Calibri" w:eastAsia="Calibri"/>
          <w:b w:val="0"/>
          <w:i w:val="0"/>
          <w:color w:val="6B2D8B"/>
          <w:sz w:val="22"/>
          <w:u w:val="dotted"/>
        </w:rPr>
        <w:t xml:space="preserve">NIST Special Publication 500-322</w:t>
      </w:r>
      <w:r>
        <w:rPr>
          <w:rFonts w:ascii="Calibri" w:hAnsi="Calibri" w:eastAsia="Calibri"/>
          <w:b w:val="0"/>
          <w:i w:val="0"/>
          <w:sz w:val="22"/>
        </w:rPr>
        <w:t xml:space="preserve">, sorts a cloud offering into one of those three by two facts: what is being provided, and who the primary customer is. An end user of a finished application is SaaS. A developer or deployer of an application is PaaS. An operator of systems, who needs machines and networks, is IaaS. </w:t>
      </w:r>
      <w:r>
        <w:rPr>
          <w:rFonts w:ascii="Calibri" w:hAnsi="Calibri" w:eastAsia="Calibri"/>
          <w:b/>
          <w:i w:val="0"/>
          <w:color w:val="142846"/>
          <w:sz w:val="22"/>
          <w:shd w:val="clear" w:color="auto" w:fill="FFF1B8"/>
        </w:rPr>
        <w:t xml:space="preserve">A new “as a service” name does not create a fourth NIST model.</w:t>
      </w:r>
      <w:r>
        <w:rPr>
          <w:rFonts w:ascii="Calibri" w:hAnsi="Calibri" w:eastAsia="Calibri"/>
          <w:b w:val="0"/>
          <w:i w:val="0"/>
          <w:sz w:val="22"/>
        </w:rPr>
        <w:t xml:space="preserve"> It names a narrower product that still falls under one of the three, or under a mix.</w:t>
      </w:r>
    </w:p>
    <w:p>
      <w:pPr>
        <w:pStyle w:val="Heading2"/>
      </w:pPr>
      <w:r>
        <w:rPr>
          <w:rFonts w:ascii="Segoe UI Emoji" w:hAnsi="Segoe UI Emoji" w:eastAsia="Segoe UI Emoji" w:cs="Segoe UI Emoji"/>
        </w:rPr>
        <w:t xml:space="preserve">3️⃣ </w:t>
      </w:r>
      <w:r>
        <w:t>The three models</w:t>
      </w:r>
    </w:p>
    <w:p>
      <w:pPr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89880" cy="1981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01-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198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A626E"/>
          <w:sz w:val="18"/>
        </w:rPr>
        <w:t>The NIST test: who is the customer, and what do they receive?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F4E79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2379"/>
            <w:shd w:fill="1F4E79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The customer receives</w:t>
            </w:r>
          </w:p>
        </w:tc>
        <w:tc>
          <w:tcPr>
            <w:tcW w:type="dxa" w:w="2379"/>
            <w:shd w:fill="1F4E79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The customer still manages</w:t>
            </w:r>
          </w:p>
        </w:tc>
        <w:tc>
          <w:tcPr>
            <w:tcW w:type="dxa" w:w="2379"/>
            <w:shd w:fill="1F4E79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Primary customer</w:t>
            </w:r>
          </w:p>
        </w:tc>
      </w:tr>
      <w:tr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Infrastructure as a service</w:t>
            </w:r>
          </w:p>
        </w:tc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Processing, storage, and networks, on which they run any software, including operating systems.</w:t>
            </w:r>
          </w:p>
        </w:tc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Operating systems, storage they were given, and the applications. Limited control of some networking, such as host firewalls.</w:t>
            </w:r>
          </w:p>
        </w:tc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IT operations</w:t>
            </w:r>
          </w:p>
        </w:tc>
      </w:tr>
      <w:tr>
        <w:tc>
          <w:tcPr>
            <w:tcW w:type="dxa" w:w="237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Platform as a service</w:t>
            </w:r>
          </w:p>
        </w:tc>
        <w:tc>
          <w:tcPr>
            <w:tcW w:type="dxa" w:w="237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 place to deploy applications written with the provider’s languages and tools.</w:t>
            </w:r>
          </w:p>
        </w:tc>
        <w:tc>
          <w:tcPr>
            <w:tcW w:type="dxa" w:w="237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The applications, and possibly settings of the hosting environment. Not the network, servers, operating system, or storage.</w:t>
            </w:r>
          </w:p>
        </w:tc>
        <w:tc>
          <w:tcPr>
            <w:tcW w:type="dxa" w:w="237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Developer or deployer</w:t>
            </w:r>
          </w:p>
        </w:tc>
      </w:tr>
      <w:tr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Software as a service</w:t>
            </w:r>
          </w:p>
        </w:tc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The provider’s application, through a browser or a program interface.</w:t>
            </w:r>
          </w:p>
        </w:tc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Limited user-specific configuration. Not the infrastructure and not the application’s capabilities.</w:t>
            </w:r>
          </w:p>
        </w:tc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End user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PaaS and SaaS are already chapters of this series. IaaS is the one that had been named and not yet described. </w:t>
      </w:r>
      <w:r>
        <w:rPr>
          <w:rFonts w:ascii="Calibri" w:hAnsi="Calibri" w:eastAsia="Calibri"/>
          <w:b w:val="0"/>
          <w:i w:val="0"/>
          <w:color w:val="1B5E9E"/>
          <w:sz w:val="22"/>
          <w:u w:val="single"/>
        </w:rPr>
        <w:t xml:space="preserve">From the microservice point of view it is the raw pool.</w:t>
      </w:r>
      <w:r>
        <w:rPr>
          <w:rFonts w:ascii="Calibri" w:hAnsi="Calibri" w:eastAsia="Calibri"/>
          <w:b w:val="0"/>
          <w:i w:val="0"/>
          <w:sz w:val="22"/>
        </w:rPr>
        <w:t xml:space="preserve"> The team can install a cluster, a broker, and a database engine, and can run any service they can package. The provider runs the physical hosts and the virtualization. The team runs everything that makes those machines a platform. A virtual machine with a monolith on it is a completed IaaS deployment. A virtual machine with Kubernetes installed, and services scheduled on it, is a team-built platform sitting on IaaS. </w:t>
      </w:r>
      <w:r>
        <w:rPr>
          <w:rFonts w:ascii="Calibri" w:hAnsi="Calibri" w:eastAsia="Calibri"/>
          <w:b w:val="0"/>
          <w:i w:val="0"/>
          <w:color w:val="6B2D8B"/>
          <w:sz w:val="22"/>
          <w:u w:val="dotted"/>
        </w:rPr>
        <w:t xml:space="preserve">Managed Kubernetes</w:t>
      </w:r>
      <w:r>
        <w:rPr>
          <w:rFonts w:ascii="Calibri" w:hAnsi="Calibri" w:eastAsia="Calibri"/>
          <w:b w:val="0"/>
          <w:i w:val="0"/>
          <w:sz w:val="22"/>
        </w:rPr>
        <w:t xml:space="preserve"> moves part of that work back to the provider and lands between IaaS and PaaS, which is why the industry gave it a further name.</w:t>
      </w:r>
    </w:p>
    <w:p>
      <w:pPr>
        <w:pStyle w:val="Heading2"/>
      </w:pPr>
      <w:r>
        <w:rPr>
          <w:rFonts w:ascii="Segoe UI Emoji" w:hAnsi="Segoe UI Emoji" w:eastAsia="Segoe UI Emoji" w:cs="Segoe UI Emoji"/>
        </w:rPr>
        <w:t xml:space="preserve">🏷️ </w:t>
      </w:r>
      <w:r>
        <w:t>Names that sit under the three</w:t>
      </w:r>
    </w:p>
    <w:p>
      <w:r>
        <w:rPr>
          <w:rFonts w:ascii="Calibri" w:hAnsi="Calibri" w:eastAsia="Calibri"/>
          <w:b w:val="0"/>
          <w:i w:val="0"/>
          <w:sz w:val="22"/>
        </w:rPr>
        <w:t>These are the narrower names that show up next to microservices. Each one is a product shape. The NIST row is where that shape usually lands, not a second official taxonomy.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F4E79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379"/>
            <w:shd w:fill="1F4E79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is provided</w:t>
            </w:r>
          </w:p>
        </w:tc>
        <w:tc>
          <w:tcPr>
            <w:tcW w:type="dxa" w:w="2379"/>
            <w:shd w:fill="1F4E79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Usual NIST home</w:t>
            </w:r>
          </w:p>
        </w:tc>
        <w:tc>
          <w:tcPr>
            <w:tcW w:type="dxa" w:w="2379"/>
            <w:shd w:fill="1F4E79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it means for a service</w:t>
            </w:r>
          </w:p>
        </w:tc>
      </w:tr>
      <w:tr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Function as a service (FaaS)</w:t>
            </w:r>
          </w:p>
        </w:tc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 unit of code run on demand. The provider starts the instance and scales it to zero.</w:t>
            </w:r>
          </w:p>
        </w:tc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PaaS, narrowed to a function</w:t>
            </w:r>
          </w:p>
        </w:tc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Richardson’s serverless deployment pattern. The function may be a whole service or a fragment smaller than a bounded context.</w:t>
            </w:r>
          </w:p>
        </w:tc>
      </w:tr>
      <w:tr>
        <w:tc>
          <w:tcPr>
            <w:tcW w:type="dxa" w:w="237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Containers as a service (CaaS)</w:t>
            </w:r>
          </w:p>
        </w:tc>
        <w:tc>
          <w:tcPr>
            <w:tcW w:type="dxa" w:w="237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 place to run containers, often a managed Kubernetes control plane.</w:t>
            </w:r>
          </w:p>
        </w:tc>
        <w:tc>
          <w:tcPr>
            <w:tcW w:type="dxa" w:w="237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Between IaaS and PaaS</w:t>
            </w:r>
          </w:p>
        </w:tc>
        <w:tc>
          <w:tcPr>
            <w:tcW w:type="dxa" w:w="237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The Kubernetes chapter. The team still brings the image, the probes, and the boundaries.</w:t>
            </w:r>
          </w:p>
        </w:tc>
      </w:tr>
      <w:tr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Database as a service (DBaaS)</w:t>
            </w:r>
          </w:p>
        </w:tc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 managed database engine: backups, patching, and often scaling.</w:t>
            </w:r>
          </w:p>
        </w:tc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PaaS, as a backing service</w:t>
            </w:r>
          </w:p>
        </w:tc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The usual way to give a service its own database without operating the engine.</w:t>
            </w:r>
          </w:p>
        </w:tc>
      </w:tr>
      <w:tr>
        <w:tc>
          <w:tcPr>
            <w:tcW w:type="dxa" w:w="237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Identity as a service (IDaaS)</w:t>
            </w:r>
          </w:p>
        </w:tc>
        <w:tc>
          <w:tcPr>
            <w:tcW w:type="dxa" w:w="237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 directory, sign-in, and tokens.</w:t>
            </w:r>
          </w:p>
        </w:tc>
        <w:tc>
          <w:tcPr>
            <w:tcW w:type="dxa" w:w="237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SaaS for the identity product</w:t>
            </w:r>
          </w:p>
        </w:tc>
        <w:tc>
          <w:tcPr>
            <w:tcW w:type="dxa" w:w="237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The access-token pattern, bought rather than built. The tenant still has to be on the token.</w:t>
            </w:r>
          </w:p>
        </w:tc>
      </w:tr>
      <w:tr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Integration platform as a service (iPaaS)</w:t>
            </w:r>
          </w:p>
        </w:tc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Hosted connectors, routing, and transformation between applications.</w:t>
            </w:r>
          </w:p>
        </w:tc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PaaS for integration</w:t>
            </w:r>
          </w:p>
        </w:tc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 hosted place for messaging and mapping. It can become the smart bus the 2014 article kept out of the middle.</w:t>
            </w:r>
          </w:p>
        </w:tc>
      </w:tr>
      <w:tr>
        <w:tc>
          <w:tcPr>
            <w:tcW w:type="dxa" w:w="237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Backend as a service (BaaS)</w:t>
            </w:r>
          </w:p>
        </w:tc>
        <w:tc>
          <w:tcPr>
            <w:tcW w:type="dxa" w:w="237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 ready-made backend for a client: identity, data, and push, aimed at mobile and web clients.</w:t>
            </w:r>
          </w:p>
        </w:tc>
        <w:tc>
          <w:tcPr>
            <w:tcW w:type="dxa" w:w="237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SaaS or PaaS, depending on how fixed the backend is</w:t>
            </w:r>
          </w:p>
        </w:tc>
        <w:tc>
          <w:tcPr>
            <w:tcW w:type="dxa" w:w="237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 shared backend behind client apps. Easy to start, and easy to become one database for every feature.</w:t>
            </w:r>
          </w:p>
        </w:tc>
      </w:tr>
      <w:tr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Storage as a service</w:t>
            </w:r>
          </w:p>
        </w:tc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Object, file, or block storage by API.</w:t>
            </w:r>
          </w:p>
        </w:tc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IaaS</w:t>
            </w:r>
          </w:p>
        </w:tc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 place for blobs and files. It is not the service’s system of record unless the service’s model says so.</w:t>
            </w:r>
          </w:p>
        </w:tc>
      </w:tr>
      <w:tr>
        <w:tc>
          <w:tcPr>
            <w:tcW w:type="dxa" w:w="237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Network as a service (NaaS)</w:t>
            </w:r>
          </w:p>
        </w:tc>
        <w:tc>
          <w:tcPr>
            <w:tcW w:type="dxa" w:w="237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Connectivity, delivery, and network functions consumed as a service.</w:t>
            </w:r>
          </w:p>
        </w:tc>
        <w:tc>
          <w:tcPr>
            <w:tcW w:type="dxa" w:w="237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IaaS</w:t>
            </w:r>
          </w:p>
        </w:tc>
        <w:tc>
          <w:tcPr>
            <w:tcW w:type="dxa" w:w="237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The routes and policies between services, without owning the wires.</w:t>
            </w:r>
          </w:p>
        </w:tc>
      </w:tr>
      <w:tr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Security as a service (SECaaS)</w:t>
            </w:r>
          </w:p>
        </w:tc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Detection, protection, or compliance functions run by a provider.</w:t>
            </w:r>
          </w:p>
        </w:tc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Usually SaaS</w:t>
            </w:r>
          </w:p>
        </w:tc>
        <w:tc>
          <w:tcPr>
            <w:tcW w:type="dxa" w:w="237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 control the platform team buys. It does not replace the tenant check inside the aggregate.</w:t>
            </w:r>
          </w:p>
        </w:tc>
      </w:tr>
      <w:tr>
        <w:tc>
          <w:tcPr>
            <w:tcW w:type="dxa" w:w="237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AI or machine learning as a service</w:t>
            </w:r>
          </w:p>
        </w:tc>
        <w:tc>
          <w:tcPr>
            <w:tcW w:type="dxa" w:w="237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 model or a training platform called by API.</w:t>
            </w:r>
          </w:p>
        </w:tc>
        <w:tc>
          <w:tcPr>
            <w:tcW w:type="dxa" w:w="237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SaaS for a finished model, PaaS for a training platform</w:t>
            </w:r>
          </w:p>
        </w:tc>
        <w:tc>
          <w:tcPr>
            <w:tcW w:type="dxa" w:w="237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Pressman’s AI category, consumed as a backing service. Calling it is not the same as changing the service boundaries.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Two names collide on the abbreviation </w:t>
      </w:r>
      <w:r>
        <w:rPr>
          <w:rFonts w:ascii="Calibri" w:hAnsi="Calibri" w:eastAsia="Calibri"/>
          <w:b w:val="0"/>
          <w:i w:val="0"/>
          <w:color w:val="6B2D8B"/>
          <w:sz w:val="22"/>
          <w:u w:val="dotted"/>
        </w:rPr>
        <w:t xml:space="preserve">DaaS</w:t>
      </w:r>
      <w:r>
        <w:rPr>
          <w:rFonts w:ascii="Calibri" w:hAnsi="Calibri" w:eastAsia="Calibri"/>
          <w:b w:val="0"/>
          <w:i w:val="0"/>
          <w:sz w:val="22"/>
        </w:rPr>
        <w:t xml:space="preserve">. Desktop as a service provides a remote desktop and sits near SaaS or a virtual desktop on IaaS. Data as a service provides data through an API and sits near SaaS, and in this series it is the commercial form of a </w:t>
      </w:r>
      <w:r>
        <w:rPr>
          <w:rFonts w:ascii="Calibri" w:hAnsi="Calibri" w:eastAsia="Calibri"/>
          <w:b w:val="0"/>
          <w:i w:val="0"/>
          <w:color w:val="6B2D8B"/>
          <w:sz w:val="22"/>
          <w:u w:val="dotted"/>
        </w:rPr>
        <w:t xml:space="preserve">data product</w:t>
      </w:r>
      <w:r>
        <w:rPr>
          <w:rFonts w:ascii="Calibri" w:hAnsi="Calibri" w:eastAsia="Calibri"/>
          <w:b w:val="0"/>
          <w:i w:val="0"/>
          <w:sz w:val="22"/>
        </w:rPr>
        <w:t xml:space="preserve">, the thing Data Mesh asks a domain to publish. </w:t>
      </w:r>
      <w:r>
        <w:rPr>
          <w:rFonts w:ascii="Calibri" w:hAnsi="Calibri" w:eastAsia="Calibri"/>
          <w:b w:val="0"/>
          <w:i w:val="0"/>
          <w:color w:val="1B5E9E"/>
          <w:sz w:val="22"/>
          <w:u w:val="single"/>
        </w:rPr>
        <w:t xml:space="preserve">The abbreviation alone does not say which one a document means.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Further marketing names — communications as a service, contact center as a service, business process as a service — follow the same pattern. </w:t>
      </w:r>
      <w:r>
        <w:rPr>
          <w:rFonts w:ascii="Calibri" w:hAnsi="Calibri" w:eastAsia="Calibri"/>
          <w:b w:val="0"/>
          <w:i w:val="0"/>
          <w:color w:val="1B5E9E"/>
          <w:sz w:val="22"/>
          <w:u w:val="single"/>
        </w:rPr>
        <w:t xml:space="preserve">Read them by the NIST test: if the customer is an end user of a finished application, it is SaaS; if the customer deploys their own application onto it, it is PaaS; if the customer operates systems on provided resources, it is IaaS.</w:t>
      </w:r>
    </w:p>
    <w:p>
      <w:pPr>
        <w:pStyle w:val="Heading2"/>
      </w:pPr>
      <w:r>
        <w:rPr>
          <w:rFonts w:ascii="Segoe UI Emoji" w:hAnsi="Segoe UI Emoji" w:eastAsia="Segoe UI Emoji" w:cs="Segoe UI Emoji"/>
        </w:rPr>
        <w:t xml:space="preserve">⚠️ </w:t>
      </w:r>
      <w:r>
        <w:t>A different list that is easy to mix in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NIST also names four </w:t>
      </w:r>
      <w:r>
        <w:rPr>
          <w:rFonts w:ascii="Calibri" w:hAnsi="Calibri" w:eastAsia="Calibri"/>
          <w:b w:val="0"/>
          <w:i w:val="0"/>
          <w:color w:val="6B2D8B"/>
          <w:sz w:val="22"/>
          <w:u w:val="dotted"/>
        </w:rPr>
        <w:t xml:space="preserve">deployment models</w:t>
      </w:r>
      <w:r>
        <w:rPr>
          <w:rFonts w:ascii="Calibri" w:hAnsi="Calibri" w:eastAsia="Calibri"/>
          <w:b w:val="0"/>
          <w:i w:val="0"/>
          <w:sz w:val="22"/>
        </w:rPr>
        <w:t xml:space="preserve">. They answer where the cloud runs, not what kind of product it is. A public cloud is owned by a provider and open to many customers. A private cloud is used by one organization. A community cloud is shared by a set of organizations with a common concern. A hybrid cloud binds two or more of those with technology that lets data and applications move. SaaS, PaaS, and IaaS can each be deployed in any of the four. A private cloud can host a SaaS product for one company’s own staff. A public cloud can host a single virtual machine. </w:t>
      </w:r>
      <w:r>
        <w:rPr>
          <w:rFonts w:ascii="Calibri" w:hAnsi="Calibri" w:eastAsia="Calibri"/>
          <w:b w:val="0"/>
          <w:i w:val="0"/>
          <w:color w:val="1B5E9E"/>
          <w:sz w:val="22"/>
          <w:u w:val="single"/>
        </w:rPr>
        <w:t xml:space="preserve">Deployment model and service model are two columns.</w:t>
      </w:r>
    </w:p>
    <w:p>
      <w:pPr>
        <w:pStyle w:val="Heading2"/>
      </w:pPr>
      <w:r>
        <w:rPr>
          <w:rFonts w:ascii="Segoe UI Emoji" w:hAnsi="Segoe UI Emoji" w:eastAsia="Segoe UI Emoji" w:cs="Segoe UI Emoji"/>
        </w:rPr>
        <w:t xml:space="preserve">🎯 </w:t>
      </w:r>
      <w:r>
        <w:t>What this fixes for the AI chapter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An AI suggestion that says “use a service” has to name which model. Generating application code aimed at an end user is SaaS work only if tenancy, metering, and the control plane are in scope. Generating a container and a database binding is PaaS or CaaS work. Provisioning a network and a machine is IaaS work. </w:t>
      </w:r>
      <w:r>
        <w:rPr>
          <w:rFonts w:ascii="Calibri" w:hAnsi="Calibri" w:eastAsia="Calibri"/>
          <w:b w:val="0"/>
          <w:i w:val="0"/>
          <w:color w:val="1B5E9E"/>
          <w:sz w:val="22"/>
          <w:u w:val="single"/>
        </w:rPr>
        <w:t xml:space="preserve">Calling a hosted model is AI as a service, which is a backing service, not a new shape for the order aggregate.</w:t>
      </w:r>
      <w:r>
        <w:rPr>
          <w:rFonts w:ascii="Calibri" w:hAnsi="Calibri" w:eastAsia="Calibri"/>
          <w:b w:val="0"/>
          <w:i w:val="0"/>
          <w:sz w:val="22"/>
        </w:rPr>
        <w:t xml:space="preserve"> The three NIST rows are enough to place the suggestion. The longer list is how the suggestion will be branded.</w:t>
      </w:r>
    </w:p>
    <w:p>
      <w:pPr>
        <w:spacing w:before="40" w:after="200"/>
      </w:pPr>
      <w:r>
        <w:rPr>
          <w:rFonts w:ascii="Calibri" w:hAnsi="Calibri" w:eastAsia="Calibri"/>
          <w:b w:val="0"/>
          <w:i/>
          <w:color w:val="5A626E"/>
          <w:sz w:val="19"/>
        </w:rPr>
        <w:t>Sources: Peter Mell and Timothy Grance, The NIST Definition of Cloud Computing, Special Publication 800-145, September 2011, service models and deployment models. NIST Special Publication 500-322, Evaluation of Cloud Computing Services Based on NIST SP 800-145, which sorts offerings by the capability provided and the primary customer. The PaaS, SaaS, Kubernetes, and software-type chapters of this series.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411"/>
            <w:shd w:fill="EAF7EE" w:val="clear"/>
            <w:tcBorders>
              <w:top w:val="nil"/>
              <w:left w:val="single" w:sz="28" w:space="0" w:color="1E7A46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 Emoji" w:hAnsi="Segoe UI Emoji" w:eastAsia="Segoe UI Emoji" w:cs="Segoe UI Emoji"/>
                <w:b w:val="0"/>
                <w:i w:val="0"/>
                <w:sz w:val="24"/>
              </w:rPr>
              <w:t xml:space="preserve">🔁  </w:t>
            </w:r>
            <w:r>
              <w:rPr>
                <w:b/>
                <w:i w:val="0"/>
                <w:color w:val="1E7A46"/>
                <w:sz w:val="22"/>
              </w:rPr>
              <w:t>Read it again: three things to carry away</w:t>
            </w:r>
          </w:p>
          <w:p>
            <w:pPr>
              <w:spacing w:after="60"/>
            </w:pPr>
            <w:r>
              <w:rPr>
                <w:b/>
                <w:i w:val="0"/>
                <w:color w:val="1E7A46"/>
                <w:sz w:val="21"/>
              </w:rPr>
              <w:t xml:space="preserve">1.  </w:t>
            </w:r>
            <w:r>
              <w:rPr>
                <w:b w:val="0"/>
                <w:i w:val="0"/>
                <w:sz w:val="21"/>
              </w:rPr>
              <w:t>Three NIST models, sorted by who the customer is.</w:t>
            </w:r>
          </w:p>
          <w:p>
            <w:pPr>
              <w:spacing w:after="60"/>
            </w:pPr>
            <w:r>
              <w:rPr>
                <w:b/>
                <w:i w:val="0"/>
                <w:color w:val="1E7A46"/>
                <w:sz w:val="21"/>
              </w:rPr>
              <w:t xml:space="preserve">2.  </w:t>
            </w:r>
            <w:r>
              <w:rPr>
                <w:b w:val="0"/>
                <w:i w:val="0"/>
                <w:sz w:val="21"/>
              </w:rPr>
              <w:t>Every newer ‘-aaS’ name lands under one of the three.</w:t>
            </w:r>
          </w:p>
          <w:p>
            <w:pPr>
              <w:spacing w:after="0"/>
            </w:pPr>
            <w:r>
              <w:rPr>
                <w:b/>
                <w:i w:val="0"/>
                <w:color w:val="1E7A46"/>
                <w:sz w:val="21"/>
              </w:rPr>
              <w:t xml:space="preserve">3.  </w:t>
            </w:r>
            <w:r>
              <w:rPr>
                <w:b w:val="0"/>
                <w:i w:val="0"/>
                <w:sz w:val="21"/>
              </w:rPr>
              <w:t>A hosted model is AI as a service — a backing service, not a new aggregate.</w:t>
            </w:r>
          </w:p>
        </w:tc>
      </w:tr>
    </w:tbl>
    <w:p>
      <w:pPr>
        <w:spacing w:after="0" w:before="0"/>
      </w:pPr>
      <w:r>
        <w:rPr>
          <w:sz w:val="8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/>
        <w:b w:val="0"/>
        <w:i w:val="0"/>
        <w:color w:val="5A626E"/>
        <w:sz w:val="18"/>
      </w:rPr>
      <w:t xml:space="preserve">Research draft  ·  AI and microservice architecture  ·  </w:t>
    </w:r>
    <w:r>
      <w:rPr>
        <w:rFonts w:ascii="Calibri" w:hAnsi="Calibri" w:eastAsia="Calibri"/>
        <w:b w:val="0"/>
        <w:i w:val="0"/>
        <w:color w:val="5A626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i w:val="0"/>
        <w:color w:val="1F4E79"/>
        <w:sz w:val="18"/>
      </w:rPr>
      <w:t>AI AND MICROSERVICE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Rule="auto" w:line="269"/>
    </w:pPr>
    <w:rPr>
      <w:rFonts w:ascii="Calibri" w:hAnsi="Calibri"/>
      <w:color w:val="1E21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4284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28374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sits beside SaaS</dc:title>
  <dc:subject>The three NIST service models, and the industry names under them — reading edition</dc:subject>
  <dc:creator>python-docx</dc:creator>
  <cp:keywords/>
  <dc:description>Working research notes for an article on how AI has influenced the architecture of microservices. Draft of 29 September 2026.</dc:description>
  <cp:lastModifiedBy/>
  <cp:revision>1</cp:revision>
  <dcterms:created xsi:type="dcterms:W3CDTF">2013-12-23T23:15:00Z</dcterms:created>
  <dcterms:modified xsi:type="dcterms:W3CDTF">2013-12-23T23:15:00Z</dcterms:modified>
  <cp:category>Research draft</cp:category>
</cp:coreProperties>
</file>