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20"/>
      </w:pPr>
      <w:r>
        <w:rPr>
          <w:rFonts w:ascii="Calibri" w:hAnsi="Calibri"/>
          <w:b/>
          <w:i w:val="0"/>
          <w:color w:val="2E74B5"/>
          <w:sz w:val="20"/>
        </w:rPr>
        <w:t>TECHNICAL DESIGN</w:t>
      </w:r>
    </w:p>
    <w:p>
      <w:pPr>
        <w:spacing w:after="160"/>
      </w:pPr>
      <w:r>
        <w:rPr>
          <w:rFonts w:ascii="Calibri" w:hAnsi="Calibri"/>
          <w:b/>
          <w:i w:val="0"/>
          <w:color w:val="0B2545"/>
          <w:sz w:val="56"/>
        </w:rPr>
        <w:t>Document Processing</w:t>
        <w:br/>
        <w:t>Worker Workflow</w:t>
      </w:r>
    </w:p>
    <w:p>
      <w:pPr>
        <w:spacing w:after="400"/>
      </w:pPr>
      <w:r>
        <w:rPr>
          <w:rFonts w:ascii="Calibri" w:hAnsi="Calibri"/>
          <w:b w:val="0"/>
          <w:i w:val="0"/>
          <w:color w:val="1F4D78"/>
          <w:sz w:val="30"/>
        </w:rPr>
        <w:t>Enterprise RAG Ingestion Pipeline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B8C5D6"/>
              <w:left w:val="single" w:sz="4" w:color="B8C5D6"/>
              <w:bottom w:val="single" w:sz="4" w:color="B8C5D6"/>
              <w:right w:val="single" w:sz="4" w:color="B8C5D6"/>
            </w:tcBorders>
          </w:tcPr>
          <w:p>
            <w:pPr>
              <w:spacing w:after="40"/>
            </w:pPr>
            <w:r>
              <w:rPr>
                <w:rFonts w:ascii="Calibri" w:hAnsi="Calibri"/>
                <w:b/>
                <w:i w:val="0"/>
                <w:color w:val="1F4D78"/>
                <w:sz w:val="20"/>
              </w:rPr>
              <w:t>Purpose</w:t>
            </w:r>
          </w:p>
          <w:p>
            <w:pPr>
              <w:spacing w:after="0"/>
            </w:pPr>
            <w:r>
              <w:rPr>
                <w:rFonts w:ascii="Calibri" w:hAnsi="Calibri"/>
                <w:b w:val="0"/>
                <w:i w:val="0"/>
                <w:color w:val="0B2545"/>
                <w:sz w:val="19"/>
              </w:rPr>
              <w:t>Define how the event-driven worker pipeline ingests PDF, DOCX, HTML, spreadsheets, presentations, images, email, and archive containers; preserves layout-aware evidence; and produces safe, traceable RAG-ready chunks and index records.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Document metadata</w:t>
            </w:r>
          </w:p>
        </w:tc>
        <w:tc>
          <w:tcPr>
            <w:tcW w:type="dxa" w:w="68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Value</w:t>
            </w:r>
          </w:p>
        </w:tc>
      </w:tr>
      <w:tr>
        <w:tc>
          <w:tcPr>
            <w:tcW w:type="dxa" w:w="2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Audience</w:t>
            </w:r>
          </w:p>
        </w:tc>
        <w:tc>
          <w:tcPr>
            <w:tcW w:type="dxa" w:w="6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Platform engineers, data engineers, ML engineers, security reviewers, and operators</w:t>
            </w:r>
          </w:p>
        </w:tc>
      </w:tr>
      <w:tr>
        <w:tc>
          <w:tcPr>
            <w:tcW w:type="dxa" w:w="2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Scope</w:t>
            </w:r>
          </w:p>
        </w:tc>
        <w:tc>
          <w:tcPr>
            <w:tcW w:type="dxa" w:w="6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Ingestion from submission through indexing, including classification, extraction, page analysis, quality control, retries, and DLQ handling</w:t>
            </w:r>
          </w:p>
        </w:tc>
      </w:tr>
      <w:tr>
        <w:tc>
          <w:tcPr>
            <w:tcW w:type="dxa" w:w="2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Architecture baseline</w:t>
            </w:r>
          </w:p>
        </w:tc>
        <w:tc>
          <w:tcPr>
            <w:tcW w:type="dxa" w:w="6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Python workers, IBM Docling, MinIO, PostgreSQL/outbox, Kafka/Avro, BGE-M3, Qdrant, OpenTelemetry</w:t>
            </w:r>
          </w:p>
        </w:tc>
      </w:tr>
      <w:tr>
        <w:tc>
          <w:tcPr>
            <w:tcW w:type="dxa" w:w="2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Status</w:t>
            </w:r>
          </w:p>
        </w:tc>
        <w:tc>
          <w:tcPr>
            <w:tcW w:type="dxa" w:w="6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Implementation design aligned to the repository event flow</w:t>
            </w:r>
          </w:p>
        </w:tc>
      </w:tr>
    </w:tbl>
    <w:p>
      <w:pPr>
        <w:spacing w:after="40"/>
      </w:pPr>
    </w:p>
    <w:p>
      <w:r>
        <w:br w:type="page"/>
      </w:r>
    </w:p>
    <w:p>
      <w:pPr>
        <w:pStyle w:val="Heading1"/>
        <w:keepNext/>
      </w:pPr>
      <w:r>
        <w:rPr>
          <w:rFonts w:ascii="Calibri" w:hAnsi="Calibri"/>
          <w:b/>
          <w:i w:val="0"/>
          <w:color w:val="2E74B5"/>
          <w:sz w:val="32"/>
        </w:rPr>
        <w:t>1. Executive summary</w:t>
      </w:r>
    </w:p>
    <w:p>
      <w:pPr>
        <w:spacing w:before="0" w:after="120" w:line="276" w:lineRule="auto"/>
      </w:pPr>
      <w:r>
        <w:rPr>
          <w:rFonts w:ascii="Calibri" w:hAnsi="Calibri"/>
          <w:b w:val="0"/>
          <w:i w:val="0"/>
          <w:color w:val="0B2545"/>
          <w:sz w:val="21"/>
        </w:rPr>
        <w:t>The pipeline treats a document as a set of evidence-bearing content units rather than one block of text. A worker first identifies the file type and risk profile, then extracts an ordered document model, classifies each page or logical section, and routes text, tables, images, diagrams, formulas, and embedded objects to specialized processing paths. The normalized model is persisted before chunking so later workers can be re-run without re-reading the original file.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B8C5D6"/>
              <w:left w:val="single" w:sz="4" w:color="B8C5D6"/>
              <w:bottom w:val="single" w:sz="4" w:color="B8C5D6"/>
              <w:right w:val="single" w:sz="4" w:color="B8C5D6"/>
            </w:tcBorders>
          </w:tcPr>
          <w:p>
            <w:pPr>
              <w:spacing w:after="40"/>
            </w:pPr>
            <w:r>
              <w:rPr>
                <w:rFonts w:ascii="Calibri" w:hAnsi="Calibri"/>
                <w:b/>
                <w:i w:val="0"/>
                <w:color w:val="1F4D78"/>
                <w:sz w:val="20"/>
              </w:rPr>
              <w:t>Key design rule</w:t>
            </w:r>
          </w:p>
          <w:p>
            <w:pPr>
              <w:spacing w:after="0"/>
            </w:pPr>
            <w:r>
              <w:rPr>
                <w:rFonts w:ascii="Calibri" w:hAnsi="Calibri"/>
                <w:b w:val="0"/>
                <w:i w:val="0"/>
                <w:color w:val="0B2545"/>
                <w:sz w:val="19"/>
              </w:rPr>
              <w:t>Original files and derived artifacts are immutable. Kafka events carry references and metadata, never the document bytes. Every stage is idempotent using event_id plus a stage-specific content/version key.</w:t>
            </w:r>
          </w:p>
        </w:tc>
      </w:tr>
    </w:tbl>
    <w:p>
      <w:pPr>
        <w:spacing w:after="40"/>
      </w:pPr>
    </w:p>
    <w:p>
      <w:pPr>
        <w:pStyle w:val="Heading2"/>
        <w:keepNext/>
      </w:pPr>
      <w:r>
        <w:rPr>
          <w:rFonts w:ascii="Calibri" w:hAnsi="Calibri"/>
          <w:b/>
          <w:i w:val="0"/>
          <w:color w:val="2E74B5"/>
          <w:sz w:val="26"/>
        </w:rPr>
        <w:t>1.1 End-to-end workflow</w:t>
      </w:r>
    </w:p>
    <w:p>
      <w:pPr>
        <w:pStyle w:val="ListNumber"/>
        <w:spacing w:after="80" w:line="276" w:lineRule="auto"/>
      </w:pPr>
      <w:r>
        <w:rPr>
          <w:rFonts w:ascii="Calibri" w:hAnsi="Calibri"/>
          <w:b w:val="0"/>
          <w:i w:val="0"/>
          <w:color w:val="0B2545"/>
          <w:sz w:val="20"/>
        </w:rPr>
        <w:t>A source connector or API submits a document and metadata; the submission service stores a DocumentSubmitted event in the transactional outbox.</w:t>
      </w:r>
    </w:p>
    <w:p>
      <w:pPr>
        <w:pStyle w:val="ListNumber"/>
        <w:spacing w:after="80" w:line="276" w:lineRule="auto"/>
      </w:pPr>
      <w:r>
        <w:rPr>
          <w:rFonts w:ascii="Calibri" w:hAnsi="Calibri"/>
          <w:b w:val="0"/>
          <w:i w:val="0"/>
          <w:color w:val="0B2545"/>
          <w:sz w:val="20"/>
        </w:rPr>
        <w:t>Document Fetcher validates the source reference, fetches the bytes, records immutable object storage URIs, fingerprints the content, and emits DocumentFetched.</w:t>
      </w:r>
    </w:p>
    <w:p>
      <w:pPr>
        <w:pStyle w:val="ListNumber"/>
        <w:spacing w:after="80" w:line="276" w:lineRule="auto"/>
      </w:pPr>
      <w:r>
        <w:rPr>
          <w:rFonts w:ascii="Calibri" w:hAnsi="Calibri"/>
          <w:b w:val="0"/>
          <w:i w:val="0"/>
          <w:color w:val="0B2545"/>
          <w:sz w:val="20"/>
        </w:rPr>
        <w:t>Content Extractor detects the format and protection state, selects a parser route, produces a normalized document model and page/section inventory, and emits ContentExtracted.</w:t>
      </w:r>
    </w:p>
    <w:p>
      <w:pPr>
        <w:pStyle w:val="ListNumber"/>
        <w:spacing w:after="80" w:line="276" w:lineRule="auto"/>
      </w:pPr>
      <w:r>
        <w:rPr>
          <w:rFonts w:ascii="Calibri" w:hAnsi="Calibri"/>
          <w:b w:val="0"/>
          <w:i w:val="0"/>
          <w:color w:val="0B2545"/>
          <w:sz w:val="20"/>
        </w:rPr>
        <w:t>Layout and enrichment workers classify content units, recover tables and captions, perform OCR where needed, analyze figures/diagrams, and publish normalized-enrichment artifacts.</w:t>
      </w:r>
    </w:p>
    <w:p>
      <w:pPr>
        <w:pStyle w:val="ListNumber"/>
        <w:spacing w:after="80" w:line="276" w:lineRule="auto"/>
      </w:pPr>
      <w:r>
        <w:rPr>
          <w:rFonts w:ascii="Calibri" w:hAnsi="Calibri"/>
          <w:b w:val="0"/>
          <w:i w:val="0"/>
          <w:color w:val="0B2545"/>
          <w:sz w:val="20"/>
        </w:rPr>
        <w:t>Chunker assembles retrieval chunks from semantically complete units, attaches provenance, policy labels, and parent/child links, then emits ChunksCreated.</w:t>
      </w:r>
    </w:p>
    <w:p>
      <w:pPr>
        <w:pStyle w:val="ListNumber"/>
        <w:spacing w:after="80" w:line="276" w:lineRule="auto"/>
      </w:pPr>
      <w:r>
        <w:rPr>
          <w:rFonts w:ascii="Calibri" w:hAnsi="Calibri"/>
          <w:b w:val="0"/>
          <w:i w:val="0"/>
          <w:color w:val="0B2545"/>
          <w:sz w:val="20"/>
        </w:rPr>
        <w:t>Embedder generates BGE-M3 representations; Indexer writes tenant-filtered payloads and vectors to Qdrant, records lifecycle state, and emits DocumentIndexed.</w:t>
      </w:r>
    </w:p>
    <w:p>
      <w:pPr>
        <w:pStyle w:val="Heading2"/>
        <w:keepNext/>
      </w:pPr>
      <w:r>
        <w:rPr>
          <w:rFonts w:ascii="Calibri" w:hAnsi="Calibri"/>
          <w:b/>
          <w:i w:val="0"/>
          <w:color w:val="2E74B5"/>
          <w:sz w:val="26"/>
        </w:rPr>
        <w:t>1.2 Logical event flow</w:t>
      </w:r>
    </w:p>
    <w:tbl>
      <w:tblPr>
        <w:tblStyle w:val="TableGrid"/>
        <w:tblW w:type="dxa" w:w="9360"/>
        <w:jc w:val="left"/>
        <w:tblLayout w:type="fixed"/>
        <w:tblLook w:firstColumn="1" w:firstRow="1" w:lastColumn="0" w:lastRow="0" w:noHBand="0" w:noVBand="1" w:val="04A0"/>
        <w:tblInd w:w="120" w:type="dxa"/>
      </w:tblPr>
      <w:tblGrid>
        <w:gridCol w:w="1150"/>
        <w:gridCol w:w="2050"/>
        <w:gridCol w:w="3300"/>
        <w:gridCol w:w="2860"/>
      </w:tblGrid>
      <w:tr>
        <w:tc>
          <w:tcPr>
            <w:tcW w:type="dxa" w:w="11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Stage</w:t>
            </w:r>
          </w:p>
        </w:tc>
        <w:tc>
          <w:tcPr>
            <w:tcW w:type="dxa" w:w="20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Kafka topic</w:t>
            </w:r>
          </w:p>
        </w:tc>
        <w:tc>
          <w:tcPr>
            <w:tcW w:type="dxa" w:w="33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Primary artifact</w:t>
            </w:r>
          </w:p>
        </w:tc>
        <w:tc>
          <w:tcPr>
            <w:tcW w:type="dxa" w:w="28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Exit condition</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Submit</w:t>
            </w:r>
          </w:p>
        </w:tc>
        <w:tc>
          <w:tcPr>
            <w:tcW w:type="dxa" w:w="20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rag.ingestion.v1.document.submitted</w:t>
            </w:r>
          </w:p>
        </w:tc>
        <w:tc>
          <w:tcPr>
            <w:tcW w:type="dxa" w:w="3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Submission record</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Source accepted and deduplicated</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Fetch</w:t>
            </w:r>
          </w:p>
        </w:tc>
        <w:tc>
          <w:tcPr>
            <w:tcW w:type="dxa" w:w="20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...document.fetched</w:t>
            </w:r>
          </w:p>
        </w:tc>
        <w:tc>
          <w:tcPr>
            <w:tcW w:type="dxa" w:w="3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Immutable original + manifest</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Bytes, hash, MIME, size confirmed</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Extract</w:t>
            </w:r>
          </w:p>
        </w:tc>
        <w:tc>
          <w:tcPr>
            <w:tcW w:type="dxa" w:w="20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...content.extracted</w:t>
            </w:r>
          </w:p>
        </w:tc>
        <w:tc>
          <w:tcPr>
            <w:tcW w:type="dxa" w:w="3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Normalized document model</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All pages/sections have status and provenance</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Chunk</w:t>
            </w:r>
          </w:p>
        </w:tc>
        <w:tc>
          <w:tcPr>
            <w:tcW w:type="dxa" w:w="20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...chunks.created</w:t>
            </w:r>
          </w:p>
        </w:tc>
        <w:tc>
          <w:tcPr>
            <w:tcW w:type="dxa" w:w="3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Chunk manifest</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Each chunk has text and source anchors</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w:t>
            </w:r>
          </w:p>
        </w:tc>
        <w:tc>
          <w:tcPr>
            <w:tcW w:type="dxa" w:w="20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...embeddings.generated</w:t>
            </w:r>
          </w:p>
        </w:tc>
        <w:tc>
          <w:tcPr>
            <w:tcW w:type="dxa" w:w="3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Embedding manifest</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Model/version and vectors recorded</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Index</w:t>
            </w:r>
          </w:p>
        </w:tc>
        <w:tc>
          <w:tcPr>
            <w:tcW w:type="dxa" w:w="20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...document.indexed</w:t>
            </w:r>
          </w:p>
        </w:tc>
        <w:tc>
          <w:tcPr>
            <w:tcW w:type="dxa" w:w="3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Qdrant upsert receipt</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Tenant-filtered index commit complete</w:t>
            </w:r>
          </w:p>
        </w:tc>
      </w:tr>
    </w:tbl>
    <w:p>
      <w:pPr>
        <w:spacing w:after="40"/>
      </w:pPr>
    </w:p>
    <w:p>
      <w:pPr>
        <w:pStyle w:val="Heading1"/>
        <w:keepNext/>
      </w:pPr>
      <w:r>
        <w:rPr>
          <w:rFonts w:ascii="Calibri" w:hAnsi="Calibri"/>
          <w:b/>
          <w:i w:val="0"/>
          <w:color w:val="2E74B5"/>
          <w:sz w:val="32"/>
        </w:rPr>
        <w:t>2. Canonical document model</w:t>
      </w:r>
    </w:p>
    <w:p>
      <w:pPr>
        <w:spacing w:before="0" w:after="120" w:line="276" w:lineRule="auto"/>
      </w:pPr>
      <w:r>
        <w:rPr>
          <w:rFonts w:ascii="Calibri" w:hAnsi="Calibri"/>
          <w:b w:val="0"/>
          <w:i w:val="0"/>
          <w:color w:val="0B2545"/>
          <w:sz w:val="21"/>
        </w:rPr>
        <w:t>Every parser emits the same normalized structure. Format-specific fields remain in an extension object, but downstream workers use canonical fields only. This isolates RAG preparation from PDF/DOCX/HTML parser differences.</w:t>
      </w:r>
    </w:p>
    <w:tbl>
      <w:tblPr>
        <w:tblStyle w:val="TableGrid"/>
        <w:tblW w:type="dxa" w:w="9360"/>
        <w:jc w:val="left"/>
        <w:tblLayout w:type="fixed"/>
        <w:tblLook w:firstColumn="1" w:firstRow="1" w:lastColumn="0" w:lastRow="0" w:noHBand="0" w:noVBand="1" w:val="04A0"/>
        <w:tblInd w:w="120" w:type="dxa"/>
      </w:tblPr>
      <w:tblGrid>
        <w:gridCol w:w="1550"/>
        <w:gridCol w:w="4450"/>
        <w:gridCol w:w="3360"/>
      </w:tblGrid>
      <w:tr>
        <w:tc>
          <w:tcPr>
            <w:tcW w:type="dxa" w:w="15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Entity</w:t>
            </w:r>
          </w:p>
        </w:tc>
        <w:tc>
          <w:tcPr>
            <w:tcW w:type="dxa" w:w="44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Required fields</w:t>
            </w:r>
          </w:p>
        </w:tc>
        <w:tc>
          <w:tcPr>
            <w:tcW w:type="dxa" w:w="33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Why it matters</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w:t>
            </w:r>
          </w:p>
        </w:tc>
        <w:tc>
          <w:tcPr>
            <w:tcW w:type="dxa" w:w="4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tenant_id, document_id, source_uri, content_hash, detected_type, parser_profile, language, policy labels</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Idempotency, tenancy, audit, routing</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Page / section</w:t>
            </w:r>
          </w:p>
        </w:tc>
        <w:tc>
          <w:tcPr>
            <w:tcW w:type="dxa" w:w="4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ordinal, source_anchor, dimensions or DOM path, render_uri, classification, extraction status</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Evidence location and reprocessing boundary</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Content unit</w:t>
            </w:r>
          </w:p>
        </w:tc>
        <w:tc>
          <w:tcPr>
            <w:tcW w:type="dxa" w:w="4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unit_id, type, text/structured payload, bbox or DOM anchor, reading_order, confidence</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Atomic input to enrichment and chunking</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w:t>
            </w:r>
          </w:p>
        </w:tc>
        <w:tc>
          <w:tcPr>
            <w:tcW w:type="dxa" w:w="4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table_id, cells, headers, caption, page/section anchor, confidence</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Faithful table retrieval and citation</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Figure / diagram</w:t>
            </w:r>
          </w:p>
        </w:tc>
        <w:tc>
          <w:tcPr>
            <w:tcW w:type="dxa" w:w="4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asset_uri, caption, nearby text, OCR text, description, confidence</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Multimodal context and safe fallback</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Chunk</w:t>
            </w:r>
          </w:p>
        </w:tc>
        <w:tc>
          <w:tcPr>
            <w:tcW w:type="dxa" w:w="4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chunk_id, text, unit_ids, source spans, hierarchy, ACL/policy labels, checksum</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Retrieval, explainability, incremental updates</w:t>
            </w:r>
          </w:p>
        </w:tc>
      </w:tr>
    </w:tbl>
    <w:p>
      <w:pPr>
        <w:spacing w:after="40"/>
      </w:pPr>
    </w:p>
    <w:p>
      <w:pPr>
        <w:pStyle w:val="Heading2"/>
        <w:keepNext/>
      </w:pPr>
      <w:r>
        <w:rPr>
          <w:rFonts w:ascii="Calibri" w:hAnsi="Calibri"/>
          <w:b/>
          <w:i w:val="0"/>
          <w:color w:val="2E74B5"/>
          <w:sz w:val="26"/>
        </w:rPr>
        <w:t>2.1 Content unit taxonomy</w:t>
      </w:r>
    </w:p>
    <w:tbl>
      <w:tblPr>
        <w:tblStyle w:val="TableGrid"/>
        <w:tblW w:type="dxa" w:w="9360"/>
        <w:jc w:val="left"/>
        <w:tblLayout w:type="fixed"/>
        <w:tblLook w:firstColumn="1" w:firstRow="1" w:lastColumn="0" w:lastRow="0" w:noHBand="0" w:noVBand="1" w:val="04A0"/>
        <w:tblInd w:w="120" w:type="dxa"/>
      </w:tblPr>
      <w:tblGrid>
        <w:gridCol w:w="1550"/>
        <w:gridCol w:w="3450"/>
        <w:gridCol w:w="4360"/>
      </w:tblGrid>
      <w:tr>
        <w:tc>
          <w:tcPr>
            <w:tcW w:type="dxa" w:w="15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Unit type</w:t>
            </w:r>
          </w:p>
        </w:tc>
        <w:tc>
          <w:tcPr>
            <w:tcW w:type="dxa" w:w="34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Examples</w:t>
            </w:r>
          </w:p>
        </w:tc>
        <w:tc>
          <w:tcPr>
            <w:tcW w:type="dxa" w:w="43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Default treatment</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paragraph</w:t>
            </w:r>
          </w:p>
        </w:tc>
        <w:tc>
          <w:tcPr>
            <w:tcW w:type="dxa" w:w="3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body text, headings, list items, footnotes</w:t>
            </w:r>
          </w:p>
        </w:tc>
        <w:tc>
          <w:tcPr>
            <w:tcW w:type="dxa" w:w="4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Preserve hierarchy and reading order; deduplicate headers/footers</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w:t>
            </w:r>
          </w:p>
        </w:tc>
        <w:tc>
          <w:tcPr>
            <w:tcW w:type="dxa" w:w="3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financial grid, schedule, comparison matrix</w:t>
            </w:r>
          </w:p>
        </w:tc>
        <w:tc>
          <w:tcPr>
            <w:tcW w:type="dxa" w:w="4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Recover cell structure; create table-aware text and optional row chunks</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figure</w:t>
            </w:r>
          </w:p>
        </w:tc>
        <w:tc>
          <w:tcPr>
            <w:tcW w:type="dxa" w:w="3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photo, chart, screenshot</w:t>
            </w:r>
          </w:p>
        </w:tc>
        <w:tc>
          <w:tcPr>
            <w:tcW w:type="dxa" w:w="4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Capture caption and nearby context; OCR embedded labels</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diagram</w:t>
            </w:r>
          </w:p>
        </w:tc>
        <w:tc>
          <w:tcPr>
            <w:tcW w:type="dxa" w:w="3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flowchart, architecture diagram, BPMN, org chart</w:t>
            </w:r>
          </w:p>
        </w:tc>
        <w:tc>
          <w:tcPr>
            <w:tcW w:type="dxa" w:w="4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 labels + structured description; retain image URI</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formula</w:t>
            </w:r>
          </w:p>
        </w:tc>
        <w:tc>
          <w:tcPr>
            <w:tcW w:type="dxa" w:w="3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equation, scientific notation</w:t>
            </w:r>
          </w:p>
        </w:tc>
        <w:tc>
          <w:tcPr>
            <w:tcW w:type="dxa" w:w="4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Retain MathML/LaTeX when available; use text fallback</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code</w:t>
            </w:r>
          </w:p>
        </w:tc>
        <w:tc>
          <w:tcPr>
            <w:tcW w:type="dxa" w:w="3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source listing, configuration, log sample</w:t>
            </w:r>
          </w:p>
        </w:tc>
        <w:tc>
          <w:tcPr>
            <w:tcW w:type="dxa" w:w="4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Preserve whitespace/language; avoid prose normalization</w:t>
            </w:r>
          </w:p>
        </w:tc>
      </w:tr>
      <w:tr>
        <w:tc>
          <w:tcPr>
            <w:tcW w:type="dxa" w:w="15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embedded object</w:t>
            </w:r>
          </w:p>
        </w:tc>
        <w:tc>
          <w:tcPr>
            <w:tcW w:type="dxa" w:w="3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attachment, OLE object, archive member</w:t>
            </w:r>
          </w:p>
        </w:tc>
        <w:tc>
          <w:tcPr>
            <w:tcW w:type="dxa" w:w="4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Extract to child document or quarantine based on policy</w:t>
            </w:r>
          </w:p>
        </w:tc>
      </w:tr>
    </w:tbl>
    <w:p>
      <w:pPr>
        <w:spacing w:after="40"/>
      </w:pPr>
    </w:p>
    <w:p>
      <w:pPr>
        <w:pStyle w:val="Heading1"/>
        <w:keepNext/>
      </w:pPr>
      <w:r>
        <w:rPr>
          <w:rFonts w:ascii="Calibri" w:hAnsi="Calibri"/>
          <w:b/>
          <w:i w:val="0"/>
          <w:color w:val="2E74B5"/>
          <w:sz w:val="32"/>
        </w:rPr>
        <w:t>3. Intake, classification, and routing</w:t>
      </w:r>
    </w:p>
    <w:p>
      <w:pPr>
        <w:pStyle w:val="Heading2"/>
        <w:keepNext/>
      </w:pPr>
      <w:r>
        <w:rPr>
          <w:rFonts w:ascii="Calibri" w:hAnsi="Calibri"/>
          <w:b/>
          <w:i w:val="0"/>
          <w:color w:val="2E74B5"/>
          <w:sz w:val="26"/>
        </w:rPr>
        <w:t>3.1 File-type decision workflow</w:t>
      </w:r>
    </w:p>
    <w:tbl>
      <w:tblPr>
        <w:tblStyle w:val="TableGrid"/>
        <w:tblW w:type="dxa" w:w="9360"/>
        <w:jc w:val="left"/>
        <w:tblLayout w:type="fixed"/>
        <w:tblLook w:firstColumn="1" w:firstRow="1" w:lastColumn="0" w:lastRow="0" w:noHBand="0" w:noVBand="1" w:val="04A0"/>
        <w:tblInd w:w="120" w:type="dxa"/>
      </w:tblPr>
      <w:tblGrid>
        <w:gridCol w:w="1570"/>
        <w:gridCol w:w="2600"/>
        <w:gridCol w:w="2860"/>
        <w:gridCol w:w="2330"/>
      </w:tblGrid>
      <w:tr>
        <w:tc>
          <w:tcPr>
            <w:tcW w:type="dxa" w:w="157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Decision</w:t>
            </w:r>
          </w:p>
        </w:tc>
        <w:tc>
          <w:tcPr>
            <w:tcW w:type="dxa" w:w="26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Signal</w:t>
            </w:r>
          </w:p>
        </w:tc>
        <w:tc>
          <w:tcPr>
            <w:tcW w:type="dxa" w:w="28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Route</w:t>
            </w:r>
          </w:p>
        </w:tc>
        <w:tc>
          <w:tcPr>
            <w:tcW w:type="dxa" w:w="233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Failure / safeguard</w:t>
            </w:r>
          </w:p>
        </w:tc>
      </w:tr>
      <w:tr>
        <w:tc>
          <w:tcPr>
            <w:tcW w:type="dxa" w:w="157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Type detection</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Magic bytes + MIME + extension</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Select parser profile; do not trust extension alone</w:t>
            </w:r>
          </w:p>
        </w:tc>
        <w:tc>
          <w:tcPr>
            <w:tcW w:type="dxa" w:w="23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Mismatch -&gt; suspicious-file policy and manual-review queue</w:t>
            </w:r>
          </w:p>
        </w:tc>
      </w:tr>
      <w:tr>
        <w:tc>
          <w:tcPr>
            <w:tcW w:type="dxa" w:w="157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Encryption / password</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PDF/DOCX container inspection</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Request approved password or mark protected</w:t>
            </w:r>
          </w:p>
        </w:tc>
        <w:tc>
          <w:tcPr>
            <w:tcW w:type="dxa" w:w="23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Never brute-force; persist reason code</w:t>
            </w:r>
          </w:p>
        </w:tc>
      </w:tr>
      <w:tr>
        <w:tc>
          <w:tcPr>
            <w:tcW w:type="dxa" w:w="157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Malware / archive bomb</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Scanner result, expansion ratio, nested depth</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Quarantine or bounded archive extractor</w:t>
            </w:r>
          </w:p>
        </w:tc>
        <w:tc>
          <w:tcPr>
            <w:tcW w:type="dxa" w:w="23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No downstream extraction on failed scan</w:t>
            </w:r>
          </w:p>
        </w:tc>
      </w:tr>
      <w:tr>
        <w:tc>
          <w:tcPr>
            <w:tcW w:type="dxa" w:w="157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Image-only page</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No text layer or low text density</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 + layout segmentation</w:t>
            </w:r>
          </w:p>
        </w:tc>
        <w:tc>
          <w:tcPr>
            <w:tcW w:type="dxa" w:w="23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render DPI/version in provenance</w:t>
            </w:r>
          </w:p>
        </w:tc>
      </w:tr>
      <w:tr>
        <w:tc>
          <w:tcPr>
            <w:tcW w:type="dxa" w:w="157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Low confidence</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Parser/OCR/table confidence below threshold</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Fallback parser or review task</w:t>
            </w:r>
          </w:p>
        </w:tc>
        <w:tc>
          <w:tcPr>
            <w:tcW w:type="dxa" w:w="23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Retain both attempt results and reason</w:t>
            </w:r>
          </w:p>
        </w:tc>
      </w:tr>
      <w:tr>
        <w:tc>
          <w:tcPr>
            <w:tcW w:type="dxa" w:w="157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Unsupported content</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Unknown binary or unsupported feature</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Store original and route to manual/onboarding backlog</w:t>
            </w:r>
          </w:p>
        </w:tc>
        <w:tc>
          <w:tcPr>
            <w:tcW w:type="dxa" w:w="23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No silent text fabrication</w:t>
            </w:r>
          </w:p>
        </w:tc>
      </w:tr>
    </w:tbl>
    <w:p>
      <w:pPr>
        <w:spacing w:after="40"/>
      </w:pPr>
    </w:p>
    <w:p>
      <w:pPr>
        <w:pStyle w:val="Heading2"/>
        <w:keepNext/>
      </w:pPr>
      <w:r>
        <w:rPr>
          <w:rFonts w:ascii="Calibri" w:hAnsi="Calibri"/>
          <w:b/>
          <w:i w:val="0"/>
          <w:color w:val="2E74B5"/>
          <w:sz w:val="26"/>
        </w:rPr>
        <w:t>3.2 Routing matrix by source format</w:t>
      </w:r>
    </w:p>
    <w:tbl>
      <w:tblPr>
        <w:tblStyle w:val="TableGrid"/>
        <w:tblW w:type="dxa" w:w="9360"/>
        <w:jc w:val="left"/>
        <w:tblLayout w:type="fixed"/>
        <w:tblLook w:firstColumn="1" w:firstRow="1" w:lastColumn="0" w:lastRow="0" w:noHBand="0" w:noVBand="1" w:val="04A0"/>
        <w:tblInd w:w="120" w:type="dxa"/>
      </w:tblPr>
      <w:tblGrid>
        <w:gridCol w:w="1200"/>
        <w:gridCol w:w="2350"/>
        <w:gridCol w:w="2950"/>
        <w:gridCol w:w="2860"/>
      </w:tblGrid>
      <w:tr>
        <w:tc>
          <w:tcPr>
            <w:tcW w:type="dxa" w:w="12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Format</w:t>
            </w:r>
          </w:p>
        </w:tc>
        <w:tc>
          <w:tcPr>
            <w:tcW w:type="dxa" w:w="23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Primary parser route</w:t>
            </w:r>
          </w:p>
        </w:tc>
        <w:tc>
          <w:tcPr>
            <w:tcW w:type="dxa" w:w="29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Special handling</w:t>
            </w:r>
          </w:p>
        </w:tc>
        <w:tc>
          <w:tcPr>
            <w:tcW w:type="dxa" w:w="28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Normalized output</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PDF (born-digital)</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Docling PDF conversion</w:t>
            </w:r>
          </w:p>
        </w:tc>
        <w:tc>
          <w:tcPr>
            <w:tcW w:type="dxa" w:w="2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Reading order, multi-column layout, annotations, links, headers/footers</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Page model + text/table/figure units</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PDF (scanned)</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Render + OCR + Docling layout</w:t>
            </w:r>
          </w:p>
        </w:tc>
        <w:tc>
          <w:tcPr>
            <w:tcW w:type="dxa" w:w="2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Deskew, rotation, language detection, page confidence</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 text with page image anchors</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DOCX / DOCM</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Docling/OOXML parser</w:t>
            </w:r>
          </w:p>
        </w:tc>
        <w:tc>
          <w:tcPr>
            <w:tcW w:type="dxa" w:w="2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Styles, revisions, comments, headers, tracked changes, embedded media</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Section model + semantic styles + media</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HTML / HTM</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Sanitized DOM extractor</w:t>
            </w:r>
          </w:p>
        </w:tc>
        <w:tc>
          <w:tcPr>
            <w:tcW w:type="dxa" w:w="2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Remove scripts/navigation; resolve main content; retain tables and links</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DOM section model + canonical text</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XLSX / CSV</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Workbook parser</w:t>
            </w:r>
          </w:p>
        </w:tc>
        <w:tc>
          <w:tcPr>
            <w:tcW w:type="dxa" w:w="2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Sheet boundaries, hidden sheets, merged cells, formulas vs displayed values</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Sheet/table units + metadata</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PPTX</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Slide parser</w:t>
            </w:r>
          </w:p>
        </w:tc>
        <w:tc>
          <w:tcPr>
            <w:tcW w:type="dxa" w:w="2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Title/body order, speaker notes, slide images, charts</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Slide units + notes + assets</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Images (PNG/JPG/TIFF)</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Image OCR/layout worker</w:t>
            </w:r>
          </w:p>
        </w:tc>
        <w:tc>
          <w:tcPr>
            <w:tcW w:type="dxa" w:w="2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Orientation, multi-page TIFF, OCR language, image quality</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Single-page visual/text units</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Email / EML / MSG</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Message parser</w:t>
            </w:r>
          </w:p>
        </w:tc>
        <w:tc>
          <w:tcPr>
            <w:tcW w:type="dxa" w:w="2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Headers, body variants, attachments, quoted-thread separation</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Message + child-document graph</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ZIP / archive</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Bounded recursive extractor</w:t>
            </w:r>
          </w:p>
        </w:tc>
        <w:tc>
          <w:tcPr>
            <w:tcW w:type="dxa" w:w="2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Allowlist members, depth/size cap, provenance to parent</w:t>
            </w:r>
          </w:p>
        </w:tc>
        <w:tc>
          <w:tcPr>
            <w:tcW w:type="dxa" w:w="28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One child document per allowed member</w:t>
            </w:r>
          </w:p>
        </w:tc>
      </w:tr>
    </w:tbl>
    <w:p>
      <w:pPr>
        <w:spacing w:after="40"/>
      </w:pPr>
    </w:p>
    <w:p>
      <w:pPr>
        <w:pStyle w:val="Heading1"/>
        <w:keepNext/>
      </w:pPr>
      <w:r>
        <w:rPr>
          <w:rFonts w:ascii="Calibri" w:hAnsi="Calibri"/>
          <w:b/>
          <w:i w:val="0"/>
          <w:color w:val="2E74B5"/>
          <w:sz w:val="32"/>
        </w:rPr>
        <w:t>4. Page and content-type workflow</w:t>
      </w:r>
    </w:p>
    <w:p>
      <w:pPr>
        <w:spacing w:before="0" w:after="120" w:line="276" w:lineRule="auto"/>
      </w:pPr>
      <w:r>
        <w:rPr>
          <w:rFonts w:ascii="Calibri" w:hAnsi="Calibri"/>
          <w:b w:val="0"/>
          <w:i w:val="0"/>
          <w:color w:val="0B2545"/>
          <w:sz w:val="21"/>
        </w:rPr>
        <w:t>The layout-enrichment step operates on each page for paginated formats and on each logical section for reflowable formats. A page may contain several unit types; the worker records an ordered set rather than assigning one exclusive page type.</w:t>
      </w:r>
    </w:p>
    <w:tbl>
      <w:tblPr>
        <w:tblStyle w:val="TableGrid"/>
        <w:tblW w:type="dxa" w:w="9360"/>
        <w:jc w:val="left"/>
        <w:tblLayout w:type="fixed"/>
        <w:tblLook w:firstColumn="1" w:firstRow="1" w:lastColumn="0" w:lastRow="0" w:noHBand="0" w:noVBand="1" w:val="04A0"/>
        <w:tblInd w:w="120" w:type="dxa"/>
      </w:tblPr>
      <w:tblGrid>
        <w:gridCol w:w="1430"/>
        <w:gridCol w:w="2100"/>
        <w:gridCol w:w="3480"/>
        <w:gridCol w:w="2350"/>
      </w:tblGrid>
      <w:tr>
        <w:tc>
          <w:tcPr>
            <w:tcW w:type="dxa" w:w="143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Content on page</w:t>
            </w:r>
          </w:p>
        </w:tc>
        <w:tc>
          <w:tcPr>
            <w:tcW w:type="dxa" w:w="21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Detection signals</w:t>
            </w:r>
          </w:p>
        </w:tc>
        <w:tc>
          <w:tcPr>
            <w:tcW w:type="dxa" w:w="348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Worker actions</w:t>
            </w:r>
          </w:p>
        </w:tc>
        <w:tc>
          <w:tcPr>
            <w:tcW w:type="dxa" w:w="23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Chunking result</w:t>
            </w:r>
          </w:p>
        </w:tc>
      </w:tr>
      <w:tr>
        <w:tc>
          <w:tcPr>
            <w:tcW w:type="dxa" w:w="14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Text-heavy page</w:t>
            </w:r>
          </w:p>
        </w:tc>
        <w:tc>
          <w:tcPr>
            <w:tcW w:type="dxa" w:w="2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High text density; paragraph blocks; headings</w:t>
            </w:r>
          </w:p>
        </w:tc>
        <w:tc>
          <w:tcPr>
            <w:tcW w:type="dxa" w:w="348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Resolve reading order, heading hierarchy, lists, footnotes; remove repeated furniture</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Section-aware prose chunks</w:t>
            </w:r>
          </w:p>
        </w:tc>
      </w:tr>
      <w:tr>
        <w:tc>
          <w:tcPr>
            <w:tcW w:type="dxa" w:w="14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Table-heavy page</w:t>
            </w:r>
          </w:p>
        </w:tc>
        <w:tc>
          <w:tcPr>
            <w:tcW w:type="dxa" w:w="2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Ruled/unruled grids; aligned columns; table detector</w:t>
            </w:r>
          </w:p>
        </w:tc>
        <w:tc>
          <w:tcPr>
            <w:tcW w:type="dxa" w:w="348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Recover rows/cells/headers; validate spanning cells; link caption and notes</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 summary + row/group chunks</w:t>
            </w:r>
          </w:p>
        </w:tc>
      </w:tr>
      <w:tr>
        <w:tc>
          <w:tcPr>
            <w:tcW w:type="dxa" w:w="14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Picture / photograph</w:t>
            </w:r>
          </w:p>
        </w:tc>
        <w:tc>
          <w:tcPr>
            <w:tcW w:type="dxa" w:w="2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Raster region with low text density</w:t>
            </w:r>
          </w:p>
        </w:tc>
        <w:tc>
          <w:tcPr>
            <w:tcW w:type="dxa" w:w="348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Store asset, OCR labels, capture caption/alt text; optionally generate factual description</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Caption/context chunk; asset URI in metadata</w:t>
            </w:r>
          </w:p>
        </w:tc>
      </w:tr>
      <w:tr>
        <w:tc>
          <w:tcPr>
            <w:tcW w:type="dxa" w:w="14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Diagram / flowchart</w:t>
            </w:r>
          </w:p>
        </w:tc>
        <w:tc>
          <w:tcPr>
            <w:tcW w:type="dxa" w:w="2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Connectors, nodes, arrows, labeled shapes</w:t>
            </w:r>
          </w:p>
        </w:tc>
        <w:tc>
          <w:tcPr>
            <w:tcW w:type="dxa" w:w="348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 node labels, derive relation triples, preserve diagram image</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Narrative diagram chunk + relation payload</w:t>
            </w:r>
          </w:p>
        </w:tc>
      </w:tr>
      <w:tr>
        <w:tc>
          <w:tcPr>
            <w:tcW w:type="dxa" w:w="14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Chart / graph</w:t>
            </w:r>
          </w:p>
        </w:tc>
        <w:tc>
          <w:tcPr>
            <w:tcW w:type="dxa" w:w="2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Axes, legends, bars/lines/pie elements</w:t>
            </w:r>
          </w:p>
        </w:tc>
        <w:tc>
          <w:tcPr>
            <w:tcW w:type="dxa" w:w="348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 title/legend/axis values; extract data when reliable; retain source image</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Chart interpretation chunk + data points</w:t>
            </w:r>
          </w:p>
        </w:tc>
      </w:tr>
      <w:tr>
        <w:tc>
          <w:tcPr>
            <w:tcW w:type="dxa" w:w="14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Mixed layout</w:t>
            </w:r>
          </w:p>
        </w:tc>
        <w:tc>
          <w:tcPr>
            <w:tcW w:type="dxa" w:w="2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Multiple columns, sidebars, callouts, figures</w:t>
            </w:r>
          </w:p>
        </w:tc>
        <w:tc>
          <w:tcPr>
            <w:tcW w:type="dxa" w:w="348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Segment regions, assign reading order, bind captions to nearest asset</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Ordered multi-unit section chunk</w:t>
            </w:r>
          </w:p>
        </w:tc>
      </w:tr>
      <w:tr>
        <w:tc>
          <w:tcPr>
            <w:tcW w:type="dxa" w:w="143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Form / checklist</w:t>
            </w:r>
          </w:p>
        </w:tc>
        <w:tc>
          <w:tcPr>
            <w:tcW w:type="dxa" w:w="2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Labels, fields, checkboxes, tables</w:t>
            </w:r>
          </w:p>
        </w:tc>
        <w:tc>
          <w:tcPr>
            <w:tcW w:type="dxa" w:w="348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Separate field labels from user-entered values; apply sensitive-data policy</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Field/value units; masked text where required</w:t>
            </w:r>
          </w:p>
        </w:tc>
      </w:tr>
    </w:tbl>
    <w:p>
      <w:pPr>
        <w:spacing w:after="40"/>
      </w:pPr>
    </w:p>
    <w:p>
      <w:pPr>
        <w:pStyle w:val="Heading2"/>
        <w:keepNext/>
      </w:pPr>
      <w:r>
        <w:rPr>
          <w:rFonts w:ascii="Calibri" w:hAnsi="Calibri"/>
          <w:b/>
          <w:i w:val="0"/>
          <w:color w:val="2E74B5"/>
          <w:sz w:val="26"/>
        </w:rPr>
        <w:t>4.1 Reading order rules</w:t>
      </w:r>
    </w:p>
    <w:p>
      <w:pPr>
        <w:pStyle w:val="ListBullet"/>
        <w:spacing w:after="60" w:line="276" w:lineRule="auto"/>
      </w:pPr>
      <w:r>
        <w:rPr>
          <w:rFonts w:ascii="Calibri" w:hAnsi="Calibri"/>
          <w:b w:val="0"/>
          <w:i w:val="0"/>
          <w:color w:val="0B2545"/>
          <w:sz w:val="20"/>
        </w:rPr>
        <w:t>Use parser-provided reading order when its confidence is high; otherwise infer from geometry, columns, headings, and semantic continuity.</w:t>
      </w:r>
    </w:p>
    <w:p>
      <w:pPr>
        <w:pStyle w:val="ListBullet"/>
        <w:spacing w:after="60" w:line="276" w:lineRule="auto"/>
      </w:pPr>
      <w:r>
        <w:rPr>
          <w:rFonts w:ascii="Calibri" w:hAnsi="Calibri"/>
          <w:b w:val="0"/>
          <w:i w:val="0"/>
          <w:color w:val="0B2545"/>
          <w:sz w:val="20"/>
        </w:rPr>
        <w:t>Do not concatenate text across columns before ordering. Preserve region identifiers so a correction can be applied without reparsing the full document.</w:t>
      </w:r>
    </w:p>
    <w:p>
      <w:pPr>
        <w:pStyle w:val="ListBullet"/>
        <w:spacing w:after="60" w:line="276" w:lineRule="auto"/>
      </w:pPr>
      <w:r>
        <w:rPr>
          <w:rFonts w:ascii="Calibri" w:hAnsi="Calibri"/>
          <w:b w:val="0"/>
          <w:i w:val="0"/>
          <w:color w:val="0B2545"/>
          <w:sz w:val="20"/>
        </w:rPr>
        <w:t>Treat running headers, footers, page numbers, watermarks, and repeated legal notices as document furniture. Keep once as metadata if meaningful; exclude duplicates from chunks.</w:t>
      </w:r>
    </w:p>
    <w:p>
      <w:pPr>
        <w:pStyle w:val="ListBullet"/>
        <w:spacing w:after="60" w:line="276" w:lineRule="auto"/>
      </w:pPr>
      <w:r>
        <w:rPr>
          <w:rFonts w:ascii="Calibri" w:hAnsi="Calibri"/>
          <w:b w:val="0"/>
          <w:i w:val="0"/>
          <w:color w:val="0B2545"/>
          <w:sz w:val="20"/>
        </w:rPr>
        <w:t>Bind captions, footnotes, table notes, and figure references to their referenced unit using proximity plus cross-reference text where available.</w:t>
      </w:r>
    </w:p>
    <w:p>
      <w:pPr>
        <w:pStyle w:val="Heading2"/>
        <w:keepNext/>
      </w:pPr>
      <w:r>
        <w:rPr>
          <w:rFonts w:ascii="Calibri" w:hAnsi="Calibri"/>
          <w:b/>
          <w:i w:val="0"/>
          <w:color w:val="2E74B5"/>
          <w:sz w:val="26"/>
        </w:rPr>
        <w:t>4.2 Table reconstruction workflow</w:t>
      </w:r>
    </w:p>
    <w:p>
      <w:pPr>
        <w:pStyle w:val="ListNumber"/>
        <w:spacing w:after="80" w:line="276" w:lineRule="auto"/>
      </w:pPr>
      <w:r>
        <w:rPr>
          <w:rFonts w:ascii="Calibri" w:hAnsi="Calibri"/>
          <w:b w:val="0"/>
          <w:i w:val="0"/>
          <w:color w:val="0B2545"/>
          <w:sz w:val="20"/>
        </w:rPr>
        <w:t>Detect table region and obtain cell boundaries from native structure (DOCX/XLSX/HTML) or visual analysis (PDF/image).</w:t>
      </w:r>
    </w:p>
    <w:p>
      <w:pPr>
        <w:pStyle w:val="ListNumber"/>
        <w:spacing w:after="80" w:line="276" w:lineRule="auto"/>
      </w:pPr>
      <w:r>
        <w:rPr>
          <w:rFonts w:ascii="Calibri" w:hAnsi="Calibri"/>
          <w:b w:val="0"/>
          <w:i w:val="0"/>
          <w:color w:val="0B2545"/>
          <w:sz w:val="20"/>
        </w:rPr>
        <w:t>Normalize merged cells, header rows, row/column spans, displayed values, formulas, and units; retain source coordinates.</w:t>
      </w:r>
    </w:p>
    <w:p>
      <w:pPr>
        <w:pStyle w:val="ListNumber"/>
        <w:spacing w:after="80" w:line="276" w:lineRule="auto"/>
      </w:pPr>
      <w:r>
        <w:rPr>
          <w:rFonts w:ascii="Calibri" w:hAnsi="Calibri"/>
          <w:b w:val="0"/>
          <w:i w:val="0"/>
          <w:color w:val="0B2545"/>
          <w:sz w:val="20"/>
        </w:rPr>
        <w:t>Validate shape: no orphan cells, expected header coverage, stable column count, and confidence above threshold.</w:t>
      </w:r>
    </w:p>
    <w:p>
      <w:pPr>
        <w:pStyle w:val="ListNumber"/>
        <w:spacing w:after="80" w:line="276" w:lineRule="auto"/>
      </w:pPr>
      <w:r>
        <w:rPr>
          <w:rFonts w:ascii="Calibri" w:hAnsi="Calibri"/>
          <w:b w:val="0"/>
          <w:i w:val="0"/>
          <w:color w:val="0B2545"/>
          <w:sz w:val="20"/>
        </w:rPr>
        <w:t>Emit both JSON table structure and retrieval text: caption, headers, row statements, notes, and a compact markdown rendering.</w:t>
      </w:r>
    </w:p>
    <w:p>
      <w:pPr>
        <w:pStyle w:val="ListNumber"/>
        <w:spacing w:after="80" w:line="276" w:lineRule="auto"/>
      </w:pPr>
      <w:r>
        <w:rPr>
          <w:rFonts w:ascii="Calibri" w:hAnsi="Calibri"/>
          <w:b w:val="0"/>
          <w:i w:val="0"/>
          <w:color w:val="0B2545"/>
          <w:sz w:val="20"/>
        </w:rPr>
        <w:t>If confidence is low, emit the raw OCR/table attempt with a quality flag and route the page for fallback/manual review; never invent a clean table.</w:t>
      </w:r>
    </w:p>
    <w:p>
      <w:pPr>
        <w:pStyle w:val="Heading2"/>
        <w:keepNext/>
      </w:pPr>
      <w:r>
        <w:rPr>
          <w:rFonts w:ascii="Calibri" w:hAnsi="Calibri"/>
          <w:b/>
          <w:i w:val="0"/>
          <w:color w:val="2E74B5"/>
          <w:sz w:val="26"/>
        </w:rPr>
        <w:t>4.3 Visual and diagram workflow</w:t>
      </w:r>
    </w:p>
    <w:tbl>
      <w:tblPr>
        <w:tblStyle w:val="TableGrid"/>
        <w:tblW w:type="dxa" w:w="9360"/>
        <w:jc w:val="left"/>
        <w:tblLayout w:type="fixed"/>
        <w:tblLook w:firstColumn="1" w:firstRow="1" w:lastColumn="0" w:lastRow="0" w:noHBand="0" w:noVBand="1" w:val="04A0"/>
        <w:tblInd w:w="120" w:type="dxa"/>
      </w:tblPr>
      <w:tblGrid>
        <w:gridCol w:w="1100"/>
        <w:gridCol w:w="2500"/>
        <w:gridCol w:w="3100"/>
        <w:gridCol w:w="2660"/>
      </w:tblGrid>
      <w:tr>
        <w:tc>
          <w:tcPr>
            <w:tcW w:type="dxa" w:w="11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Step</w:t>
            </w:r>
          </w:p>
        </w:tc>
        <w:tc>
          <w:tcPr>
            <w:tcW w:type="dxa" w:w="25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Picture / photo</w:t>
            </w:r>
          </w:p>
        </w:tc>
        <w:tc>
          <w:tcPr>
            <w:tcW w:type="dxa" w:w="31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Diagram / chart</w:t>
            </w:r>
          </w:p>
        </w:tc>
        <w:tc>
          <w:tcPr>
            <w:tcW w:type="dxa" w:w="26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Output</w:t>
            </w:r>
          </w:p>
        </w:tc>
      </w:tr>
      <w:tr>
        <w:tc>
          <w:tcPr>
            <w:tcW w:type="dxa" w:w="1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Acquire</w:t>
            </w:r>
          </w:p>
        </w:tc>
        <w:tc>
          <w:tcPr>
            <w:tcW w:type="dxa" w:w="2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Store original crop or extracted media in MinIO</w:t>
            </w:r>
          </w:p>
        </w:tc>
        <w:tc>
          <w:tcPr>
            <w:tcW w:type="dxa" w:w="3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Store original crop plus high-resolution render</w:t>
            </w:r>
          </w:p>
        </w:tc>
        <w:tc>
          <w:tcPr>
            <w:tcW w:type="dxa" w:w="2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Immutable asset URI + checksum</w:t>
            </w:r>
          </w:p>
        </w:tc>
      </w:tr>
      <w:tr>
        <w:tc>
          <w:tcPr>
            <w:tcW w:type="dxa" w:w="1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Recognize</w:t>
            </w:r>
          </w:p>
        </w:tc>
        <w:tc>
          <w:tcPr>
            <w:tcW w:type="dxa" w:w="2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 visible labels; capture adjacent caption</w:t>
            </w:r>
          </w:p>
        </w:tc>
        <w:tc>
          <w:tcPr>
            <w:tcW w:type="dxa" w:w="3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 labels, title, legend, axes, nodes, connectors</w:t>
            </w:r>
          </w:p>
        </w:tc>
        <w:tc>
          <w:tcPr>
            <w:tcW w:type="dxa" w:w="2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Text tokens with coordinates/confidence</w:t>
            </w:r>
          </w:p>
        </w:tc>
      </w:tr>
      <w:tr>
        <w:tc>
          <w:tcPr>
            <w:tcW w:type="dxa" w:w="1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Interpret</w:t>
            </w:r>
          </w:p>
        </w:tc>
        <w:tc>
          <w:tcPr>
            <w:tcW w:type="dxa" w:w="2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Optional factual description limited to visible evidence</w:t>
            </w:r>
          </w:p>
        </w:tc>
        <w:tc>
          <w:tcPr>
            <w:tcW w:type="dxa" w:w="3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Create structured node/edge or series/value representation when confident</w:t>
            </w:r>
          </w:p>
        </w:tc>
        <w:tc>
          <w:tcPr>
            <w:tcW w:type="dxa" w:w="2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Description / relation JSON with model version</w:t>
            </w:r>
          </w:p>
        </w:tc>
      </w:tr>
      <w:tr>
        <w:tc>
          <w:tcPr>
            <w:tcW w:type="dxa" w:w="1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Bind</w:t>
            </w:r>
          </w:p>
        </w:tc>
        <w:tc>
          <w:tcPr>
            <w:tcW w:type="dxa" w:w="2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Associate to nearest caption and mentioning paragraph</w:t>
            </w:r>
          </w:p>
        </w:tc>
        <w:tc>
          <w:tcPr>
            <w:tcW w:type="dxa" w:w="3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Associate to caption, references, and page section</w:t>
            </w:r>
          </w:p>
        </w:tc>
        <w:tc>
          <w:tcPr>
            <w:tcW w:type="dxa" w:w="2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Parent unit links</w:t>
            </w:r>
          </w:p>
        </w:tc>
      </w:tr>
      <w:tr>
        <w:tc>
          <w:tcPr>
            <w:tcW w:type="dxa" w:w="1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Retrieve</w:t>
            </w:r>
          </w:p>
        </w:tc>
        <w:tc>
          <w:tcPr>
            <w:tcW w:type="dxa" w:w="2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caption/context by default; image URI enriches answer</w:t>
            </w:r>
          </w:p>
        </w:tc>
        <w:tc>
          <w:tcPr>
            <w:tcW w:type="dxa" w:w="3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textual diagram summary plus image URI and relations</w:t>
            </w:r>
          </w:p>
        </w:tc>
        <w:tc>
          <w:tcPr>
            <w:tcW w:type="dxa" w:w="2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Citable multimodal chunk</w:t>
            </w:r>
          </w:p>
        </w:tc>
      </w:tr>
    </w:tbl>
    <w:p>
      <w:pPr>
        <w:spacing w:after="40"/>
      </w:pPr>
    </w:p>
    <w:p>
      <w:pPr>
        <w:pStyle w:val="Heading1"/>
        <w:keepNext/>
      </w:pPr>
      <w:r>
        <w:rPr>
          <w:rFonts w:ascii="Calibri" w:hAnsi="Calibri"/>
          <w:b/>
          <w:i w:val="0"/>
          <w:color w:val="2E74B5"/>
          <w:sz w:val="32"/>
        </w:rPr>
        <w:t>5. Detailed worker workflows</w:t>
      </w:r>
    </w:p>
    <w:p>
      <w:pPr>
        <w:pStyle w:val="Heading2"/>
        <w:keepNext/>
      </w:pPr>
      <w:r>
        <w:rPr>
          <w:rFonts w:ascii="Calibri" w:hAnsi="Calibri"/>
          <w:b/>
          <w:i w:val="0"/>
          <w:color w:val="2E74B5"/>
          <w:sz w:val="26"/>
        </w:rPr>
        <w:t>5.1 Submission and source-connector worker</w:t>
      </w:r>
    </w:p>
    <w:p>
      <w:pPr>
        <w:spacing w:before="0" w:after="120" w:line="276" w:lineRule="auto"/>
      </w:pPr>
      <w:r>
        <w:rPr>
          <w:rFonts w:ascii="Calibri" w:hAnsi="Calibri"/>
          <w:b w:val="0"/>
          <w:i w:val="0"/>
          <w:color w:val="0B2545"/>
          <w:sz w:val="21"/>
        </w:rPr>
        <w:t>This inbound worker is responsible for accepting a source reference and immutable source metadata. It does not parse content. It authenticates the caller, validates tenant ownership, creates document_id/correlation_id, and writes the submission state plus outbox event in one PostgreSQL transaction.</w:t>
      </w:r>
    </w:p>
    <w:tbl>
      <w:tblPr>
        <w:tblStyle w:val="TableGrid"/>
        <w:tblW w:type="dxa" w:w="9360"/>
        <w:jc w:val="left"/>
        <w:tblLayout w:type="fixed"/>
        <w:tblLook w:firstColumn="1" w:firstRow="1" w:lastColumn="0" w:lastRow="0" w:noHBand="0" w:noVBand="1" w:val="04A0"/>
        <w:tblInd w:w="120" w:type="dxa"/>
      </w:tblPr>
      <w:tblGrid>
        <w:gridCol w:w="1600"/>
        <w:gridCol w:w="3500"/>
        <w:gridCol w:w="2350"/>
        <w:gridCol w:w="1910"/>
      </w:tblGrid>
      <w:tr>
        <w:tc>
          <w:tcPr>
            <w:tcW w:type="dxa" w:w="16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Input</w:t>
            </w:r>
          </w:p>
        </w:tc>
        <w:tc>
          <w:tcPr>
            <w:tcW w:type="dxa" w:w="35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Processing</w:t>
            </w:r>
          </w:p>
        </w:tc>
        <w:tc>
          <w:tcPr>
            <w:tcW w:type="dxa" w:w="23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Output</w:t>
            </w:r>
          </w:p>
        </w:tc>
        <w:tc>
          <w:tcPr>
            <w:tcW w:type="dxa" w:w="191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Controls</w:t>
            </w:r>
          </w:p>
        </w:tc>
      </w:tr>
      <w:tr>
        <w:tc>
          <w:tcPr>
            <w:tcW w:type="dxa" w:w="1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API request, connector delta, upload completion</w:t>
            </w:r>
          </w:p>
        </w:tc>
        <w:tc>
          <w:tcPr>
            <w:tcW w:type="dxa" w:w="3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Validate tenant/source metadata; assign idempotency key; record lifecycle state</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DocumentSubmitted with payload_uri to source reference</w:t>
            </w:r>
          </w:p>
        </w:tc>
        <w:tc>
          <w:tcPr>
            <w:tcW w:type="dxa" w:w="19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ACL validation, source allowlist, rate/size limits, audit trail</w:t>
            </w:r>
          </w:p>
        </w:tc>
      </w:tr>
    </w:tbl>
    <w:p>
      <w:pPr>
        <w:spacing w:after="40"/>
      </w:pPr>
    </w:p>
    <w:p>
      <w:pPr>
        <w:pStyle w:val="Heading2"/>
        <w:keepNext/>
      </w:pPr>
      <w:r>
        <w:rPr>
          <w:rFonts w:ascii="Calibri" w:hAnsi="Calibri"/>
          <w:b/>
          <w:i w:val="0"/>
          <w:color w:val="2E74B5"/>
          <w:sz w:val="26"/>
        </w:rPr>
        <w:t>5.2 Document Fetcher worker</w:t>
      </w:r>
    </w:p>
    <w:tbl>
      <w:tblPr>
        <w:tblStyle w:val="TableGrid"/>
        <w:tblW w:type="dxa" w:w="9360"/>
        <w:jc w:val="left"/>
        <w:tblLayout w:type="fixed"/>
        <w:tblLook w:firstColumn="1" w:firstRow="1" w:lastColumn="0" w:lastRow="0" w:noHBand="0" w:noVBand="1" w:val="04A0"/>
        <w:tblInd w:w="120" w:type="dxa"/>
      </w:tblPr>
      <w:tblGrid>
        <w:gridCol w:w="1250"/>
        <w:gridCol w:w="5650"/>
        <w:gridCol w:w="2460"/>
      </w:tblGrid>
      <w:tr>
        <w:tc>
          <w:tcPr>
            <w:tcW w:type="dxa" w:w="12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Phase</w:t>
            </w:r>
          </w:p>
        </w:tc>
        <w:tc>
          <w:tcPr>
            <w:tcW w:type="dxa" w:w="56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Actions</w:t>
            </w:r>
          </w:p>
        </w:tc>
        <w:tc>
          <w:tcPr>
            <w:tcW w:type="dxa" w:w="24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Persisted artifact / event</w:t>
            </w:r>
          </w:p>
        </w:tc>
      </w:tr>
      <w:tr>
        <w:tc>
          <w:tcPr>
            <w:tcW w:type="dxa" w:w="12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Consume</w:t>
            </w:r>
          </w:p>
        </w:tc>
        <w:tc>
          <w:tcPr>
            <w:tcW w:type="dxa" w:w="56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Read DocumentSubmitted; first check event_id and document/source idempotency state</w:t>
            </w:r>
          </w:p>
        </w:tc>
        <w:tc>
          <w:tcPr>
            <w:tcW w:type="dxa" w:w="2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Consumer receipt + trace span</w:t>
            </w:r>
          </w:p>
        </w:tc>
      </w:tr>
      <w:tr>
        <w:tc>
          <w:tcPr>
            <w:tcW w:type="dxa" w:w="12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Fetch</w:t>
            </w:r>
          </w:p>
        </w:tc>
        <w:tc>
          <w:tcPr>
            <w:tcW w:type="dxa" w:w="56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connector credentials or signed URI; stream with hard byte limit; calculate SHA-256</w:t>
            </w:r>
          </w:p>
        </w:tc>
        <w:tc>
          <w:tcPr>
            <w:tcW w:type="dxa" w:w="2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Original object in tenant-prefixed MinIO bucket</w:t>
            </w:r>
          </w:p>
        </w:tc>
      </w:tr>
      <w:tr>
        <w:tc>
          <w:tcPr>
            <w:tcW w:type="dxa" w:w="12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Inspect</w:t>
            </w:r>
          </w:p>
        </w:tc>
        <w:tc>
          <w:tcPr>
            <w:tcW w:type="dxa" w:w="56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Magic-byte/MIME detection; filename normalization; antivirus/DLP preflight; encryption probe</w:t>
            </w:r>
          </w:p>
        </w:tc>
        <w:tc>
          <w:tcPr>
            <w:tcW w:type="dxa" w:w="2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Fetch manifest: hash, MIME, size, detection outcome</w:t>
            </w:r>
          </w:p>
        </w:tc>
      </w:tr>
      <w:tr>
        <w:tc>
          <w:tcPr>
            <w:tcW w:type="dxa" w:w="12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Commit</w:t>
            </w:r>
          </w:p>
        </w:tc>
        <w:tc>
          <w:tcPr>
            <w:tcW w:type="dxa" w:w="56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Write document state and outbox in one DB transaction</w:t>
            </w:r>
          </w:p>
        </w:tc>
        <w:tc>
          <w:tcPr>
            <w:tcW w:type="dxa" w:w="2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DocumentFetched payload_uri -&gt; fetch manifest</w:t>
            </w:r>
          </w:p>
        </w:tc>
      </w:tr>
    </w:tbl>
    <w:p>
      <w:pPr>
        <w:spacing w:after="40"/>
      </w:pPr>
    </w:p>
    <w:p>
      <w:pPr>
        <w:pStyle w:val="Heading2"/>
        <w:keepNext/>
      </w:pPr>
      <w:r>
        <w:rPr>
          <w:rFonts w:ascii="Calibri" w:hAnsi="Calibri"/>
          <w:b/>
          <w:i w:val="0"/>
          <w:color w:val="2E74B5"/>
          <w:sz w:val="26"/>
        </w:rPr>
        <w:t>5.3 Content Extractor worker</w:t>
      </w:r>
    </w:p>
    <w:tbl>
      <w:tblPr>
        <w:tblStyle w:val="TableGrid"/>
        <w:tblW w:type="dxa" w:w="9360"/>
        <w:jc w:val="left"/>
        <w:tblLayout w:type="fixed"/>
        <w:tblLook w:firstColumn="1" w:firstRow="1" w:lastColumn="0" w:lastRow="0" w:noHBand="0" w:noVBand="1" w:val="04A0"/>
        <w:tblInd w:w="120" w:type="dxa"/>
      </w:tblPr>
      <w:tblGrid>
        <w:gridCol w:w="1150"/>
        <w:gridCol w:w="4300"/>
        <w:gridCol w:w="3910"/>
      </w:tblGrid>
      <w:tr>
        <w:tc>
          <w:tcPr>
            <w:tcW w:type="dxa" w:w="11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Phase</w:t>
            </w:r>
          </w:p>
        </w:tc>
        <w:tc>
          <w:tcPr>
            <w:tcW w:type="dxa" w:w="43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Actions</w:t>
            </w:r>
          </w:p>
        </w:tc>
        <w:tc>
          <w:tcPr>
            <w:tcW w:type="dxa" w:w="391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Artifacts</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Route</w:t>
            </w:r>
          </w:p>
        </w:tc>
        <w:tc>
          <w:tcPr>
            <w:tcW w:type="dxa" w:w="4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Choose profile from detected type, scan state, protection state, language hints, and source policy</w:t>
            </w:r>
          </w:p>
        </w:tc>
        <w:tc>
          <w:tcPr>
            <w:tcW w:type="dxa" w:w="39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Parser selection record</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Extract</w:t>
            </w:r>
          </w:p>
        </w:tc>
        <w:tc>
          <w:tcPr>
            <w:tcW w:type="dxa" w:w="4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Invoke Docling for PDF/DOCX and configured adapters for HTML/XLSX/PPTX/image/email; use bounded resources</w:t>
            </w:r>
          </w:p>
        </w:tc>
        <w:tc>
          <w:tcPr>
            <w:tcW w:type="dxa" w:w="39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Raw parser output + diagnostic logs</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Normalize</w:t>
            </w:r>
          </w:p>
        </w:tc>
        <w:tc>
          <w:tcPr>
            <w:tcW w:type="dxa" w:w="4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Map parser output to canonical pages/sections, units, anchors, media references, and confidence scores</w:t>
            </w:r>
          </w:p>
        </w:tc>
        <w:tc>
          <w:tcPr>
            <w:tcW w:type="dxa" w:w="39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Normalized document model JSON</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Quality gate</w:t>
            </w:r>
          </w:p>
        </w:tc>
        <w:tc>
          <w:tcPr>
            <w:tcW w:type="dxa" w:w="4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Check page counts, empty-page rate, text density, unsupported features, and schema validity</w:t>
            </w:r>
          </w:p>
        </w:tc>
        <w:tc>
          <w:tcPr>
            <w:tcW w:type="dxa" w:w="39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Extraction quality report</w:t>
            </w:r>
          </w:p>
        </w:tc>
      </w:tr>
      <w:tr>
        <w:tc>
          <w:tcPr>
            <w:tcW w:type="dxa" w:w="11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Commit</w:t>
            </w:r>
          </w:p>
        </w:tc>
        <w:tc>
          <w:tcPr>
            <w:tcW w:type="dxa" w:w="4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Persist artifacts and emit ContentExtracted only after object writes succeed</w:t>
            </w:r>
          </w:p>
        </w:tc>
        <w:tc>
          <w:tcPr>
            <w:tcW w:type="dxa" w:w="39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ContentExtracted payload_uri -&gt; normalized model</w:t>
            </w:r>
          </w:p>
        </w:tc>
      </w:tr>
    </w:tbl>
    <w:p>
      <w:pPr>
        <w:spacing w:after="40"/>
      </w:pPr>
    </w:p>
    <w:p>
      <w:pPr>
        <w:pStyle w:val="Heading2"/>
        <w:keepNext/>
      </w:pPr>
      <w:r>
        <w:rPr>
          <w:rFonts w:ascii="Calibri" w:hAnsi="Calibri"/>
          <w:b/>
          <w:i w:val="0"/>
          <w:color w:val="2E74B5"/>
          <w:sz w:val="26"/>
        </w:rPr>
        <w:t>5.4 Layout, OCR, and enrichment worker</w:t>
      </w:r>
    </w:p>
    <w:p>
      <w:pPr>
        <w:spacing w:before="0" w:after="120" w:line="276" w:lineRule="auto"/>
      </w:pPr>
      <w:r>
        <w:rPr>
          <w:rFonts w:ascii="Calibri" w:hAnsi="Calibri"/>
          <w:b w:val="0"/>
          <w:i w:val="0"/>
          <w:color w:val="0B2545"/>
          <w:sz w:val="21"/>
        </w:rPr>
        <w:t>This worker can be deployed as one consumer group initially and split by content type later. It enriches the normalized model without changing the original extraction. Each enrichment record is versioned by model, configuration, and input artifact checksum.</w:t>
      </w:r>
    </w:p>
    <w:tbl>
      <w:tblPr>
        <w:tblStyle w:val="TableGrid"/>
        <w:tblW w:type="dxa" w:w="9360"/>
        <w:jc w:val="left"/>
        <w:tblLayout w:type="fixed"/>
        <w:tblLook w:firstColumn="1" w:firstRow="1" w:lastColumn="0" w:lastRow="0" w:noHBand="0" w:noVBand="1" w:val="04A0"/>
        <w:tblInd w:w="120" w:type="dxa"/>
      </w:tblPr>
      <w:tblGrid>
        <w:gridCol w:w="1350"/>
        <w:gridCol w:w="1950"/>
        <w:gridCol w:w="3500"/>
        <w:gridCol w:w="2560"/>
      </w:tblGrid>
      <w:tr>
        <w:tc>
          <w:tcPr>
            <w:tcW w:type="dxa" w:w="13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Specialist</w:t>
            </w:r>
          </w:p>
        </w:tc>
        <w:tc>
          <w:tcPr>
            <w:tcW w:type="dxa" w:w="19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Consumes / selects</w:t>
            </w:r>
          </w:p>
        </w:tc>
        <w:tc>
          <w:tcPr>
            <w:tcW w:type="dxa" w:w="35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Core actions</w:t>
            </w:r>
          </w:p>
        </w:tc>
        <w:tc>
          <w:tcPr>
            <w:tcW w:type="dxa" w:w="25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Produces</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 specialist</w:t>
            </w:r>
          </w:p>
        </w:tc>
        <w:tc>
          <w:tcPr>
            <w:tcW w:type="dxa" w:w="1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Image-only or low-text PDF pages; images; scans</w:t>
            </w:r>
          </w:p>
        </w:tc>
        <w:tc>
          <w:tcPr>
            <w:tcW w:type="dxa" w:w="3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Render, deskew, OCR, language ID, coordinate mapping</w:t>
            </w:r>
          </w:p>
        </w:tc>
        <w:tc>
          <w:tcPr>
            <w:tcW w:type="dxa" w:w="25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 overlay + page confidence</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 specialist</w:t>
            </w:r>
          </w:p>
        </w:tc>
        <w:tc>
          <w:tcPr>
            <w:tcW w:type="dxa" w:w="1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 units or candidate regions</w:t>
            </w:r>
          </w:p>
        </w:tc>
        <w:tc>
          <w:tcPr>
            <w:tcW w:type="dxa" w:w="3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Native parsing / visual reconstruction, headers, spans, validation</w:t>
            </w:r>
          </w:p>
        </w:tc>
        <w:tc>
          <w:tcPr>
            <w:tcW w:type="dxa" w:w="25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 JSON + retrieval text</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Figure specialist</w:t>
            </w:r>
          </w:p>
        </w:tc>
        <w:tc>
          <w:tcPr>
            <w:tcW w:type="dxa" w:w="1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Pictures, screenshots, diagrams, charts</w:t>
            </w:r>
          </w:p>
        </w:tc>
        <w:tc>
          <w:tcPr>
            <w:tcW w:type="dxa" w:w="3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Asset extraction, caption binding, OCR labels, structured summary</w:t>
            </w:r>
          </w:p>
        </w:tc>
        <w:tc>
          <w:tcPr>
            <w:tcW w:type="dxa" w:w="25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Figure/diagram descriptors</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Structure specialist</w:t>
            </w:r>
          </w:p>
        </w:tc>
        <w:tc>
          <w:tcPr>
            <w:tcW w:type="dxa" w:w="1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All pages/sections</w:t>
            </w:r>
          </w:p>
        </w:tc>
        <w:tc>
          <w:tcPr>
            <w:tcW w:type="dxa" w:w="3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Reading order, hierarchy, furniture removal, cross-reference binding</w:t>
            </w:r>
          </w:p>
        </w:tc>
        <w:tc>
          <w:tcPr>
            <w:tcW w:type="dxa" w:w="25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Enriched ordered unit graph</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Policy specialist</w:t>
            </w:r>
          </w:p>
        </w:tc>
        <w:tc>
          <w:tcPr>
            <w:tcW w:type="dxa" w:w="19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All extracted text/media metadata</w:t>
            </w:r>
          </w:p>
        </w:tc>
        <w:tc>
          <w:tcPr>
            <w:tcW w:type="dxa" w:w="35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PII/secret/policy classification and redaction instructions</w:t>
            </w:r>
          </w:p>
        </w:tc>
        <w:tc>
          <w:tcPr>
            <w:tcW w:type="dxa" w:w="25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Policy labels + safe display text</w:t>
            </w:r>
          </w:p>
        </w:tc>
      </w:tr>
    </w:tbl>
    <w:p>
      <w:pPr>
        <w:spacing w:after="40"/>
      </w:pPr>
    </w:p>
    <w:p>
      <w:pPr>
        <w:pStyle w:val="Heading2"/>
        <w:keepNext/>
      </w:pPr>
      <w:r>
        <w:rPr>
          <w:rFonts w:ascii="Calibri" w:hAnsi="Calibri"/>
          <w:b/>
          <w:i w:val="0"/>
          <w:color w:val="2E74B5"/>
          <w:sz w:val="26"/>
        </w:rPr>
        <w:t>5.5 Chunker worker</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Rule</w:t>
            </w:r>
          </w:p>
        </w:tc>
        <w:tc>
          <w:tcPr>
            <w:tcW w:type="dxa" w:w="74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Implementation</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Chunk boundary</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Prefer heading/section boundaries; never split a table row group, code block, caption+figure pair, or list without an explicit continuation marker.</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Target size</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configurable token target and overlap. Overlap is semantic: carry heading path, caption, and essential preceding context rather than blind character overlap.</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Provenance</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Every chunk carries document_id, tenant_id, page/section anchors, unit_ids, ordinal range, source URI, extraction/enrichment versions, and content checksum.</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Sensitive content</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Apply policy labels before embedding/indexing. Redacted display text and restricted original text must have separate access paths.</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 chunks</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Create a table summary chunk plus row/group chunks with repeated header context. Keep JSON table URI in metadata.</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Visual chunks</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caption + nearby explanation + verified OCR/diagram summary. Never create unsupported claims from visual interpretation.</w:t>
            </w:r>
          </w:p>
        </w:tc>
      </w:tr>
    </w:tbl>
    <w:p>
      <w:pPr>
        <w:spacing w:after="40"/>
      </w:pPr>
    </w:p>
    <w:p>
      <w:pPr>
        <w:pStyle w:val="Heading2"/>
        <w:keepNext/>
      </w:pPr>
      <w:r>
        <w:rPr>
          <w:rFonts w:ascii="Calibri" w:hAnsi="Calibri"/>
          <w:b/>
          <w:i w:val="0"/>
          <w:color w:val="2E74B5"/>
          <w:sz w:val="26"/>
        </w:rPr>
        <w:t>5.6 Embedder and Indexer workers</w:t>
      </w:r>
    </w:p>
    <w:tbl>
      <w:tblPr>
        <w:tblStyle w:val="TableGrid"/>
        <w:tblW w:type="dxa" w:w="9360"/>
        <w:jc w:val="left"/>
        <w:tblLayout w:type="fixed"/>
        <w:tblLook w:firstColumn="1" w:firstRow="1" w:lastColumn="0" w:lastRow="0" w:noHBand="0" w:noVBand="1" w:val="04A0"/>
        <w:tblInd w:w="120" w:type="dxa"/>
      </w:tblPr>
      <w:tblGrid>
        <w:gridCol w:w="1600"/>
        <w:gridCol w:w="5000"/>
        <w:gridCol w:w="2760"/>
      </w:tblGrid>
      <w:tr>
        <w:tc>
          <w:tcPr>
            <w:tcW w:type="dxa" w:w="16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Worker</w:t>
            </w:r>
          </w:p>
        </w:tc>
        <w:tc>
          <w:tcPr>
            <w:tcW w:type="dxa" w:w="50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Workflow</w:t>
            </w:r>
          </w:p>
        </w:tc>
        <w:tc>
          <w:tcPr>
            <w:tcW w:type="dxa" w:w="27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Key safeguards</w:t>
            </w:r>
          </w:p>
        </w:tc>
      </w:tr>
      <w:tr>
        <w:tc>
          <w:tcPr>
            <w:tcW w:type="dxa" w:w="1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Embedder</w:t>
            </w:r>
          </w:p>
        </w:tc>
        <w:tc>
          <w:tcPr>
            <w:tcW w:type="dxa" w:w="50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Consumes ChunksCreated; hashes canonical chunk text; reuses existing embedding only when model/version/policy/content hash all match; generates BGE-M3 dense representation and records manifest; emits EmbeddingsGenerated.</w:t>
            </w:r>
          </w:p>
        </w:tc>
        <w:tc>
          <w:tcPr>
            <w:tcW w:type="dxa" w:w="27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Model and tokenizer version pinned; batch size bounded; restricted content never sent to an unauthorized model endpoint.</w:t>
            </w:r>
          </w:p>
        </w:tc>
      </w:tr>
      <w:tr>
        <w:tc>
          <w:tcPr>
            <w:tcW w:type="dxa" w:w="1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Indexer</w:t>
            </w:r>
          </w:p>
        </w:tc>
        <w:tc>
          <w:tcPr>
            <w:tcW w:type="dxa" w:w="50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Consumes EmbeddingsGenerated; validates tenant_id and chunk policy; upserts vectors and payloads to tenant-filtered Qdrant collection; updates PostgreSQL lifecycle state and writes DocumentIndexed through outbox.</w:t>
            </w:r>
          </w:p>
        </w:tc>
        <w:tc>
          <w:tcPr>
            <w:tcW w:type="dxa" w:w="27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Idempotent point IDs; tenant filter mandatory on write/query; index receipt and vector count reconciled against chunk manifest.</w:t>
            </w:r>
          </w:p>
        </w:tc>
      </w:tr>
    </w:tbl>
    <w:p>
      <w:pPr>
        <w:spacing w:after="40"/>
      </w:pPr>
    </w:p>
    <w:p>
      <w:pPr>
        <w:pStyle w:val="Heading1"/>
        <w:keepNext/>
      </w:pPr>
      <w:r>
        <w:rPr>
          <w:rFonts w:ascii="Calibri" w:hAnsi="Calibri"/>
          <w:b/>
          <w:i w:val="0"/>
          <w:color w:val="2E74B5"/>
          <w:sz w:val="32"/>
        </w:rPr>
        <w:t>6. Format-specific extraction details</w:t>
      </w:r>
    </w:p>
    <w:p>
      <w:pPr>
        <w:pStyle w:val="Heading2"/>
        <w:keepNext/>
      </w:pPr>
      <w:r>
        <w:rPr>
          <w:rFonts w:ascii="Calibri" w:hAnsi="Calibri"/>
          <w:b/>
          <w:i w:val="0"/>
          <w:color w:val="2E74B5"/>
          <w:sz w:val="26"/>
        </w:rPr>
        <w:t>6.1 PDF</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PDF condition</w:t>
            </w:r>
          </w:p>
        </w:tc>
        <w:tc>
          <w:tcPr>
            <w:tcW w:type="dxa" w:w="43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Workflow</w:t>
            </w:r>
          </w:p>
        </w:tc>
        <w:tc>
          <w:tcPr>
            <w:tcW w:type="dxa" w:w="33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Quality checks</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Born-digital text PDF</w:t>
            </w:r>
          </w:p>
        </w:tc>
        <w:tc>
          <w:tcPr>
            <w:tcW w:type="dxa" w:w="4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Extract native text/layout with Docling; preserve page geometry, annotations, links, and embedded images.</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Page count parity; character density; reading order confidence; duplicate furniture rate.</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Scanned PDF</w:t>
            </w:r>
          </w:p>
        </w:tc>
        <w:tc>
          <w:tcPr>
            <w:tcW w:type="dxa" w:w="4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Render each page at configured DPI; orientation/deskew; OCR; map word boxes back to page coordinates.</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 confidence by page; low-text anomaly; language match; blank-page detection.</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Hybrid PDF</w:t>
            </w:r>
          </w:p>
        </w:tc>
        <w:tc>
          <w:tcPr>
            <w:tcW w:type="dxa" w:w="4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text layer where present, OCR image regions or pages that have insufficient text.</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Avoid duplicate text from text layer + OCR; retain source method per unit.</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Complex layout</w:t>
            </w:r>
          </w:p>
        </w:tc>
        <w:tc>
          <w:tcPr>
            <w:tcW w:type="dxa" w:w="4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Run layout segmentation for columns, sidebars, tables, footnotes, figures.</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No interleaving of columns; captions attached; table/figure bounds valid.</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Protected / malformed</w:t>
            </w:r>
          </w:p>
        </w:tc>
        <w:tc>
          <w:tcPr>
            <w:tcW w:type="dxa" w:w="43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 not extract until authorized; retain diagnostic error and original object.</w:t>
            </w:r>
          </w:p>
        </w:tc>
        <w:tc>
          <w:tcPr>
            <w:tcW w:type="dxa" w:w="3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Password/protection reason, parser failure code, retry classification.</w:t>
            </w:r>
          </w:p>
        </w:tc>
      </w:tr>
    </w:tbl>
    <w:p>
      <w:pPr>
        <w:spacing w:after="40"/>
      </w:pPr>
    </w:p>
    <w:p>
      <w:pPr>
        <w:pStyle w:val="Heading2"/>
        <w:keepNext/>
      </w:pPr>
      <w:r>
        <w:rPr>
          <w:rFonts w:ascii="Calibri" w:hAnsi="Calibri"/>
          <w:b/>
          <w:i w:val="0"/>
          <w:color w:val="2E74B5"/>
          <w:sz w:val="26"/>
        </w:rPr>
        <w:t>6.2 DOCX</w:t>
      </w:r>
    </w:p>
    <w:tbl>
      <w:tblPr>
        <w:tblStyle w:val="TableGrid"/>
        <w:tblW w:type="dxa" w:w="9360"/>
        <w:jc w:val="left"/>
        <w:tblLayout w:type="fixed"/>
        <w:tblLook w:firstColumn="1" w:firstRow="1" w:lastColumn="0" w:lastRow="0" w:noHBand="0" w:noVBand="1" w:val="04A0"/>
        <w:tblInd w:w="120" w:type="dxa"/>
      </w:tblPr>
      <w:tblGrid>
        <w:gridCol w:w="1750"/>
        <w:gridCol w:w="4100"/>
        <w:gridCol w:w="3510"/>
      </w:tblGrid>
      <w:tr>
        <w:tc>
          <w:tcPr>
            <w:tcW w:type="dxa" w:w="17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Feature</w:t>
            </w:r>
          </w:p>
        </w:tc>
        <w:tc>
          <w:tcPr>
            <w:tcW w:type="dxa" w:w="41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Workflow</w:t>
            </w:r>
          </w:p>
        </w:tc>
        <w:tc>
          <w:tcPr>
            <w:tcW w:type="dxa" w:w="351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RAG handling</w:t>
            </w:r>
          </w:p>
        </w:tc>
      </w:tr>
      <w:tr>
        <w:tc>
          <w:tcPr>
            <w:tcW w:type="dxa" w:w="17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Headings, lists, styles</w:t>
            </w:r>
          </w:p>
        </w:tc>
        <w:tc>
          <w:tcPr>
            <w:tcW w:type="dxa" w:w="4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Read OOXML structure and styles; preserve hierarchy and list semantics.</w:t>
            </w:r>
          </w:p>
        </w:tc>
        <w:tc>
          <w:tcPr>
            <w:tcW w:type="dxa" w:w="35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Heading path travels with all chunks.</w:t>
            </w:r>
          </w:p>
        </w:tc>
      </w:tr>
      <w:tr>
        <w:tc>
          <w:tcPr>
            <w:tcW w:type="dxa" w:w="17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Tables</w:t>
            </w:r>
          </w:p>
        </w:tc>
        <w:tc>
          <w:tcPr>
            <w:tcW w:type="dxa" w:w="4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native cell/merge structure; preserve header rows and captions.</w:t>
            </w:r>
          </w:p>
        </w:tc>
        <w:tc>
          <w:tcPr>
            <w:tcW w:type="dxa" w:w="35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Table-aware chunks with header repetition.</w:t>
            </w:r>
          </w:p>
        </w:tc>
      </w:tr>
      <w:tr>
        <w:tc>
          <w:tcPr>
            <w:tcW w:type="dxa" w:w="17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Images and diagrams</w:t>
            </w:r>
          </w:p>
        </w:tc>
        <w:tc>
          <w:tcPr>
            <w:tcW w:type="dxa" w:w="4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Extract media relationship targets; bind images to captions and surrounding paragraphs.</w:t>
            </w:r>
          </w:p>
        </w:tc>
        <w:tc>
          <w:tcPr>
            <w:tcW w:type="dxa" w:w="35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Visual summary plus media URI.</w:t>
            </w:r>
          </w:p>
        </w:tc>
      </w:tr>
      <w:tr>
        <w:tc>
          <w:tcPr>
            <w:tcW w:type="dxa" w:w="17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Tracked changes/comments</w:t>
            </w:r>
          </w:p>
        </w:tc>
        <w:tc>
          <w:tcPr>
            <w:tcW w:type="dxa" w:w="4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Configure policy: accepted view, original view, or both; never silently mix.</w:t>
            </w:r>
          </w:p>
        </w:tc>
        <w:tc>
          <w:tcPr>
            <w:tcW w:type="dxa" w:w="35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Store selected revision policy in extraction metadata.</w:t>
            </w:r>
          </w:p>
        </w:tc>
      </w:tr>
      <w:tr>
        <w:tc>
          <w:tcPr>
            <w:tcW w:type="dxa" w:w="17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Headers/footers</w:t>
            </w:r>
          </w:p>
        </w:tc>
        <w:tc>
          <w:tcPr>
            <w:tcW w:type="dxa" w:w="4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Detect repeated content and classify as furniture unless policy marks it substantive.</w:t>
            </w:r>
          </w:p>
        </w:tc>
        <w:tc>
          <w:tcPr>
            <w:tcW w:type="dxa" w:w="35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Avoid duplicate chunks; retain one reference if needed.</w:t>
            </w:r>
          </w:p>
        </w:tc>
      </w:tr>
      <w:tr>
        <w:tc>
          <w:tcPr>
            <w:tcW w:type="dxa" w:w="17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Embedded objects</w:t>
            </w:r>
          </w:p>
        </w:tc>
        <w:tc>
          <w:tcPr>
            <w:tcW w:type="dxa" w:w="41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Extract only allowlisted objects into child documents; preserve parent relationship.</w:t>
            </w:r>
          </w:p>
        </w:tc>
        <w:tc>
          <w:tcPr>
            <w:tcW w:type="dxa" w:w="35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Child document graph; quarantine unsupported OLE payloads.</w:t>
            </w:r>
          </w:p>
        </w:tc>
      </w:tr>
    </w:tbl>
    <w:p>
      <w:pPr>
        <w:spacing w:after="40"/>
      </w:pPr>
    </w:p>
    <w:p>
      <w:pPr>
        <w:pStyle w:val="Heading2"/>
        <w:keepNext/>
      </w:pPr>
      <w:r>
        <w:rPr>
          <w:rFonts w:ascii="Calibri" w:hAnsi="Calibri"/>
          <w:b/>
          <w:i w:val="0"/>
          <w:color w:val="2E74B5"/>
          <w:sz w:val="26"/>
        </w:rPr>
        <w:t>6.3 HTML</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Step</w:t>
            </w:r>
          </w:p>
        </w:tc>
        <w:tc>
          <w:tcPr>
            <w:tcW w:type="dxa" w:w="74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Worker behavior</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Acquire</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Fetch rendered or source HTML through approved connector; store raw response plus final URL and retrieval timestamp.</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Sanitize</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Remove scripts, active content, navigation, cookie banners, repetitive chrome, and hidden DOM content according to policy.</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Main content</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semantic tags, article/main landmarks, density heuristics, and source-specific rules to isolate article/body content.</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Structure</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Map h1-h6, paragraphs, lists, tables, figures, captions, links, and code blocks to canonical units; retain DOM/CSS selector anchors.</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Assets</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Resolve allowed images/documents using same-origin/allowlist policy; do not execute JavaScript to discover untrusted assets.</w:t>
            </w:r>
          </w:p>
        </w:tc>
      </w:tr>
      <w:tr>
        <w:tc>
          <w:tcPr>
            <w:tcW w:type="dxa" w:w="1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Delta updates</w:t>
            </w:r>
          </w:p>
        </w:tc>
        <w:tc>
          <w:tcPr>
            <w:tcW w:type="dxa" w:w="74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canonical content hash and source revision/ETag when available; reprocess only changed sections where reliable.</w:t>
            </w:r>
          </w:p>
        </w:tc>
      </w:tr>
    </w:tbl>
    <w:p>
      <w:pPr>
        <w:spacing w:after="40"/>
      </w:pPr>
    </w:p>
    <w:p>
      <w:pPr>
        <w:pStyle w:val="Heading2"/>
        <w:keepNext/>
      </w:pPr>
      <w:r>
        <w:rPr>
          <w:rFonts w:ascii="Calibri" w:hAnsi="Calibri"/>
          <w:b/>
          <w:i w:val="0"/>
          <w:color w:val="2E74B5"/>
          <w:sz w:val="26"/>
        </w:rPr>
        <w:t>6.4 Spreadsheets, slides, images, email, and archives</w:t>
      </w:r>
    </w:p>
    <w:tbl>
      <w:tblPr>
        <w:tblStyle w:val="TableGrid"/>
        <w:tblW w:type="dxa" w:w="9360"/>
        <w:jc w:val="left"/>
        <w:tblLayout w:type="fixed"/>
        <w:tblLook w:firstColumn="1" w:firstRow="1" w:lastColumn="0" w:lastRow="0" w:noHBand="0" w:noVBand="1" w:val="04A0"/>
        <w:tblInd w:w="120" w:type="dxa"/>
      </w:tblPr>
      <w:tblGrid>
        <w:gridCol w:w="1200"/>
        <w:gridCol w:w="4900"/>
        <w:gridCol w:w="3260"/>
      </w:tblGrid>
      <w:tr>
        <w:tc>
          <w:tcPr>
            <w:tcW w:type="dxa" w:w="12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Format</w:t>
            </w:r>
          </w:p>
        </w:tc>
        <w:tc>
          <w:tcPr>
            <w:tcW w:type="dxa" w:w="49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Extraction strategy</w:t>
            </w:r>
          </w:p>
        </w:tc>
        <w:tc>
          <w:tcPr>
            <w:tcW w:type="dxa" w:w="32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Important policy</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XLSX/CSV</w:t>
            </w:r>
          </w:p>
        </w:tc>
        <w:tc>
          <w:tcPr>
            <w:tcW w:type="dxa" w:w="4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One sheet/table region becomes a logical unit; capture headers, values, formulas/display values, comments, hidden sheets, and named ranges.</w:t>
            </w:r>
          </w:p>
        </w:tc>
        <w:tc>
          <w:tcPr>
            <w:tcW w:type="dxa" w:w="32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Avoid embedding entire workbooks as flat text; retain sheet/cell anchors and restrict sensitive columns.</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PPTX</w:t>
            </w:r>
          </w:p>
        </w:tc>
        <w:tc>
          <w:tcPr>
            <w:tcW w:type="dxa" w:w="4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Extract slide title, body text, notes, tables, chart data where available, and media; preserve slide number/order.</w:t>
            </w:r>
          </w:p>
        </w:tc>
        <w:tc>
          <w:tcPr>
            <w:tcW w:type="dxa" w:w="32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Speaker notes are a separate source class and may need different ACL/policy labels.</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Images/TIFF</w:t>
            </w:r>
          </w:p>
        </w:tc>
        <w:tc>
          <w:tcPr>
            <w:tcW w:type="dxa" w:w="4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Treat each image/frame as a page; OCR and layout segmentation; retain original dimensions and render/preprocess metadata.</w:t>
            </w:r>
          </w:p>
        </w:tc>
        <w:tc>
          <w:tcPr>
            <w:tcW w:type="dxa" w:w="32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Low-confidence OCR is marked, not normalized into asserted facts.</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Email</w:t>
            </w:r>
          </w:p>
        </w:tc>
        <w:tc>
          <w:tcPr>
            <w:tcW w:type="dxa" w:w="4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Separate headers, body, quoted thread, attachments, and inline images; attachments create child document workflows.</w:t>
            </w:r>
          </w:p>
        </w:tc>
        <w:tc>
          <w:tcPr>
            <w:tcW w:type="dxa" w:w="32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Apply mailbox/recipient ACLs and redact sensitive addresses as required.</w:t>
            </w:r>
          </w:p>
        </w:tc>
      </w:tr>
      <w:tr>
        <w:tc>
          <w:tcPr>
            <w:tcW w:type="dxa" w:w="1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Archives</w:t>
            </w:r>
          </w:p>
        </w:tc>
        <w:tc>
          <w:tcPr>
            <w:tcW w:type="dxa" w:w="4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Enumerate bounded members; create a child document per allowlisted member and preserve parent/member path.</w:t>
            </w:r>
          </w:p>
        </w:tc>
        <w:tc>
          <w:tcPr>
            <w:tcW w:type="dxa" w:w="32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Reject bombs, symlinks, excessive depth, and unsupported executables.</w:t>
            </w:r>
          </w:p>
        </w:tc>
      </w:tr>
    </w:tbl>
    <w:p>
      <w:pPr>
        <w:spacing w:after="40"/>
      </w:pPr>
    </w:p>
    <w:p>
      <w:pPr>
        <w:pStyle w:val="Heading1"/>
        <w:keepNext/>
      </w:pPr>
      <w:r>
        <w:rPr>
          <w:rFonts w:ascii="Calibri" w:hAnsi="Calibri"/>
          <w:b/>
          <w:i w:val="0"/>
          <w:color w:val="2E74B5"/>
          <w:sz w:val="32"/>
        </w:rPr>
        <w:t>7. Error handling, retries, and human review</w:t>
      </w:r>
    </w:p>
    <w:p>
      <w:pPr>
        <w:spacing w:before="0" w:after="120" w:line="276" w:lineRule="auto"/>
      </w:pPr>
      <w:r>
        <w:rPr>
          <w:rFonts w:ascii="Calibri" w:hAnsi="Calibri"/>
          <w:b w:val="0"/>
          <w:i w:val="0"/>
          <w:color w:val="0B2545"/>
          <w:sz w:val="21"/>
        </w:rPr>
        <w:t>Retries are stage-local. A transient service error is retried through the stage retry topic. Permanent failures are terminal for that artifact version and are sent to the stage DLQ with the original event headers, artifact URIs, error classification, parser/model versions, and trace identifiers.</w:t>
      </w:r>
    </w:p>
    <w:tbl>
      <w:tblPr>
        <w:tblStyle w:val="TableGrid"/>
        <w:tblW w:type="dxa" w:w="9360"/>
        <w:jc w:val="left"/>
        <w:tblLayout w:type="fixed"/>
        <w:tblLook w:firstColumn="1" w:firstRow="1" w:lastColumn="0" w:lastRow="0" w:noHBand="0" w:noVBand="1" w:val="04A0"/>
        <w:tblInd w:w="120" w:type="dxa"/>
      </w:tblPr>
      <w:tblGrid>
        <w:gridCol w:w="1400"/>
        <w:gridCol w:w="2600"/>
        <w:gridCol w:w="3000"/>
        <w:gridCol w:w="2360"/>
      </w:tblGrid>
      <w:tr>
        <w:tc>
          <w:tcPr>
            <w:tcW w:type="dxa" w:w="14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Failure class</w:t>
            </w:r>
          </w:p>
        </w:tc>
        <w:tc>
          <w:tcPr>
            <w:tcW w:type="dxa" w:w="26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Examples</w:t>
            </w:r>
          </w:p>
        </w:tc>
        <w:tc>
          <w:tcPr>
            <w:tcW w:type="dxa" w:w="30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Action</w:t>
            </w:r>
          </w:p>
        </w:tc>
        <w:tc>
          <w:tcPr>
            <w:tcW w:type="dxa" w:w="23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Operator resolution</w:t>
            </w:r>
          </w:p>
        </w:tc>
      </w:tr>
      <w:tr>
        <w:tc>
          <w:tcPr>
            <w:tcW w:type="dxa" w:w="14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Transient</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Network timeout, connector rate limit, temporary GPU saturation</w:t>
            </w:r>
          </w:p>
        </w:tc>
        <w:tc>
          <w:tcPr>
            <w:tcW w:type="dxa" w:w="30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Exponential retry with jitter; bounded attempts</w:t>
            </w:r>
          </w:p>
        </w:tc>
        <w:tc>
          <w:tcPr>
            <w:tcW w:type="dxa" w:w="2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Monitor retry age; replay when dependency recovers</w:t>
            </w:r>
          </w:p>
        </w:tc>
      </w:tr>
      <w:tr>
        <w:tc>
          <w:tcPr>
            <w:tcW w:type="dxa" w:w="14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Permanent input</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Corrupt file, unsupported encrypted file, invalid archive</w:t>
            </w:r>
          </w:p>
        </w:tc>
        <w:tc>
          <w:tcPr>
            <w:tcW w:type="dxa" w:w="30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Mark failed with reason; DLQ; retain original</w:t>
            </w:r>
          </w:p>
        </w:tc>
        <w:tc>
          <w:tcPr>
            <w:tcW w:type="dxa" w:w="2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Obtain replacement/password or onboard format</w:t>
            </w:r>
          </w:p>
        </w:tc>
      </w:tr>
      <w:tr>
        <w:tc>
          <w:tcPr>
            <w:tcW w:type="dxa" w:w="14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Quality failure</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Low OCR/table confidence, page-count mismatch, invalid reading order</w:t>
            </w:r>
          </w:p>
        </w:tc>
        <w:tc>
          <w:tcPr>
            <w:tcW w:type="dxa" w:w="30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Fallback route or manual-review task; do not index automatically</w:t>
            </w:r>
          </w:p>
        </w:tc>
        <w:tc>
          <w:tcPr>
            <w:tcW w:type="dxa" w:w="2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Approve corrected artifact or tune profile</w:t>
            </w:r>
          </w:p>
        </w:tc>
      </w:tr>
      <w:tr>
        <w:tc>
          <w:tcPr>
            <w:tcW w:type="dxa" w:w="14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Policy/security</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Malware, prohibited file, DLP violation, ACL mismatch</w:t>
            </w:r>
          </w:p>
        </w:tc>
        <w:tc>
          <w:tcPr>
            <w:tcW w:type="dxa" w:w="30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Quarantine; no downstream event</w:t>
            </w:r>
          </w:p>
        </w:tc>
        <w:tc>
          <w:tcPr>
            <w:tcW w:type="dxa" w:w="2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Security review and source remediation</w:t>
            </w:r>
          </w:p>
        </w:tc>
      </w:tr>
      <w:tr>
        <w:tc>
          <w:tcPr>
            <w:tcW w:type="dxa" w:w="14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Contract/system</w:t>
            </w:r>
          </w:p>
        </w:tc>
        <w:tc>
          <w:tcPr>
            <w:tcW w:type="dxa" w:w="26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Avro incompatibility, missing artifact, idempotency conflict</w:t>
            </w:r>
          </w:p>
        </w:tc>
        <w:tc>
          <w:tcPr>
            <w:tcW w:type="dxa" w:w="30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Fail fast; DLQ; alert owner</w:t>
            </w:r>
          </w:p>
        </w:tc>
        <w:tc>
          <w:tcPr>
            <w:tcW w:type="dxa" w:w="23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Schema rollback/forward fix or artifact reconciliation</w:t>
            </w:r>
          </w:p>
        </w:tc>
      </w:tr>
    </w:tbl>
    <w:p>
      <w:pPr>
        <w:spacing w:after="40"/>
      </w:pPr>
    </w:p>
    <w:p>
      <w:pPr>
        <w:pStyle w:val="Heading2"/>
        <w:keepNext/>
      </w:pPr>
      <w:r>
        <w:rPr>
          <w:rFonts w:ascii="Calibri" w:hAnsi="Calibri"/>
          <w:b/>
          <w:i w:val="0"/>
          <w:color w:val="2E74B5"/>
          <w:sz w:val="26"/>
        </w:rPr>
        <w:t>7.1 Human review package</w:t>
      </w:r>
    </w:p>
    <w:p>
      <w:pPr>
        <w:pStyle w:val="ListBullet"/>
        <w:spacing w:after="60" w:line="276" w:lineRule="auto"/>
      </w:pPr>
      <w:r>
        <w:rPr>
          <w:rFonts w:ascii="Calibri" w:hAnsi="Calibri"/>
          <w:b w:val="0"/>
          <w:i w:val="0"/>
          <w:color w:val="0B2545"/>
          <w:sz w:val="20"/>
        </w:rPr>
        <w:t>A reviewer sees the original page/render, extracted units with source anchors, confidence scores, parser/OCR versions, and the candidate normalized text/table.</w:t>
      </w:r>
    </w:p>
    <w:p>
      <w:pPr>
        <w:pStyle w:val="ListBullet"/>
        <w:spacing w:after="60" w:line="276" w:lineRule="auto"/>
      </w:pPr>
      <w:r>
        <w:rPr>
          <w:rFonts w:ascii="Calibri" w:hAnsi="Calibri"/>
          <w:b w:val="0"/>
          <w:i w:val="0"/>
          <w:color w:val="0B2545"/>
          <w:sz w:val="20"/>
        </w:rPr>
        <w:t>Reviewer corrections are stored as an immutable correction artifact referencing unit IDs; they never overwrite the raw extraction.</w:t>
      </w:r>
    </w:p>
    <w:p>
      <w:pPr>
        <w:pStyle w:val="ListBullet"/>
        <w:spacing w:after="60" w:line="276" w:lineRule="auto"/>
      </w:pPr>
      <w:r>
        <w:rPr>
          <w:rFonts w:ascii="Calibri" w:hAnsi="Calibri"/>
          <w:b w:val="0"/>
          <w:i w:val="0"/>
          <w:color w:val="0B2545"/>
          <w:sz w:val="20"/>
        </w:rPr>
        <w:t>Approval triggers a new enrichment/chunk/index artifact version and supersedes, rather than mutates, the prior indexed version.</w:t>
      </w:r>
    </w:p>
    <w:p>
      <w:pPr>
        <w:pStyle w:val="Heading1"/>
        <w:keepNext/>
      </w:pPr>
      <w:r>
        <w:rPr>
          <w:rFonts w:ascii="Calibri" w:hAnsi="Calibri"/>
          <w:b/>
          <w:i w:val="0"/>
          <w:color w:val="2E74B5"/>
          <w:sz w:val="32"/>
        </w:rPr>
        <w:t>8. Idempotency, lineage, and storage</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Concern</w:t>
            </w:r>
          </w:p>
        </w:tc>
        <w:tc>
          <w:tcPr>
            <w:tcW w:type="dxa" w:w="76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Design</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Idempotency</w:t>
            </w:r>
          </w:p>
        </w:tc>
        <w:tc>
          <w:tcPr>
            <w:tcW w:type="dxa" w:w="7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Consumers record event_id before external side effects and use deterministic artifact keys: tenant/document/source hash/stage/version. Duplicate events return the recorded outcome.</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Atomicity</w:t>
            </w:r>
          </w:p>
        </w:tc>
        <w:tc>
          <w:tcPr>
            <w:tcW w:type="dxa" w:w="7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 document lifecycle transition and outgoing event are written to PostgreSQL with an outbox row in one transaction. The outbox publisher emits to Kafka keyed by tenant_id:document_id.</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Artifact layout</w:t>
            </w:r>
          </w:p>
        </w:tc>
        <w:tc>
          <w:tcPr>
            <w:tcW w:type="dxa" w:w="7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MinIO prefixes: tenant/{tenant_id}/documents/{document_id}/original; normalized/{version}; enrichment/{version}; chunks/{version}; review/{version}.</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Lineage</w:t>
            </w:r>
          </w:p>
        </w:tc>
        <w:tc>
          <w:tcPr>
            <w:tcW w:type="dxa" w:w="7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Each artifact records parent URI/checksum, worker version, parser/model/config version, event_id, correlation_id, causation_id, timestamps, and quality/policy results.</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Deletion / retention</w:t>
            </w:r>
          </w:p>
        </w:tc>
        <w:tc>
          <w:tcPr>
            <w:tcW w:type="dxa" w:w="7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Use document lifecycle state and tenant retention policy; delete/tombstone indexed points and derived artifacts consistently, while retaining audit evidence only as policy permits.</w:t>
            </w:r>
          </w:p>
        </w:tc>
      </w:tr>
    </w:tbl>
    <w:p>
      <w:pPr>
        <w:spacing w:after="40"/>
      </w:pPr>
    </w:p>
    <w:p>
      <w:pPr>
        <w:pStyle w:val="Heading1"/>
        <w:keepNext/>
      </w:pPr>
      <w:r>
        <w:rPr>
          <w:rFonts w:ascii="Calibri" w:hAnsi="Calibri"/>
          <w:b/>
          <w:i w:val="0"/>
          <w:color w:val="2E74B5"/>
          <w:sz w:val="32"/>
        </w:rPr>
        <w:t>9. Security and tenancy controls</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Control</w:t>
            </w:r>
          </w:p>
        </w:tc>
        <w:tc>
          <w:tcPr>
            <w:tcW w:type="dxa" w:w="76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Application</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Tenant isolation</w:t>
            </w:r>
          </w:p>
        </w:tc>
        <w:tc>
          <w:tcPr>
            <w:tcW w:type="dxa" w:w="7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Every event, object key, PostgreSQL row, embedding manifest, and Qdrant payload contains tenant_id. Qdrant upserts and queries require tenant filters.</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Least privilege</w:t>
            </w:r>
          </w:p>
        </w:tc>
        <w:tc>
          <w:tcPr>
            <w:tcW w:type="dxa" w:w="7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Worker profiles receive only necessary credentials. Per repository guidance, only migration and indexer have Qdrant admin access; query-api uses read-only access; extraction workers receive none.</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Content safety</w:t>
            </w:r>
          </w:p>
        </w:tc>
        <w:tc>
          <w:tcPr>
            <w:tcW w:type="dxa" w:w="7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Antivirus/DLP before extraction; archive bounds; MIME verification; protected-file policy; redaction and classification before model/index use.</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Secrets</w:t>
            </w:r>
          </w:p>
        </w:tc>
        <w:tc>
          <w:tcPr>
            <w:tcW w:type="dxa" w:w="7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Runtime secrets are injected by environment/secret manager, never events or artifacts. Events contain opaque payload URIs, not document bytes.</w:t>
            </w:r>
          </w:p>
        </w:tc>
      </w:tr>
      <w:tr>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Observability</w:t>
            </w:r>
          </w:p>
        </w:tc>
        <w:tc>
          <w:tcPr>
            <w:tcW w:type="dxa" w:w="76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Structured logs, traces, and metrics include event_id, correlation_id, document_id, tenant_id only when permitted; avoid logging raw content or secrets.</w:t>
            </w:r>
          </w:p>
        </w:tc>
      </w:tr>
    </w:tbl>
    <w:p>
      <w:pPr>
        <w:spacing w:after="40"/>
      </w:pPr>
    </w:p>
    <w:p>
      <w:pPr>
        <w:pStyle w:val="Heading1"/>
        <w:keepNext/>
      </w:pPr>
      <w:r>
        <w:rPr>
          <w:rFonts w:ascii="Calibri" w:hAnsi="Calibri"/>
          <w:b/>
          <w:i w:val="0"/>
          <w:color w:val="2E74B5"/>
          <w:sz w:val="32"/>
        </w:rPr>
        <w:t>10. Observability and operational acceptance criteria</w:t>
      </w:r>
    </w:p>
    <w:tbl>
      <w:tblPr>
        <w:tblStyle w:val="TableGrid"/>
        <w:tblW w:type="dxa" w:w="9360"/>
        <w:jc w:val="left"/>
        <w:tblLayout w:type="fixed"/>
        <w:tblLook w:firstColumn="1" w:firstRow="1" w:lastColumn="0" w:lastRow="0" w:noHBand="0" w:noVBand="1" w:val="04A0"/>
        <w:tblInd w:w="120" w:type="dxa"/>
      </w:tblPr>
      <w:tblGrid>
        <w:gridCol w:w="1450"/>
        <w:gridCol w:w="3900"/>
        <w:gridCol w:w="4010"/>
      </w:tblGrid>
      <w:tr>
        <w:tc>
          <w:tcPr>
            <w:tcW w:type="dxa" w:w="14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Signal</w:t>
            </w:r>
          </w:p>
        </w:tc>
        <w:tc>
          <w:tcPr>
            <w:tcW w:type="dxa" w:w="39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Examples</w:t>
            </w:r>
          </w:p>
        </w:tc>
        <w:tc>
          <w:tcPr>
            <w:tcW w:type="dxa" w:w="401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Alert / decision</w:t>
            </w:r>
          </w:p>
        </w:tc>
      </w:tr>
      <w:tr>
        <w:tc>
          <w:tcPr>
            <w:tcW w:type="dxa" w:w="1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Metrics</w:t>
            </w:r>
          </w:p>
        </w:tc>
        <w:tc>
          <w:tcPr>
            <w:tcW w:type="dxa" w:w="3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Documents/pages per minute; parser latency; OCR/table confidence; retry/DLQ rate; chunk/vector count; queue lag</w:t>
            </w:r>
          </w:p>
        </w:tc>
        <w:tc>
          <w:tcPr>
            <w:tcW w:type="dxa" w:w="40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Capacity, parser regression, and data-quality detection</w:t>
            </w:r>
          </w:p>
        </w:tc>
      </w:tr>
      <w:tr>
        <w:tc>
          <w:tcPr>
            <w:tcW w:type="dxa" w:w="1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Traces</w:t>
            </w:r>
          </w:p>
        </w:tc>
        <w:tc>
          <w:tcPr>
            <w:tcW w:type="dxa" w:w="3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One trace across submit -&gt; fetch -&gt; extract -&gt; chunk -&gt; embed -&gt; index; spans include artifact URIs/checksums as safe attributes</w:t>
            </w:r>
          </w:p>
        </w:tc>
        <w:tc>
          <w:tcPr>
            <w:tcW w:type="dxa" w:w="40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Find the failing stage and correlate retries</w:t>
            </w:r>
          </w:p>
        </w:tc>
      </w:tr>
      <w:tr>
        <w:tc>
          <w:tcPr>
            <w:tcW w:type="dxa" w:w="1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Logs</w:t>
            </w:r>
          </w:p>
        </w:tc>
        <w:tc>
          <w:tcPr>
            <w:tcW w:type="dxa" w:w="3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Structured stage outcome, classifier choice, error code, worker/model/parser version, event/correlation IDs</w:t>
            </w:r>
          </w:p>
        </w:tc>
        <w:tc>
          <w:tcPr>
            <w:tcW w:type="dxa" w:w="40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Debug without exposing source content</w:t>
            </w:r>
          </w:p>
        </w:tc>
      </w:tr>
      <w:tr>
        <w:tc>
          <w:tcPr>
            <w:tcW w:type="dxa" w:w="14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Reconciliation</w:t>
            </w:r>
          </w:p>
        </w:tc>
        <w:tc>
          <w:tcPr>
            <w:tcW w:type="dxa" w:w="39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Expected page/unit/chunk/vector counts; artifact existence; terminal lifecycle state</w:t>
            </w:r>
          </w:p>
        </w:tc>
        <w:tc>
          <w:tcPr>
            <w:tcW w:type="dxa" w:w="401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Detect partial processing and safe replay candidates</w:t>
            </w:r>
          </w:p>
        </w:tc>
      </w:tr>
    </w:tbl>
    <w:p>
      <w:pPr>
        <w:spacing w:after="40"/>
      </w:pPr>
    </w:p>
    <w:p>
      <w:pPr>
        <w:pStyle w:val="Heading2"/>
        <w:keepNext/>
      </w:pPr>
      <w:r>
        <w:rPr>
          <w:rFonts w:ascii="Calibri" w:hAnsi="Calibri"/>
          <w:b/>
          <w:i w:val="0"/>
          <w:color w:val="2E74B5"/>
          <w:sz w:val="26"/>
        </w:rPr>
        <w:t>10.1 Acceptance checklist</w:t>
      </w:r>
    </w:p>
    <w:p>
      <w:pPr>
        <w:pStyle w:val="ListBullet"/>
        <w:spacing w:after="60" w:line="276" w:lineRule="auto"/>
      </w:pPr>
      <w:r>
        <w:rPr>
          <w:rFonts w:ascii="Calibri" w:hAnsi="Calibri"/>
          <w:b w:val="0"/>
          <w:i w:val="0"/>
          <w:color w:val="0B2545"/>
          <w:sz w:val="20"/>
        </w:rPr>
        <w:t>A document cannot be indexed until original hash, detected type, parser profile, normalized model schema, and policy labels are recorded.</w:t>
      </w:r>
    </w:p>
    <w:p>
      <w:pPr>
        <w:pStyle w:val="ListBullet"/>
        <w:spacing w:after="60" w:line="276" w:lineRule="auto"/>
      </w:pPr>
      <w:r>
        <w:rPr>
          <w:rFonts w:ascii="Calibri" w:hAnsi="Calibri"/>
          <w:b w:val="0"/>
          <w:i w:val="0"/>
          <w:color w:val="0B2545"/>
          <w:sz w:val="20"/>
        </w:rPr>
        <w:t>All paginated pages or logical sections must have an extraction status: succeeded, skipped with reason, needs review, or failed. Missing status is an error.</w:t>
      </w:r>
    </w:p>
    <w:p>
      <w:pPr>
        <w:pStyle w:val="ListBullet"/>
        <w:spacing w:after="60" w:line="276" w:lineRule="auto"/>
      </w:pPr>
      <w:r>
        <w:rPr>
          <w:rFonts w:ascii="Calibri" w:hAnsi="Calibri"/>
          <w:b w:val="0"/>
          <w:i w:val="0"/>
          <w:color w:val="0B2545"/>
          <w:sz w:val="20"/>
        </w:rPr>
        <w:t>Every chunk must resolve to one or more source anchors and to an immutable normalized/enriched artifact version.</w:t>
      </w:r>
    </w:p>
    <w:p>
      <w:pPr>
        <w:pStyle w:val="ListBullet"/>
        <w:spacing w:after="60" w:line="276" w:lineRule="auto"/>
      </w:pPr>
      <w:r>
        <w:rPr>
          <w:rFonts w:ascii="Calibri" w:hAnsi="Calibri"/>
          <w:b w:val="0"/>
          <w:i w:val="0"/>
          <w:color w:val="0B2545"/>
          <w:sz w:val="20"/>
        </w:rPr>
        <w:t>Every indexed point must be attributable to tenant_id, document_id, chunk_id, embedding model/version, and content checksum.</w:t>
      </w:r>
    </w:p>
    <w:p>
      <w:pPr>
        <w:pStyle w:val="ListBullet"/>
        <w:spacing w:after="60" w:line="276" w:lineRule="auto"/>
      </w:pPr>
      <w:r>
        <w:rPr>
          <w:rFonts w:ascii="Calibri" w:hAnsi="Calibri"/>
          <w:b w:val="0"/>
          <w:i w:val="0"/>
          <w:color w:val="0B2545"/>
          <w:sz w:val="20"/>
        </w:rPr>
        <w:t>A replay of the same event/artifact version must not create duplicate object keys, chunks, embeddings, or Qdrant points.</w:t>
      </w:r>
    </w:p>
    <w:p>
      <w:pPr>
        <w:pStyle w:val="Heading1"/>
        <w:keepNext/>
      </w:pPr>
      <w:r>
        <w:rPr>
          <w:rFonts w:ascii="Calibri" w:hAnsi="Calibri"/>
          <w:b/>
          <w:i w:val="0"/>
          <w:color w:val="2E74B5"/>
          <w:sz w:val="32"/>
        </w:rPr>
        <w:t>11. Recommended implementation sequence</w:t>
      </w:r>
    </w:p>
    <w:p>
      <w:pPr>
        <w:pStyle w:val="ListNumber"/>
        <w:spacing w:after="80" w:line="276" w:lineRule="auto"/>
      </w:pPr>
      <w:r>
        <w:rPr>
          <w:rFonts w:ascii="Calibri" w:hAnsi="Calibri"/>
          <w:b w:val="0"/>
          <w:i w:val="0"/>
          <w:color w:val="0B2545"/>
          <w:sz w:val="20"/>
        </w:rPr>
        <w:t>Implement Document Fetcher, Content Extractor for PDF/DOCX, Chunker, Embedder, and Indexer against the existing six-topic event flow.</w:t>
      </w:r>
    </w:p>
    <w:p>
      <w:pPr>
        <w:pStyle w:val="ListNumber"/>
        <w:spacing w:after="80" w:line="276" w:lineRule="auto"/>
      </w:pPr>
      <w:r>
        <w:rPr>
          <w:rFonts w:ascii="Calibri" w:hAnsi="Calibri"/>
          <w:b w:val="0"/>
          <w:i w:val="0"/>
          <w:color w:val="0B2545"/>
          <w:sz w:val="20"/>
        </w:rPr>
        <w:t>Add canonical artifact schemas and MinIO/PostgreSQL lineage records before adding new file types.</w:t>
      </w:r>
    </w:p>
    <w:p>
      <w:pPr>
        <w:pStyle w:val="ListNumber"/>
        <w:spacing w:after="80" w:line="276" w:lineRule="auto"/>
      </w:pPr>
      <w:r>
        <w:rPr>
          <w:rFonts w:ascii="Calibri" w:hAnsi="Calibri"/>
          <w:b w:val="0"/>
          <w:i w:val="0"/>
          <w:color w:val="0B2545"/>
          <w:sz w:val="20"/>
        </w:rPr>
        <w:t>Add page classification, scanned-PDF OCR, table reconstruction, and visual asset/caption binding; instrument confidence metrics and review routing.</w:t>
      </w:r>
    </w:p>
    <w:p>
      <w:pPr>
        <w:pStyle w:val="ListNumber"/>
        <w:spacing w:after="80" w:line="276" w:lineRule="auto"/>
      </w:pPr>
      <w:r>
        <w:rPr>
          <w:rFonts w:ascii="Calibri" w:hAnsi="Calibri"/>
          <w:b w:val="0"/>
          <w:i w:val="0"/>
          <w:color w:val="0B2545"/>
          <w:sz w:val="20"/>
        </w:rPr>
        <w:t>Add HTML, XLSX/CSV, PPTX, images, email, and archive child-document support through the same normalized model.</w:t>
      </w:r>
    </w:p>
    <w:p>
      <w:pPr>
        <w:pStyle w:val="ListNumber"/>
        <w:spacing w:after="80" w:line="276" w:lineRule="auto"/>
      </w:pPr>
      <w:r>
        <w:rPr>
          <w:rFonts w:ascii="Calibri" w:hAnsi="Calibri"/>
          <w:b w:val="0"/>
          <w:i w:val="0"/>
          <w:color w:val="0B2545"/>
          <w:sz w:val="20"/>
        </w:rPr>
        <w:t>Split enrichment specialists into independently scaled worker groups once measured load or GPU/CPU profiles justify it.</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B8C5D6"/>
              <w:left w:val="single" w:sz="4" w:color="B8C5D6"/>
              <w:bottom w:val="single" w:sz="4" w:color="B8C5D6"/>
              <w:right w:val="single" w:sz="4" w:color="B8C5D6"/>
            </w:tcBorders>
          </w:tcPr>
          <w:p>
            <w:pPr>
              <w:spacing w:after="40"/>
            </w:pPr>
            <w:r>
              <w:rPr>
                <w:rFonts w:ascii="Calibri" w:hAnsi="Calibri"/>
                <w:b/>
                <w:i w:val="0"/>
                <w:color w:val="1F4D78"/>
                <w:sz w:val="20"/>
              </w:rPr>
              <w:t>Implementation boundary</w:t>
            </w:r>
          </w:p>
          <w:p>
            <w:pPr>
              <w:spacing w:after="0"/>
            </w:pPr>
            <w:r>
              <w:rPr>
                <w:rFonts w:ascii="Calibri" w:hAnsi="Calibri"/>
                <w:b w:val="0"/>
                <w:i w:val="0"/>
                <w:color w:val="0B2545"/>
                <w:sz w:val="19"/>
              </w:rPr>
              <w:t>The repository currently defines the baseline event sequence: DocumentSubmitted -&gt; DocumentFetched -&gt; ContentExtracted -&gt; ChunksCreated -&gt; EmbeddingsGenerated -&gt; DocumentIndexed. The internal enrichment workflow described here may be implemented inside Content Extractor initially, or introduced later as versioned intermediate events without changing the external semantic contract.</w:t>
            </w:r>
          </w:p>
        </w:tc>
      </w:tr>
    </w:tbl>
    <w:p>
      <w:pPr>
        <w:spacing w:after="40"/>
      </w:pPr>
    </w:p>
    <w:p>
      <w:pPr>
        <w:pStyle w:val="Heading1"/>
        <w:keepNext/>
      </w:pPr>
      <w:r>
        <w:rPr>
          <w:rFonts w:ascii="Calibri" w:hAnsi="Calibri"/>
          <w:b/>
          <w:i w:val="0"/>
          <w:color w:val="2E74B5"/>
          <w:sz w:val="32"/>
        </w:rPr>
        <w:t>Appendix A. Worker responsibility map</w:t>
      </w:r>
    </w:p>
    <w:tbl>
      <w:tblPr>
        <w:tblStyle w:val="TableGrid"/>
        <w:tblW w:type="dxa" w:w="9360"/>
        <w:jc w:val="left"/>
        <w:tblLayout w:type="fixed"/>
        <w:tblLook w:firstColumn="1" w:firstRow="1" w:lastColumn="0" w:lastRow="0" w:noHBand="0" w:noVBand="1" w:val="04A0"/>
        <w:tblInd w:w="120" w:type="dxa"/>
      </w:tblPr>
      <w:tblGrid>
        <w:gridCol w:w="1350"/>
        <w:gridCol w:w="1700"/>
        <w:gridCol w:w="2350"/>
        <w:gridCol w:w="2200"/>
        <w:gridCol w:w="1760"/>
      </w:tblGrid>
      <w:tr>
        <w:tc>
          <w:tcPr>
            <w:tcW w:type="dxa" w:w="13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Worker</w:t>
            </w:r>
          </w:p>
        </w:tc>
        <w:tc>
          <w:tcPr>
            <w:tcW w:type="dxa" w:w="17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Consumes</w:t>
            </w:r>
          </w:p>
        </w:tc>
        <w:tc>
          <w:tcPr>
            <w:tcW w:type="dxa" w:w="235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Writes</w:t>
            </w:r>
          </w:p>
        </w:tc>
        <w:tc>
          <w:tcPr>
            <w:tcW w:type="dxa" w:w="220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Emits</w:t>
            </w:r>
          </w:p>
        </w:tc>
        <w:tc>
          <w:tcPr>
            <w:tcW w:type="dxa" w:w="1760"/>
            <w:tcMar>
              <w:top w:w="80" w:type="dxa"/>
              <w:start w:w="120" w:type="dxa"/>
              <w:bottom w:w="80" w:type="dxa"/>
              <w:end w:w="120" w:type="dxa"/>
            </w:tcMar>
            <w:vAlign w:val="center"/>
            <w:shd w:fill="E8EEF5"/>
            <w:tcBorders>
              <w:top w:val="single" w:sz="4" w:color="D7DEE8"/>
              <w:left w:val="single" w:sz="4" w:color="D7DEE8"/>
              <w:bottom w:val="single" w:sz="4" w:color="D7DEE8"/>
              <w:right w:val="single" w:sz="4" w:color="D7DEE8"/>
            </w:tcBorders>
          </w:tcPr>
          <w:p>
            <w:pPr>
              <w:spacing w:after="0"/>
            </w:pPr>
            <w:r>
              <w:rPr>
                <w:rFonts w:ascii="Calibri" w:hAnsi="Calibri"/>
                <w:b/>
                <w:i w:val="0"/>
                <w:color w:val="1F4D78"/>
                <w:sz w:val="18"/>
              </w:rPr>
              <w:t>Does not do</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Submission/connector</w:t>
            </w:r>
          </w:p>
        </w:tc>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External request or source change</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 state + outbox</w:t>
            </w:r>
          </w:p>
        </w:tc>
        <w:tc>
          <w:tcPr>
            <w:tcW w:type="dxa" w:w="2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DocumentSubmitted</w:t>
            </w:r>
          </w:p>
        </w:tc>
        <w:tc>
          <w:tcPr>
            <w:tcW w:type="dxa" w:w="17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Fetch or parse bytes</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 Fetcher</w:t>
            </w:r>
          </w:p>
        </w:tc>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DocumentSubmitted</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Original + fetch manifest</w:t>
            </w:r>
          </w:p>
        </w:tc>
        <w:tc>
          <w:tcPr>
            <w:tcW w:type="dxa" w:w="2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DocumentFetched</w:t>
            </w:r>
          </w:p>
        </w:tc>
        <w:tc>
          <w:tcPr>
            <w:tcW w:type="dxa" w:w="17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Extract content or write vectors</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Content Extractor</w:t>
            </w:r>
          </w:p>
        </w:tc>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DocumentFetched</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Raw extraction + normalized model</w:t>
            </w:r>
          </w:p>
        </w:tc>
        <w:tc>
          <w:tcPr>
            <w:tcW w:type="dxa" w:w="2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ContentExtracted</w:t>
            </w:r>
          </w:p>
        </w:tc>
        <w:tc>
          <w:tcPr>
            <w:tcW w:type="dxa" w:w="17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Create final retrieval chunks</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Enrichment specialists</w:t>
            </w:r>
          </w:p>
        </w:tc>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Normalized model / internal work item</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OCR/table/figure/structure/policy artifacts</w:t>
            </w:r>
          </w:p>
        </w:tc>
        <w:tc>
          <w:tcPr>
            <w:tcW w:type="dxa" w:w="2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Updated normalized artifact or internal event</w:t>
            </w:r>
          </w:p>
        </w:tc>
        <w:tc>
          <w:tcPr>
            <w:tcW w:type="dxa" w:w="17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Modify original bytes</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Chunker</w:t>
            </w:r>
          </w:p>
        </w:tc>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ContentExtracted/enriched artifact</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Chunk manifest</w:t>
            </w:r>
          </w:p>
        </w:tc>
        <w:tc>
          <w:tcPr>
            <w:tcW w:type="dxa" w:w="2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ChunksCreated</w:t>
            </w:r>
          </w:p>
        </w:tc>
        <w:tc>
          <w:tcPr>
            <w:tcW w:type="dxa" w:w="17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 or index</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Embedder</w:t>
            </w:r>
          </w:p>
        </w:tc>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ChunksCreated</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Embedding manifest</w:t>
            </w:r>
          </w:p>
        </w:tc>
        <w:tc>
          <w:tcPr>
            <w:tcW w:type="dxa" w:w="2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EmbeddingsGenerated</w:t>
            </w:r>
          </w:p>
        </w:tc>
        <w:tc>
          <w:tcPr>
            <w:tcW w:type="dxa" w:w="17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Decide document lifecycle</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Indexer</w:t>
            </w:r>
          </w:p>
        </w:tc>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EmbeddingsGenerated</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Qdrant points + lifecycle/outbox</w:t>
            </w:r>
          </w:p>
        </w:tc>
        <w:tc>
          <w:tcPr>
            <w:tcW w:type="dxa" w:w="2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DocumentIndexed</w:t>
            </w:r>
          </w:p>
        </w:tc>
        <w:tc>
          <w:tcPr>
            <w:tcW w:type="dxa" w:w="17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Parse source content</w:t>
            </w:r>
          </w:p>
        </w:tc>
      </w:tr>
      <w:tr>
        <w:tc>
          <w:tcPr>
            <w:tcW w:type="dxa" w:w="1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Outbox Publisher</w:t>
            </w:r>
          </w:p>
        </w:tc>
        <w:tc>
          <w:tcPr>
            <w:tcW w:type="dxa" w:w="17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Outbox rows</w:t>
            </w:r>
          </w:p>
        </w:tc>
        <w:tc>
          <w:tcPr>
            <w:tcW w:type="dxa" w:w="235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Delivery receipt</w:t>
            </w:r>
          </w:p>
        </w:tc>
        <w:tc>
          <w:tcPr>
            <w:tcW w:type="dxa" w:w="220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Kafka records</w:t>
            </w:r>
          </w:p>
        </w:tc>
        <w:tc>
          <w:tcPr>
            <w:tcW w:type="dxa" w:w="1760"/>
            <w:tcBorders>
              <w:top w:val="single" w:sz="4" w:color="D7DEE8"/>
              <w:left w:val="single" w:sz="4" w:color="D7DEE8"/>
              <w:bottom w:val="single" w:sz="4" w:color="D7DEE8"/>
              <w:right w:val="single" w:sz="4" w:color="D7DEE8"/>
            </w:tcBorders>
          </w:tcPr>
          <w:p>
            <w:pPr>
              <w:spacing w:after="0" w:line="252" w:lineRule="auto"/>
            </w:pPr>
            <w:r>
              <w:rPr>
                <w:rFonts w:ascii="Calibri" w:hAnsi="Calibri"/>
                <w:b w:val="0"/>
                <w:i w:val="0"/>
                <w:color w:val="0B2545"/>
                <w:sz w:val="17"/>
              </w:rPr>
              <w:t>Apply business transformations</w:t>
            </w:r>
          </w:p>
        </w:tc>
      </w:tr>
    </w:tbl>
    <w:p>
      <w:pPr>
        <w:spacing w:after="40"/>
      </w:pPr>
    </w:p>
    <w:p>
      <w:pPr>
        <w:pStyle w:val="Heading1"/>
        <w:keepNext/>
      </w:pPr>
      <w:r>
        <w:rPr>
          <w:rFonts w:ascii="Calibri" w:hAnsi="Calibri"/>
          <w:b/>
          <w:i w:val="0"/>
          <w:color w:val="2E74B5"/>
          <w:sz w:val="32"/>
        </w:rPr>
        <w:t>Appendix B. Event envelope minimum</w:t>
      </w:r>
    </w:p>
    <w:p>
      <w:pPr>
        <w:spacing w:before="0" w:after="120" w:line="276" w:lineRule="auto"/>
      </w:pPr>
      <w:r>
        <w:rPr>
          <w:rFonts w:ascii="Calibri" w:hAnsi="Calibri"/>
          <w:b w:val="0"/>
          <w:i w:val="0"/>
          <w:color w:val="0B2545"/>
          <w:sz w:val="21"/>
        </w:rPr>
        <w:t>The current Avro envelope provides event_id, event_type, occurred_at, correlation_id, causation_id, tenant_id, document_id, payload_uri, and schema_version. Stage payload artifacts should additionally contain artifact_type, artifact_version, content_hash, parent_uri, processing_profile, quality summary, policy labels, and an idempotency key. The event remains small and transport-safe because full content stays in object storage.</w:t>
      </w:r>
    </w:p>
    <w:sectPr w:rsidR="00FC693F" w:rsidRPr="0006063C" w:rsidSect="00034616">
      <w:footerReference w:type="default" r:id="rId9"/>
      <w:pgSz w:w="12240" w:h="15840"/>
      <w:pgMar w:top="1123"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6"/>
      </w:rPr>
      <w:t xml:space="preserve">Enterprise RAG Ingestion Pipeline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